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锡林郭勒盟2024年四季度</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b/>
          <w:bCs/>
          <w:color w:val="auto"/>
          <w:sz w:val="32"/>
          <w:szCs w:val="32"/>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人力资源市场供求状况分析报告</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供求总体情况</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根据全区短缺职业排行暨市场职业供求分析信息系统中我盟数据显示，全盟第四季度需求人数12248人，求职人数8754人，求人倍率为1.40，市场用工需求略大于劳动力供给。</w:t>
      </w:r>
      <w:bookmarkStart w:id="25" w:name="_GoBack"/>
      <w:bookmarkEnd w:id="25"/>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与上一季度相比，需求人数增加了698人，环比上升6.04%，求职人数增加了1519人，环比上升21%；求人倍率与上季度相比环比下降0.2。</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与去年同期相比，需求人数增加了2408人，同比上升24.47%，求职人数增加了3106人，同比上升54.99%，求人倍率与去年同期同比下降0.3。</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 供求总体情况</w:t>
      </w:r>
    </w:p>
    <w:tbl>
      <w:tblPr>
        <w:tblStyle w:val="10"/>
        <w:tblW w:w="4964"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99"/>
        <w:gridCol w:w="1629"/>
        <w:gridCol w:w="1564"/>
        <w:gridCol w:w="1180"/>
        <w:gridCol w:w="1483"/>
        <w:gridCol w:w="15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35" w:hRule="atLeast"/>
          <w:tblCellSpacing w:w="0" w:type="dxa"/>
          <w:jc w:val="center"/>
        </w:trPr>
        <w:tc>
          <w:tcPr>
            <w:tcW w:w="7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8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66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8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与上季度相比变化(%)</w:t>
            </w:r>
          </w:p>
        </w:tc>
        <w:tc>
          <w:tcPr>
            <w:tcW w:w="8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63" w:hRule="atLeast"/>
          <w:tblCellSpacing w:w="0" w:type="dxa"/>
          <w:jc w:val="center"/>
        </w:trPr>
        <w:tc>
          <w:tcPr>
            <w:tcW w:w="7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本期有效数</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12248</w:t>
            </w:r>
          </w:p>
        </w:tc>
        <w:tc>
          <w:tcPr>
            <w:tcW w:w="8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8754</w:t>
            </w:r>
          </w:p>
        </w:tc>
        <w:tc>
          <w:tcPr>
            <w:tcW w:w="66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1.40</w:t>
            </w:r>
          </w:p>
        </w:tc>
        <w:tc>
          <w:tcPr>
            <w:tcW w:w="8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-0.2</w:t>
            </w:r>
          </w:p>
        </w:tc>
        <w:tc>
          <w:tcPr>
            <w:tcW w:w="8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-0.3</w:t>
            </w:r>
          </w:p>
        </w:tc>
      </w:tr>
    </w:tbl>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b w:val="0"/>
          <w:bCs w:val="0"/>
          <w:color w:val="auto"/>
          <w:sz w:val="32"/>
          <w:szCs w:val="32"/>
          <w:highlight w:val="none"/>
          <w:lang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二、按产业、行业劳动力需求</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本期第一产业需求人数367人，第二产业需求人数1989人，第三产业需求人数9892人；第一产业所占比重为3%，第二产业占16.24%，第三产业占80.76%。</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与上一季度相比，第一产业需求环比增加了20.33%，第二产业环比下降了21.1%，第三产业环比增加了13.39%。</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与去年同期相比，第一产业需求同比增加了17.63%，第二产业同比增加了24.47%，第三产业同比增加了24.74%。</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eastAsia="宋体"/>
          <w:color w:val="auto"/>
          <w:highlight w:val="none"/>
          <w:lang w:eastAsia="zh-CN"/>
        </w:rPr>
      </w:pPr>
      <w:r>
        <w:rPr>
          <w:rFonts w:hint="eastAsia" w:ascii="Times New Roman" w:hAnsi="Times New Roman" w:eastAsia="仿宋_GB2312" w:cs="Times New Roman"/>
          <w:color w:val="auto"/>
          <w:kern w:val="2"/>
          <w:sz w:val="28"/>
          <w:szCs w:val="28"/>
          <w:highlight w:val="none"/>
          <w:lang w:val="en-US" w:eastAsia="zh-CN" w:bidi="ar-SA"/>
        </w:rPr>
        <w:t>表2. 按产业分组的需求人数</w:t>
      </w:r>
    </w:p>
    <w:tbl>
      <w:tblPr>
        <w:tblStyle w:val="10"/>
        <w:tblpPr w:leftFromText="180" w:rightFromText="180" w:vertAnchor="text" w:horzAnchor="page" w:tblpX="1664" w:tblpY="162"/>
        <w:tblOverlap w:val="never"/>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92"/>
        <w:gridCol w:w="1425"/>
        <w:gridCol w:w="1389"/>
        <w:gridCol w:w="2116"/>
        <w:gridCol w:w="21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产业</w:t>
            </w:r>
          </w:p>
        </w:tc>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78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118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122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0" w:name="OLE_LINK2" w:colFirst="1" w:colLast="1"/>
            <w:r>
              <w:rPr>
                <w:rFonts w:hint="eastAsia" w:ascii="Times New Roman" w:hAnsi="Times New Roman" w:eastAsia="仿宋_GB2312" w:cs="Times New Roman"/>
                <w:b/>
                <w:bCs/>
                <w:color w:val="auto"/>
                <w:kern w:val="2"/>
                <w:sz w:val="24"/>
                <w:szCs w:val="24"/>
                <w:highlight w:val="none"/>
                <w:lang w:val="en-US" w:eastAsia="zh-CN" w:bidi="ar-SA"/>
              </w:rPr>
              <w:t>第一产业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367</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20.33</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第二产业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1,989</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16.24</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-21.10</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第三产业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9,892</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80.76</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13.39</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12,248</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6.04</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r>
      <w:bookmarkEnd w:id="0"/>
    </w:tbl>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rFonts w:hint="eastAsia" w:eastAsia="宋体"/>
          <w:color w:val="C00000"/>
          <w:highlight w:val="no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color w:val="C00000"/>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eastAsia="宋体"/>
          <w:color w:val="C00000"/>
          <w:highlight w:val="none"/>
          <w:lang w:eastAsia="zh-CN"/>
        </w:rPr>
        <w:drawing>
          <wp:anchor distT="0" distB="0" distL="114300" distR="114300" simplePos="0" relativeHeight="251664384" behindDoc="0" locked="0" layoutInCell="1" allowOverlap="1">
            <wp:simplePos x="0" y="0"/>
            <wp:positionH relativeFrom="column">
              <wp:posOffset>145415</wp:posOffset>
            </wp:positionH>
            <wp:positionV relativeFrom="paragraph">
              <wp:posOffset>81280</wp:posOffset>
            </wp:positionV>
            <wp:extent cx="5306695" cy="3552825"/>
            <wp:effectExtent l="4445" t="4445" r="2286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行业分，居民服务、修理和其他服务业占比30.28%，住宿和餐饮业占比18.17%，批发和零售业占比15.98%，制造业占比14.25%，交通运输、仓储和邮政业占比4.2%，采矿业占比3.2%，农、林、牧、渔业占比3%，电力、热力、燃气及水生产和供应业占比2.51%，信息传输、软件和信息技术服务业占比2.34%，租赁和商务服务业占比2.07%，公共管理、社会保障和社会组织占比0.69%，文化、体育和娱乐业占比0.65，教育占比0.61%，房地产业占比0.52%，建筑业占比0.43%，水利、环境和公共设施管理业占比0.42%，金融业占比0.38%，卫生和社会工作占比0.29%。</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农、林、牧、渔业，制造业，批发和零售业，住宿和餐饮业，金融业，租赁和商务服务业，居民服务、修理和其他服务业，文化、体育和娱乐业，公共管理、社会保障和社会组织需求有所上升，其余等与上季度相比均有所下降。</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C00000"/>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农、林、牧、渔业，采矿业，制造业，电力、热力、燃气及水生产和供应业，批发和零售业，交通运输、仓储和邮政业，住宿和餐饮业，水利、环境和公共设施管理业,居民服务、修理和其他服务业需求有所上升，其余等与去年同期相比均有所下降。</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表3. 按行业分组的需求人数</w:t>
      </w:r>
    </w:p>
    <w:tbl>
      <w:tblPr>
        <w:tblStyle w:val="10"/>
        <w:tblW w:w="92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557"/>
        <w:gridCol w:w="1310"/>
        <w:gridCol w:w="996"/>
        <w:gridCol w:w="1538"/>
        <w:gridCol w:w="18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86"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行 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54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83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9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bookmarkStart w:id="1" w:name="OLE_LINK12" w:colFirst="1" w:colLast="1"/>
            <w:r>
              <w:rPr>
                <w:rFonts w:hint="eastAsia" w:ascii="Times New Roman" w:hAnsi="Times New Roman" w:eastAsia="仿宋_GB2312" w:cs="Times New Roman"/>
                <w:b/>
                <w:bCs/>
                <w:color w:val="auto"/>
                <w:kern w:val="2"/>
                <w:sz w:val="24"/>
                <w:szCs w:val="24"/>
                <w:highlight w:val="none"/>
                <w:lang w:val="en-US" w:eastAsia="zh-CN" w:bidi="ar-SA"/>
              </w:rPr>
              <w:t>农、林、牧、渔业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9.55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采矿业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-38.94</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制造业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1,745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14.25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37.08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2"/>
                <w:szCs w:val="22"/>
                <w:highlight w:val="none"/>
                <w:lang w:val="en-US" w:eastAsia="zh-CN" w:bidi="ar-SA"/>
              </w:rPr>
              <w:t>电力、热力、燃气及水生产和供应业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2.51</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-35.23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建筑业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53</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-74.64</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-74.64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批发和零售业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1,957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15.98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33.95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47.36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交通运输、仓储和邮政业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-62.74</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59.44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住宿和餐饮业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2,226</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18.17</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3.49</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信息传输、软件和信息技术服务业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286</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-51.36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金融业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17.50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-87.76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房地产业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64</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-68.32</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租赁和商务服务业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253</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2.07</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9.05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科学研究和技术服务业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水利、环境和公共设施管理业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-52.29</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173.68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居民服务、修理和其他服务业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3,709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30.28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79.53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114.52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教育</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0.61</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-64.29</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-75.65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卫生和社会工作</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-51.35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文化、体育和娱乐业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79.55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-68.27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公共管理、社会保障和社会组织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73.47</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国际组织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12,248</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6.04</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24.47</w:t>
            </w:r>
          </w:p>
        </w:tc>
      </w:tr>
      <w:bookmarkEnd w:id="1"/>
    </w:tbl>
    <w:p>
      <w:pPr>
        <w:pStyle w:val="2"/>
        <w:ind w:left="0" w:leftChars="0" w:firstLine="0" w:firstLineChars="0"/>
        <w:rPr>
          <w:color w:val="C00000"/>
          <w:highlight w:val="none"/>
        </w:rPr>
        <w:sectPr>
          <w:pgSz w:w="11906" w:h="16838"/>
          <w:pgMar w:top="2098" w:right="1474" w:bottom="2041" w:left="1587" w:header="851" w:footer="992" w:gutter="0"/>
          <w:pgNumType w:fmt="decimal"/>
          <w:cols w:space="425" w:num="1"/>
          <w:docGrid w:type="lines" w:linePitch="312" w:charSpace="0"/>
        </w:sectPr>
      </w:pPr>
    </w:p>
    <w:p>
      <w:pPr>
        <w:pStyle w:val="2"/>
        <w:ind w:left="0" w:leftChars="0" w:firstLine="0" w:firstLineChars="0"/>
        <w:rPr>
          <w:rFonts w:hint="eastAsia" w:eastAsia="宋体"/>
          <w:color w:val="C00000"/>
          <w:highlight w:val="none"/>
          <w:lang w:eastAsia="zh-CN"/>
        </w:rPr>
      </w:pPr>
      <w:r>
        <w:rPr>
          <w:rFonts w:hint="eastAsia"/>
          <w:color w:val="C00000"/>
          <w:highlight w:val="none"/>
          <w:lang w:val="en-US" w:eastAsia="zh-CN"/>
        </w:rPr>
        <w:t xml:space="preserve">     </w:t>
      </w:r>
      <w:r>
        <w:rPr>
          <w:rFonts w:hint="eastAsia" w:eastAsia="宋体"/>
          <w:color w:val="C00000"/>
          <w:highlight w:val="none"/>
          <w:lang w:eastAsia="zh-CN"/>
        </w:rPr>
        <w:drawing>
          <wp:inline distT="0" distB="0" distL="114300" distR="114300">
            <wp:extent cx="8314690" cy="5167630"/>
            <wp:effectExtent l="4445" t="4445" r="571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left="0" w:leftChars="0" w:firstLine="0" w:firstLineChars="0"/>
        <w:rPr>
          <w:color w:val="C00000"/>
          <w:highlight w:val="none"/>
        </w:rPr>
        <w:sectPr>
          <w:pgSz w:w="16838" w:h="11906" w:orient="landscape"/>
          <w:pgMar w:top="1800" w:right="1440" w:bottom="1800" w:left="1440"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三、用人单位需求情况</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按用人单位分，企业的用人需求在市场中占主导地位，所占比重高达96.85%，事业及机关单位需求占比为0.58%，其他需求占比2.57%。</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与上季度相比，企业需求人数环比上升了4.03%，事业单位需求人数环比下降了43.2%，其他需求环比上升了1331.82%。</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与去年同期相比，企业需求人数同比上升了24.56%，事业单位需求人数同比上升了914.29%，其他需求同比上升了10.92%。</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从企业经济类型分内资企业占总企业需求的79.56%；在内资企业中，私营企业占比43.31%。个体经营占企业总需求的20.44%。</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与上一季度相比，内资企业需求人数环比下降了3.34%，个体经营需求人数环比上升了47.9%。</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与去年同期相比，内资企业需求人数同比上升了74.87%，个体经营需求人数同比下降了41.25%。</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表4. 按经济类型分组的需求人数</w:t>
      </w:r>
    </w:p>
    <w:tbl>
      <w:tblPr>
        <w:tblStyle w:val="10"/>
        <w:tblW w:w="844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374"/>
        <w:gridCol w:w="1200"/>
        <w:gridCol w:w="1171"/>
        <w:gridCol w:w="1769"/>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0"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经济类型</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6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104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11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2" w:name="OLE_LINK13" w:colFirst="1" w:colLast="1"/>
            <w:r>
              <w:rPr>
                <w:rFonts w:hint="eastAsia" w:ascii="Times New Roman" w:hAnsi="Times New Roman" w:eastAsia="仿宋_GB2312" w:cs="Times New Roman"/>
                <w:b/>
                <w:bCs/>
                <w:color w:val="auto"/>
                <w:kern w:val="2"/>
                <w:sz w:val="24"/>
                <w:szCs w:val="24"/>
                <w:highlight w:val="none"/>
                <w:lang w:val="en-US" w:eastAsia="zh-CN" w:bidi="ar-SA"/>
              </w:rPr>
              <w:t>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11,862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96.85</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4.03</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其中：内资企业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9,438</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79.56</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74.87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国有企业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268</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2.26</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-76.28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553.66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集体企业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66.67</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股份合作企业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365.22</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联营企业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1,114</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9.39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有限责任公司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1,306</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67.44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82"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股份有限公司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1,315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34.18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272.52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私营企业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5,138</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43.31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-22.63</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其它企业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-15.38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港、澳、台投资企业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外商投资企业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个体经营</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2,424</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20.44</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47.90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3" w:name="OLE_LINK1" w:colFirst="2" w:colLast="2"/>
            <w:r>
              <w:rPr>
                <w:rFonts w:hint="eastAsia" w:ascii="Times New Roman" w:hAnsi="Times New Roman" w:eastAsia="仿宋_GB2312" w:cs="Times New Roman"/>
                <w:b/>
                <w:bCs/>
                <w:color w:val="auto"/>
                <w:kern w:val="2"/>
                <w:sz w:val="24"/>
                <w:szCs w:val="24"/>
                <w:highlight w:val="none"/>
                <w:lang w:val="en-US" w:eastAsia="zh-CN" w:bidi="ar-SA"/>
              </w:rPr>
              <w:t>事业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71</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0.58</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-43.20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914.29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机关</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其他</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2.57</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1331.82</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10.92</w:t>
            </w:r>
          </w:p>
        </w:tc>
      </w:tr>
      <w:bookmarkEnd w:id="3"/>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12,248</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r>
      <w:bookmarkEnd w:id="2"/>
    </w:tbl>
    <w:p>
      <w:pPr>
        <w:pStyle w:val="9"/>
        <w:spacing w:line="300" w:lineRule="atLeast"/>
        <w:jc w:val="both"/>
        <w:rPr>
          <w:rFonts w:hint="eastAsia"/>
          <w:color w:val="C00000"/>
          <w:sz w:val="28"/>
          <w:szCs w:val="28"/>
          <w:highlight w:val="none"/>
        </w:rPr>
      </w:pPr>
      <w:r>
        <w:rPr>
          <w:rFonts w:hint="eastAsia"/>
          <w:b/>
          <w:bCs/>
          <w:color w:val="C00000"/>
          <w:sz w:val="28"/>
          <w:szCs w:val="28"/>
          <w:highlight w:val="none"/>
          <w:lang w:eastAsia="zh-CN"/>
        </w:rPr>
        <w:drawing>
          <wp:anchor distT="0" distB="0" distL="114300" distR="114300" simplePos="0" relativeHeight="251661312" behindDoc="1" locked="0" layoutInCell="1" allowOverlap="1">
            <wp:simplePos x="0" y="0"/>
            <wp:positionH relativeFrom="column">
              <wp:posOffset>248920</wp:posOffset>
            </wp:positionH>
            <wp:positionV relativeFrom="paragraph">
              <wp:posOffset>4151630</wp:posOffset>
            </wp:positionV>
            <wp:extent cx="5046980" cy="3830955"/>
            <wp:effectExtent l="4445" t="4445" r="15875" b="12700"/>
            <wp:wrapTight wrapText="bothSides">
              <wp:wrapPolygon>
                <wp:start x="-19" y="-25"/>
                <wp:lineTo x="-19" y="21564"/>
                <wp:lineTo x="21505" y="21564"/>
                <wp:lineTo x="21505" y="-25"/>
                <wp:lineTo x="-19" y="-25"/>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b/>
          <w:bCs/>
          <w:color w:val="C00000"/>
          <w:sz w:val="28"/>
          <w:szCs w:val="28"/>
          <w:highlight w:val="none"/>
          <w:lang w:eastAsia="zh-CN"/>
        </w:rPr>
        <w:drawing>
          <wp:anchor distT="0" distB="0" distL="114300" distR="114300" simplePos="0" relativeHeight="251660288" behindDoc="0" locked="0" layoutInCell="1" allowOverlap="1">
            <wp:simplePos x="0" y="0"/>
            <wp:positionH relativeFrom="column">
              <wp:posOffset>280670</wp:posOffset>
            </wp:positionH>
            <wp:positionV relativeFrom="paragraph">
              <wp:posOffset>-1905</wp:posOffset>
            </wp:positionV>
            <wp:extent cx="4983480" cy="3957955"/>
            <wp:effectExtent l="5080" t="4445" r="21590" b="190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9"/>
        <w:spacing w:line="300" w:lineRule="atLeast"/>
        <w:jc w:val="center"/>
        <w:rPr>
          <w:rFonts w:hint="eastAsia"/>
          <w:color w:val="C00000"/>
          <w:sz w:val="28"/>
          <w:szCs w:val="28"/>
          <w:highlight w:val="none"/>
        </w:rPr>
        <w:sectPr>
          <w:pgSz w:w="11906" w:h="16838"/>
          <w:pgMar w:top="2098" w:right="1474" w:bottom="2041"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按职业供求情况分析</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职业分组需求情况看，社会生产服务和生活服务人员占比23.04%，办事人员和有关人员占比21.86%，生产制造及有关人员占比19.55%，专业技术人员占比8.29%，农林牧渔业生产及辅助人员占比2.69%，单位负责人占比2.64%，其他占比21.94%。</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职业分组求职情况看，办事人员和有关人员占比23.75%，社会生产服务和生活服务人员占比19.34%，生产制造及有关人员占比11.34%，专业技术人员占比9.32%，农林牧渔业生产及辅助人员占比2.62%，单位负责人占比2.54%，其他占比23.1%。</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从职业分组需求看，办事人员和有关人员，社会生产服务和生活服务人员的需求人数分别环比下降了14.93%，8.61%，其余均有所上升。与去年同期相比，专业技术人员，社会生产服务和生活服务人员的需求人数分别同比减少了49.88%，4.73%，其余均有所上升。</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中，与上一季度相比，生产制造及有关人员的求职人数环比下降33.09%，其余均有所上升。与去年同期相比，专业技术人员，社会生产服务和生活服务人员，生产制造及有关人员求职人数分别同比下降8.93%，0.29%，2.26%，其余均有所上升。</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highlight w:val="none"/>
          <w:lang w:val="en-US" w:eastAsia="zh-CN" w:bidi="ar-SA"/>
        </w:rPr>
        <w:sectPr>
          <w:pgSz w:w="11906" w:h="16838"/>
          <w:pgMar w:top="2098" w:right="1474" w:bottom="2041"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表5. 按职业分组的供求人数</w:t>
      </w:r>
    </w:p>
    <w:tbl>
      <w:tblPr>
        <w:tblStyle w:val="10"/>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594"/>
        <w:gridCol w:w="863"/>
        <w:gridCol w:w="905"/>
        <w:gridCol w:w="1102"/>
        <w:gridCol w:w="1278"/>
        <w:gridCol w:w="853"/>
        <w:gridCol w:w="937"/>
        <w:gridCol w:w="1102"/>
        <w:gridCol w:w="1286"/>
        <w:gridCol w:w="850"/>
        <w:gridCol w:w="1046"/>
        <w:gridCol w:w="11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jc w:val="center"/>
        </w:trPr>
        <w:tc>
          <w:tcPr>
            <w:tcW w:w="928"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职业类别</w:t>
            </w:r>
          </w:p>
        </w:tc>
        <w:tc>
          <w:tcPr>
            <w:tcW w:w="4071"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60" w:hRule="atLeast"/>
          <w:tblCellSpacing w:w="0" w:type="dxa"/>
          <w:jc w:val="center"/>
        </w:trPr>
        <w:tc>
          <w:tcPr>
            <w:tcW w:w="928" w:type="pct"/>
            <w:vMerge w:val="continue"/>
            <w:tcBorders>
              <w:top w:val="outset" w:color="auto" w:sz="6" w:space="0"/>
              <w:left w:val="outset" w:color="auto" w:sz="6" w:space="0"/>
              <w:bottom w:val="outset" w:color="auto" w:sz="6" w:space="0"/>
              <w:right w:val="outset" w:color="auto" w:sz="6" w:space="0"/>
            </w:tcBorders>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 人数(人)</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 倍率</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 度相比 供求变化</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4" w:name="OLE_LINK16" w:colFirst="9" w:colLast="9"/>
            <w:bookmarkStart w:id="5" w:name="OLE_LINK14" w:colFirst="1" w:colLast="1"/>
            <w:bookmarkStart w:id="6" w:name="OLE_LINK15" w:colFirst="5" w:colLast="5"/>
            <w:r>
              <w:rPr>
                <w:rFonts w:hint="eastAsia" w:ascii="Times New Roman" w:hAnsi="Times New Roman" w:eastAsia="仿宋_GB2312" w:cs="Times New Roman"/>
                <w:b/>
                <w:bCs/>
                <w:color w:val="auto"/>
                <w:kern w:val="2"/>
                <w:sz w:val="24"/>
                <w:szCs w:val="24"/>
                <w:highlight w:val="none"/>
                <w:lang w:val="en-US" w:eastAsia="zh-CN" w:bidi="ar-SA"/>
              </w:rPr>
              <w:t>单位负责人</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323</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707.50</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319.48</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2366.67</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184.62</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专业技术人员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1,015</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8.29</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5.62</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-49.88</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816</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9.32</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28.10</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-8.93</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办事人员和有关人员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2,678</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21.86</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-14.93</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29.37</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2,079</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23.75</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14.11</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83.66</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-0.31</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spacing w:val="1"/>
                <w:w w:val="76"/>
                <w:kern w:val="0"/>
                <w:sz w:val="24"/>
                <w:szCs w:val="24"/>
                <w:highlight w:val="none"/>
                <w:fitText w:val="2400" w:id="2006327536"/>
                <w:lang w:val="en-US" w:eastAsia="zh-CN" w:bidi="ar-SA"/>
              </w:rPr>
              <w:t>社会生产服务和生活服务人</w:t>
            </w:r>
            <w:r>
              <w:rPr>
                <w:rFonts w:hint="eastAsia" w:ascii="Times New Roman" w:hAnsi="Times New Roman" w:eastAsia="仿宋_GB2312" w:cs="Times New Roman"/>
                <w:b/>
                <w:bCs/>
                <w:color w:val="auto"/>
                <w:spacing w:val="-3"/>
                <w:w w:val="76"/>
                <w:kern w:val="0"/>
                <w:sz w:val="24"/>
                <w:szCs w:val="24"/>
                <w:highlight w:val="none"/>
                <w:fitText w:val="2400" w:id="2006327536"/>
                <w:lang w:val="en-US" w:eastAsia="zh-CN" w:bidi="ar-SA"/>
              </w:rPr>
              <w:t>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2,822</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23.04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-8.61</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-4.73</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1,693</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19.34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18.81</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-0.29</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-0.31</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spacing w:val="0"/>
                <w:w w:val="83"/>
                <w:kern w:val="0"/>
                <w:sz w:val="24"/>
                <w:szCs w:val="24"/>
                <w:highlight w:val="none"/>
                <w:fitText w:val="2400" w:id="-1151379540"/>
                <w:lang w:val="en-US" w:eastAsia="zh-CN" w:bidi="ar-SA"/>
              </w:rPr>
              <w:t>农林牧渔业生产及辅助人员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329</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2.69</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257.61</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196.40</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229</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2.62</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2190.00</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78.91</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-3.81</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生产制造及有关人员</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2,394</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19.55</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24.11</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48.97</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993</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11.34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-33.09</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0.95</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其他</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2,687</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21.94</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17.23</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171.96</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2,022</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23.10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134.84</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268.98</w:t>
            </w:r>
          </w:p>
        </w:tc>
        <w:tc>
          <w:tcPr>
            <w:tcW w:w="85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104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-0.93</w:t>
            </w:r>
          </w:p>
        </w:tc>
        <w:tc>
          <w:tcPr>
            <w:tcW w:w="116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-11.14</w:t>
            </w:r>
          </w:p>
        </w:tc>
      </w:tr>
      <w:bookmarkEnd w:id="4"/>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700</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-29.08</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360.53</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4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86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12,248</w:t>
            </w:r>
          </w:p>
        </w:tc>
        <w:tc>
          <w:tcPr>
            <w:tcW w:w="90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6.04</w:t>
            </w:r>
          </w:p>
        </w:tc>
        <w:tc>
          <w:tcPr>
            <w:tcW w:w="127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c>
          <w:tcPr>
            <w:tcW w:w="85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8,754</w:t>
            </w:r>
          </w:p>
        </w:tc>
        <w:tc>
          <w:tcPr>
            <w:tcW w:w="93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21.00</w:t>
            </w:r>
          </w:p>
        </w:tc>
        <w:tc>
          <w:tcPr>
            <w:tcW w:w="12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54.99</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5"/>
      <w:bookmarkEnd w:id="6"/>
    </w:tbl>
    <w:p>
      <w:pPr>
        <w:pStyle w:val="2"/>
        <w:ind w:left="0" w:leftChars="0" w:firstLine="0" w:firstLineChars="0"/>
        <w:rPr>
          <w:rFonts w:hint="eastAsia" w:eastAsia="宋体"/>
          <w:color w:val="auto"/>
          <w:sz w:val="22"/>
          <w:szCs w:val="22"/>
          <w:highlight w:val="none"/>
          <w:lang w:eastAsia="zh-CN"/>
        </w:rPr>
      </w:pPr>
    </w:p>
    <w:p>
      <w:pPr>
        <w:pStyle w:val="2"/>
        <w:ind w:left="0" w:leftChars="0" w:firstLine="0" w:firstLineChars="0"/>
        <w:rPr>
          <w:rFonts w:hint="eastAsia" w:eastAsia="宋体"/>
          <w:color w:val="C00000"/>
          <w:sz w:val="22"/>
          <w:szCs w:val="22"/>
          <w:highlight w:val="none"/>
          <w:lang w:eastAsia="zh-CN"/>
        </w:rPr>
      </w:pPr>
      <w:r>
        <w:rPr>
          <w:rFonts w:hint="eastAsia"/>
          <w:color w:val="C00000"/>
          <w:sz w:val="22"/>
          <w:szCs w:val="22"/>
          <w:highlight w:val="none"/>
          <w:lang w:val="en-US" w:eastAsia="zh-CN"/>
        </w:rPr>
        <w:t xml:space="preserve">  </w:t>
      </w:r>
      <w:r>
        <w:rPr>
          <w:rFonts w:hint="eastAsia" w:eastAsia="宋体"/>
          <w:color w:val="C00000"/>
          <w:sz w:val="22"/>
          <w:szCs w:val="22"/>
          <w:highlight w:val="none"/>
          <w:lang w:eastAsia="zh-CN"/>
        </w:rPr>
        <w:drawing>
          <wp:inline distT="0" distB="0" distL="114300" distR="114300">
            <wp:extent cx="8515350" cy="4865370"/>
            <wp:effectExtent l="4445" t="4445" r="1460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left="0" w:leftChars="0" w:firstLine="0" w:firstLineChars="0"/>
        <w:rPr>
          <w:rFonts w:hint="eastAsia" w:eastAsia="宋体"/>
          <w:color w:val="C00000"/>
          <w:sz w:val="22"/>
          <w:szCs w:val="22"/>
          <w:highlight w:val="none"/>
          <w:lang w:eastAsia="zh-CN"/>
        </w:rPr>
      </w:pPr>
    </w:p>
    <w:p>
      <w:pPr>
        <w:pStyle w:val="2"/>
        <w:ind w:left="0" w:leftChars="0" w:firstLine="0" w:firstLineChars="0"/>
        <w:rPr>
          <w:rFonts w:hint="eastAsia" w:eastAsia="宋体"/>
          <w:color w:val="C00000"/>
          <w:sz w:val="22"/>
          <w:szCs w:val="22"/>
          <w:highlight w:val="none"/>
          <w:lang w:eastAsia="zh-CN"/>
        </w:rPr>
        <w:sectPr>
          <w:pgSz w:w="16838" w:h="11906" w:orient="landscape"/>
          <w:pgMar w:top="1800" w:right="1474" w:bottom="1800" w:left="1440"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需求大于、小于求职缺口最大的前十个职业分析</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当前，我盟结构性就业矛盾仍较为突出。从2024年第四季度我盟各地公共就业服务机构统计数据可以看出，劳动力出现短缺的前十个岗位依次是其他金属冶炼和压延加工人员，露天采矿工，快递员，井下采矿工，国际快递业务师，兽医，邮件分拣员，保洁员，餐厅服务员，其他住宿和餐饮服务人员。</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color w:val="C00000"/>
          <w:sz w:val="22"/>
          <w:szCs w:val="22"/>
          <w:highlight w:val="none"/>
        </w:rPr>
      </w:pPr>
      <w:r>
        <w:rPr>
          <w:rFonts w:hint="eastAsia" w:ascii="仿宋_GB2312" w:hAnsi="仿宋_GB2312" w:eastAsia="仿宋_GB2312" w:cs="仿宋_GB2312"/>
          <w:color w:val="auto"/>
          <w:kern w:val="2"/>
          <w:sz w:val="32"/>
          <w:szCs w:val="32"/>
          <w:highlight w:val="none"/>
          <w:lang w:val="en-US" w:eastAsia="zh-CN" w:bidi="ar-SA"/>
        </w:rPr>
        <w:t>同时，我盟各地劳动力市场出现劳动力富余的前十个岗位依次是其他专业技术人员，装卸搬运工，其他行政办事及辅助人员，营销员，会计专业人员，小学教师，乳品加工工，企业人力资源管理师，行政办事员，其他社会生产服务和生活服务人员。</w:t>
      </w: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表6.需求大于求职缺口最大的前十个职业（职业小类）</w:t>
      </w:r>
    </w:p>
    <w:tbl>
      <w:tblPr>
        <w:tblStyle w:val="10"/>
        <w:tblpPr w:leftFromText="180" w:rightFromText="180" w:vertAnchor="text" w:horzAnchor="page" w:tblpX="1663" w:tblpY="598"/>
        <w:tblOverlap w:val="never"/>
        <w:tblW w:w="4927"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904"/>
        <w:gridCol w:w="1273"/>
        <w:gridCol w:w="1303"/>
        <w:gridCol w:w="1147"/>
        <w:gridCol w:w="11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缺口数</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其他金属冶炼和压延加工人员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露天采矿工</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快递员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井下采矿工</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国际快递业务师</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兽医</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邮件分拣员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保洁员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餐厅服务员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其他住宿和餐饮服务人员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30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4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1.18</w:t>
            </w:r>
          </w:p>
        </w:tc>
      </w:tr>
    </w:tbl>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表7.需求小于求职缺口最大的前十个职业（职业小类）</w:t>
      </w:r>
    </w:p>
    <w:tbl>
      <w:tblPr>
        <w:tblStyle w:val="10"/>
        <w:tblpPr w:leftFromText="180" w:rightFromText="180" w:vertAnchor="text" w:horzAnchor="page" w:tblpX="1888" w:tblpY="598"/>
        <w:tblOverlap w:val="never"/>
        <w:tblW w:w="4729"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144"/>
        <w:gridCol w:w="1377"/>
        <w:gridCol w:w="1336"/>
        <w:gridCol w:w="1244"/>
        <w:gridCol w:w="13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186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w:t>
            </w:r>
          </w:p>
        </w:tc>
        <w:tc>
          <w:tcPr>
            <w:tcW w:w="81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w:t>
            </w:r>
          </w:p>
        </w:tc>
        <w:tc>
          <w:tcPr>
            <w:tcW w:w="7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w:t>
            </w:r>
          </w:p>
        </w:tc>
        <w:tc>
          <w:tcPr>
            <w:tcW w:w="7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缺口数</w:t>
            </w:r>
          </w:p>
        </w:tc>
        <w:tc>
          <w:tcPr>
            <w:tcW w:w="7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其他专业技术人员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293</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装卸搬运工</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其他行政办事及辅助人员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营销员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会计专业人员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小学教师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乳品加工工</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企业人力资源管理师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行政办事员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08"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其他社会生产服务和生活服务人员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0.60</w:t>
            </w:r>
          </w:p>
        </w:tc>
      </w:tr>
    </w:tbl>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spacing w:line="300" w:lineRule="atLeast"/>
        <w:jc w:val="center"/>
        <w:rPr>
          <w:rFonts w:hint="eastAsia"/>
          <w:color w:val="C00000"/>
          <w:sz w:val="22"/>
          <w:szCs w:val="22"/>
          <w:highlight w:val="none"/>
        </w:rPr>
      </w:pPr>
      <w:r>
        <w:rPr>
          <w:rFonts w:hint="eastAsia"/>
          <w:color w:val="C00000"/>
          <w:sz w:val="22"/>
          <w:szCs w:val="22"/>
          <w:highlight w:val="none"/>
        </w:rPr>
        <w:t xml:space="preserve"> </w:t>
      </w:r>
    </w:p>
    <w:p>
      <w:pPr>
        <w:pStyle w:val="9"/>
        <w:spacing w:line="300" w:lineRule="atLeast"/>
        <w:jc w:val="center"/>
        <w:rPr>
          <w:rFonts w:hint="eastAsia"/>
          <w:color w:val="C00000"/>
          <w:sz w:val="22"/>
          <w:szCs w:val="22"/>
          <w:highlight w:val="none"/>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六、求职人员分类</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求职者按类别区分，失业人员占比29.18%，新成长失业青年占比24.96%，其中应届高校毕业生占比38.63%。外地户籍求职人员占比20.15%，本市农村求职人员占比9.34%，在业人员和退休人员占比分别为14.71%、1.66%。</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与上一季度相比，退休人员环比上升229.55%，外地户籍求职人员环比上升148.80%，新成长失业青年环比上升137.24%，本市农村求职人员环比上升42.76%，在业人员环比上升10.09%，失业人员环比下降33.11%。</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与去年同期相比，在业人员同比上升3803.03%，外地户籍求职人员同比上升417.30%，退休人员同比上升95.95%，本市农村求职人员同比上升67.97%，新成长失业青年同比上升19.20%，失业人员同比下降10.48%。</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表8. 按求职人员类别分组的求职人数</w:t>
      </w:r>
    </w:p>
    <w:tbl>
      <w:tblPr>
        <w:tblStyle w:val="10"/>
        <w:tblpPr w:leftFromText="180" w:rightFromText="180" w:vertAnchor="text" w:horzAnchor="page" w:tblpX="1560" w:tblpY="917"/>
        <w:tblOverlap w:val="never"/>
        <w:tblW w:w="5006"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14"/>
        <w:gridCol w:w="1356"/>
        <w:gridCol w:w="1276"/>
        <w:gridCol w:w="1518"/>
        <w:gridCol w:w="17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85"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求职人员类别</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7" w:name="OLE_LINK17" w:colFirst="1" w:colLast="1"/>
            <w:r>
              <w:rPr>
                <w:rFonts w:hint="eastAsia" w:ascii="Times New Roman" w:hAnsi="Times New Roman" w:eastAsia="仿宋_GB2312" w:cs="Times New Roman"/>
                <w:b/>
                <w:bCs/>
                <w:color w:val="auto"/>
                <w:kern w:val="2"/>
                <w:sz w:val="24"/>
                <w:szCs w:val="24"/>
                <w:highlight w:val="none"/>
                <w:lang w:val="en-US" w:eastAsia="zh-CN" w:bidi="ar-SA"/>
              </w:rPr>
              <w:t>新成长失业青年 </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2,185</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24.96</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137.24</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1" w:firstLineChars="200"/>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其中：应届高校毕业生</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38.63</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88.81</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140.46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失业人员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2,554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29.18</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-33.11</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在业人员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1,288</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14.71</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10.09</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3803.03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退休人员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229.55</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在学人员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本市农村求职人员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818</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9.34</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42.76</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67.97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外地户籍求职人员</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1,764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20.15</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148.80</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417.30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35"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35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8,754</w:t>
            </w:r>
          </w:p>
        </w:tc>
        <w:tc>
          <w:tcPr>
            <w:tcW w:w="12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51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21.00</w:t>
            </w:r>
          </w:p>
        </w:tc>
        <w:tc>
          <w:tcPr>
            <w:tcW w:w="175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54.99</w:t>
            </w:r>
          </w:p>
        </w:tc>
      </w:tr>
      <w:bookmarkEnd w:id="7"/>
    </w:tbl>
    <w:p>
      <w:pPr>
        <w:pStyle w:val="9"/>
        <w:spacing w:line="300" w:lineRule="atLeast"/>
        <w:jc w:val="center"/>
        <w:rPr>
          <w:rFonts w:hint="eastAsia"/>
          <w:color w:val="C00000"/>
          <w:sz w:val="22"/>
          <w:szCs w:val="22"/>
          <w:highlight w:val="none"/>
          <w:lang w:eastAsia="zh-CN"/>
        </w:rPr>
        <w:sectPr>
          <w:pgSz w:w="11906" w:h="16838"/>
          <w:pgMar w:top="2098" w:right="1474" w:bottom="2041" w:left="1587" w:header="851" w:footer="992" w:gutter="0"/>
          <w:pgNumType w:fmt="decimal"/>
          <w:cols w:space="425" w:num="1"/>
          <w:docGrid w:type="lines" w:linePitch="312" w:charSpace="0"/>
        </w:sectPr>
      </w:pPr>
    </w:p>
    <w:p>
      <w:pPr>
        <w:pStyle w:val="9"/>
        <w:spacing w:line="300" w:lineRule="atLeast"/>
        <w:jc w:val="center"/>
        <w:rPr>
          <w:rFonts w:hint="eastAsia"/>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highlight w:val="none"/>
          <w:lang w:eastAsia="zh-CN"/>
        </w:rPr>
        <w:drawing>
          <wp:inline distT="0" distB="0" distL="114300" distR="114300">
            <wp:extent cx="8119745" cy="5481955"/>
            <wp:effectExtent l="4445" t="5080" r="1016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七、招聘、应聘条件分析</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（一）性别。</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本季度男性求职者4694人，占比53.62%，女性求职者4060人，占比46.38%。</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与上一季度相比，男性求职者增加了579人，环比上升14.07%，女性求职者增加了940人，环比上升了30.13%。</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与去年同期相比，男性求职者增加了2072人，同比上升79.02%，女性求职者增加了1034人，同比上升34.17%。</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表9. 按性别分组的供求人数</w:t>
      </w:r>
    </w:p>
    <w:tbl>
      <w:tblPr>
        <w:tblStyle w:val="10"/>
        <w:tblW w:w="490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53"/>
        <w:gridCol w:w="1610"/>
        <w:gridCol w:w="1617"/>
        <w:gridCol w:w="1886"/>
        <w:gridCol w:w="18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397"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求职人员性别</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9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w:t>
            </w:r>
          </w:p>
        </w:tc>
        <w:tc>
          <w:tcPr>
            <w:tcW w:w="107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107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 求职变化(%)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9"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bookmarkStart w:id="8" w:name="OLE_LINK24" w:colFirst="1" w:colLast="1"/>
            <w:r>
              <w:rPr>
                <w:rFonts w:hint="eastAsia" w:ascii="Times New Roman" w:hAnsi="Times New Roman" w:eastAsia="仿宋_GB2312" w:cs="Times New Roman"/>
                <w:color w:val="auto"/>
                <w:kern w:val="2"/>
                <w:sz w:val="24"/>
                <w:szCs w:val="24"/>
                <w:highlight w:val="none"/>
                <w:lang w:val="en-US" w:eastAsia="zh-CN" w:bidi="ar-SA"/>
              </w:rPr>
              <w:t>男</w:t>
            </w:r>
          </w:p>
        </w:tc>
        <w:tc>
          <w:tcPr>
            <w:tcW w:w="16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4,694</w:t>
            </w:r>
          </w:p>
        </w:tc>
        <w:tc>
          <w:tcPr>
            <w:tcW w:w="161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53.62</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14.07</w:t>
            </w:r>
          </w:p>
        </w:tc>
        <w:tc>
          <w:tcPr>
            <w:tcW w:w="187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79.02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9"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女</w:t>
            </w:r>
          </w:p>
        </w:tc>
        <w:tc>
          <w:tcPr>
            <w:tcW w:w="16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4,060</w:t>
            </w:r>
          </w:p>
        </w:tc>
        <w:tc>
          <w:tcPr>
            <w:tcW w:w="161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46.38</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30.13</w:t>
            </w:r>
          </w:p>
        </w:tc>
        <w:tc>
          <w:tcPr>
            <w:tcW w:w="187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15"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合计</w:t>
            </w:r>
          </w:p>
        </w:tc>
        <w:tc>
          <w:tcPr>
            <w:tcW w:w="16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8,754</w:t>
            </w:r>
          </w:p>
        </w:tc>
        <w:tc>
          <w:tcPr>
            <w:tcW w:w="161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21.00</w:t>
            </w:r>
          </w:p>
        </w:tc>
        <w:tc>
          <w:tcPr>
            <w:tcW w:w="187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54.99</w:t>
            </w:r>
          </w:p>
        </w:tc>
      </w:tr>
      <w:bookmarkEnd w:id="8"/>
    </w:tbl>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color w:val="C00000"/>
          <w:sz w:val="22"/>
          <w:szCs w:val="22"/>
          <w:highlight w:val="none"/>
        </w:rPr>
        <w:sectPr>
          <w:pgSz w:w="11906" w:h="16838"/>
          <w:pgMar w:top="2098" w:right="1474" w:bottom="2041"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楷体_GB2312" w:hAnsi="楷体_GB2312" w:eastAsia="楷体_GB2312" w:cs="楷体_GB2312"/>
          <w:color w:val="C00000"/>
          <w:kern w:val="2"/>
          <w:sz w:val="32"/>
          <w:szCs w:val="32"/>
          <w:highlight w:val="none"/>
          <w:lang w:val="en-US" w:eastAsia="zh-CN" w:bidi="ar-SA"/>
        </w:rPr>
      </w:pPr>
      <w:r>
        <w:rPr>
          <w:rFonts w:hint="eastAsia" w:eastAsia="宋体"/>
          <w:color w:val="C00000"/>
          <w:sz w:val="22"/>
          <w:szCs w:val="22"/>
          <w:highlight w:val="none"/>
          <w:lang w:eastAsia="zh-CN"/>
        </w:rPr>
        <w:drawing>
          <wp:anchor distT="0" distB="0" distL="114300" distR="114300" simplePos="0" relativeHeight="251662336" behindDoc="0" locked="0" layoutInCell="1" allowOverlap="1">
            <wp:simplePos x="0" y="0"/>
            <wp:positionH relativeFrom="column">
              <wp:posOffset>78740</wp:posOffset>
            </wp:positionH>
            <wp:positionV relativeFrom="paragraph">
              <wp:posOffset>100330</wp:posOffset>
            </wp:positionV>
            <wp:extent cx="5416550" cy="3618230"/>
            <wp:effectExtent l="4445" t="4445" r="8255"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（二）年龄。</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用人单位需求用人年龄在16-24岁人员占11.32%，25-34岁人员占比28.21%，35-44岁人员占27.12%，45岁以上人员占9.1%，对年龄无要求的占24.26%。</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与上一季度相比，需求年龄在16-24岁的环比上升了71.96%，在25-34岁的环比下降了2.54%，在35-44岁的环比下降了10.14%，45岁以上的环比上升了63.1%，对年龄无要求的环比上升了5.39%。</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与去年同期相比，需求年龄在16-24岁的同比下降了39%，在25-34岁的同比下降了15.17%，在35-44岁的同比上升了75.3%，45岁以上的同比上升了132.57%，对年龄无要求的同比上升了165.03%。</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求职者的年龄在16-24岁人员占17.15%，25-34岁的占比32.86%，35-44岁人员占29.02%，45岁以上的占比20.97%。</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与上一季度相比，求职年龄在16-24岁的环比上升了148.92%，在25-34岁的环比上升了44.28%，在35-44岁的环比上升了8.41%，45岁以上的环比下降了20%。</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与去年同期相比，求职年龄在16-24岁的同比上升了4.38%，在25-34岁的同比上升了34.13%，在35-44岁的同比上升了83.53%，45岁以上的同比上升了169.6%。</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C00000"/>
          <w:sz w:val="32"/>
          <w:szCs w:val="32"/>
          <w:highlight w:val="none"/>
        </w:rPr>
        <w:sectPr>
          <w:pgSz w:w="11906" w:h="16838"/>
          <w:pgMar w:top="2098" w:right="1474" w:bottom="2041"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表10. 按年龄分组的供求人数</w:t>
      </w:r>
    </w:p>
    <w:tbl>
      <w:tblPr>
        <w:tblStyle w:val="10"/>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27"/>
        <w:gridCol w:w="1140"/>
        <w:gridCol w:w="1188"/>
        <w:gridCol w:w="1123"/>
        <w:gridCol w:w="1123"/>
        <w:gridCol w:w="1140"/>
        <w:gridCol w:w="1188"/>
        <w:gridCol w:w="1123"/>
        <w:gridCol w:w="1123"/>
        <w:gridCol w:w="1224"/>
        <w:gridCol w:w="1019"/>
        <w:gridCol w:w="11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年龄 　</w:t>
            </w:r>
          </w:p>
        </w:tc>
        <w:tc>
          <w:tcPr>
            <w:tcW w:w="4456"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72" w:hRule="atLeast"/>
          <w:tblCellSpacing w:w="0" w:type="dxa"/>
          <w:jc w:val="center"/>
        </w:trPr>
        <w:tc>
          <w:tcPr>
            <w:tcW w:w="543" w:type="pct"/>
            <w:vMerge w:val="continue"/>
            <w:tcBorders>
              <w:top w:val="outset" w:color="auto" w:sz="6" w:space="0"/>
              <w:left w:val="outset" w:color="auto" w:sz="6" w:space="0"/>
              <w:bottom w:val="outset" w:color="auto" w:sz="6" w:space="0"/>
              <w:right w:val="outset" w:color="auto" w:sz="6" w:space="0"/>
            </w:tcBorders>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与上季度相比供求变化</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9" w:name="OLE_LINK4" w:colFirst="5" w:colLast="6"/>
            <w:bookmarkStart w:id="10" w:name="OLE_LINK3" w:colFirst="2" w:colLast="2"/>
            <w:r>
              <w:rPr>
                <w:rFonts w:hint="eastAsia" w:ascii="Times New Roman" w:hAnsi="Times New Roman" w:eastAsia="仿宋_GB2312" w:cs="Times New Roman"/>
                <w:b/>
                <w:bCs/>
                <w:color w:val="auto"/>
                <w:kern w:val="2"/>
                <w:sz w:val="24"/>
                <w:szCs w:val="24"/>
                <w:highlight w:val="none"/>
                <w:lang w:val="en-US" w:eastAsia="zh-CN" w:bidi="ar-SA"/>
              </w:rPr>
              <w:t>16-24岁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1,386</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11.32</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71.96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-39.00</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1,501</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17.15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148.92</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4.38</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-0.47</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25-34岁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3,455</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28.21</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-15.17</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2,877</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32.86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44.28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34.13</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-0.63</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51"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35-44岁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3,322</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27.12</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-10.14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75.30</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2,540</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29.02</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8.41</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83.53</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-0.32</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45岁以上</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1,114</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9.10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63.10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132.57</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1,836</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20.97</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169.60</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0.95</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0.26</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w:t>
            </w:r>
          </w:p>
        </w:tc>
      </w:tr>
      <w:bookmarkEnd w:id="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2,971</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24.26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5.39</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165.03</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r>
      <w:bookmarkEnd w:id="10"/>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12,248</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8,754</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54.99</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-0.17</w:t>
            </w:r>
          </w:p>
        </w:tc>
      </w:tr>
    </w:tbl>
    <w:p>
      <w:pPr>
        <w:pStyle w:val="9"/>
        <w:spacing w:line="300" w:lineRule="atLeast"/>
        <w:jc w:val="center"/>
        <w:rPr>
          <w:rFonts w:hint="eastAsia" w:eastAsia="宋体"/>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eastAsia="宋体"/>
          <w:color w:val="C00000"/>
          <w:sz w:val="22"/>
          <w:szCs w:val="22"/>
          <w:highlight w:val="none"/>
          <w:lang w:eastAsia="zh-CN"/>
        </w:rPr>
        <w:drawing>
          <wp:inline distT="0" distB="0" distL="114300" distR="114300">
            <wp:extent cx="8021955" cy="5262245"/>
            <wp:effectExtent l="4445" t="5080" r="1270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（三）文化程度。</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用人单位对需求的文化程度在初中及以下、高中的占比为12.03%和16.29%，要求学历为大专、本科的分别占岗位总数22.03%和13.28%，无学历要求的占36.37%；</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用人单位对文化程度要求在大专、本科和无学历要求的分别环比下降9.1%，10.56%和6.97%，其余需求均有不同程度的上升。与去年同期相比，要求初中及以下、本科学历和无要求的分别同比上升21.43%、37.76%和213.07%，其余文化程度需求均有所下降。</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求职者文化程度为初中及以下的占比21.86%，高中的占比为25.5%，大专的占比31.05%，本科及硕士以上的分别占比21.58%和0.01%。</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与上一季度相比，高中和硕士以上学历分别环比下降5.46%和87.5%，其余文化程度求职者均有所上升。与去年同期相比，求职者为初中及以下、高中、大专和本科学历分别同比上升了127.32%、6.74%、42.3%和134.66%。</w:t>
      </w:r>
    </w:p>
    <w:p>
      <w:pPr>
        <w:pStyle w:val="9"/>
        <w:spacing w:line="300" w:lineRule="atLeast"/>
        <w:jc w:val="center"/>
        <w:rPr>
          <w:rFonts w:hint="eastAsia"/>
          <w:color w:val="auto"/>
          <w:sz w:val="22"/>
          <w:szCs w:val="22"/>
          <w:highlight w:val="none"/>
        </w:rPr>
      </w:pPr>
      <w:r>
        <w:rPr>
          <w:rFonts w:hint="eastAsia"/>
          <w:color w:val="auto"/>
          <w:sz w:val="22"/>
          <w:szCs w:val="22"/>
          <w:highlight w:val="none"/>
        </w:rPr>
        <w:t>　</w:t>
      </w:r>
    </w:p>
    <w:p>
      <w:pPr>
        <w:pStyle w:val="9"/>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color w:val="C00000"/>
          <w:sz w:val="22"/>
          <w:szCs w:val="22"/>
          <w:highlight w:val="none"/>
        </w:rPr>
        <w:sectPr>
          <w:pgSz w:w="11906" w:h="16838"/>
          <w:pgMar w:top="2098" w:right="1474" w:bottom="2041"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表11. 按文化程度分组的供求人数</w:t>
      </w:r>
    </w:p>
    <w:tbl>
      <w:tblPr>
        <w:tblStyle w:val="10"/>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732"/>
        <w:gridCol w:w="943"/>
        <w:gridCol w:w="974"/>
        <w:gridCol w:w="1157"/>
        <w:gridCol w:w="1216"/>
        <w:gridCol w:w="867"/>
        <w:gridCol w:w="962"/>
        <w:gridCol w:w="1159"/>
        <w:gridCol w:w="1370"/>
        <w:gridCol w:w="704"/>
        <w:gridCol w:w="962"/>
        <w:gridCol w:w="962"/>
        <w:gridCol w:w="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50" w:hRule="atLeast"/>
          <w:tblCellSpacing w:w="0" w:type="dxa"/>
          <w:jc w:val="center"/>
        </w:trPr>
        <w:tc>
          <w:tcPr>
            <w:tcW w:w="971"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文化程度</w:t>
            </w:r>
          </w:p>
        </w:tc>
        <w:tc>
          <w:tcPr>
            <w:tcW w:w="4028" w:type="pct"/>
            <w:gridSpan w:val="1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2041" w:hRule="atLeast"/>
          <w:tblCellSpacing w:w="0" w:type="dxa"/>
          <w:jc w:val="center"/>
        </w:trPr>
        <w:tc>
          <w:tcPr>
            <w:tcW w:w="971" w:type="pct"/>
            <w:vMerge w:val="continue"/>
            <w:tcBorders>
              <w:top w:val="outset" w:color="auto" w:sz="6" w:space="0"/>
              <w:left w:val="outset" w:color="auto" w:sz="6" w:space="0"/>
              <w:bottom w:val="outset" w:color="auto" w:sz="6" w:space="0"/>
              <w:right w:val="outset" w:color="auto" w:sz="6" w:space="0"/>
            </w:tcBorders>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与上季度相比供求变化</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 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11" w:name="OLE_LINK6" w:colFirst="5" w:colLast="5"/>
            <w:bookmarkStart w:id="12" w:name="OLE_LINK8" w:colFirst="6" w:colLast="6"/>
            <w:bookmarkStart w:id="13" w:name="OLE_LINK26" w:colFirst="5" w:colLast="6"/>
            <w:bookmarkStart w:id="14" w:name="OLE_LINK23" w:colFirst="9" w:colLast="9"/>
            <w:bookmarkStart w:id="15" w:name="OLE_LINK25" w:colFirst="1" w:colLast="2"/>
            <w:bookmarkStart w:id="16" w:name="OLE_LINK7" w:colFirst="2" w:colLast="2"/>
            <w:bookmarkStart w:id="17" w:name="OLE_LINK5" w:colFirst="1" w:colLast="1"/>
            <w:bookmarkStart w:id="18" w:name="OLE_LINK22" w:colFirst="1" w:colLast="1"/>
            <w:r>
              <w:rPr>
                <w:rFonts w:hint="eastAsia" w:ascii="Times New Roman" w:hAnsi="Times New Roman" w:eastAsia="仿宋_GB2312" w:cs="Times New Roman"/>
                <w:b/>
                <w:bCs/>
                <w:color w:val="auto"/>
                <w:kern w:val="2"/>
                <w:sz w:val="24"/>
                <w:szCs w:val="24"/>
                <w:highlight w:val="none"/>
                <w:lang w:val="en-US" w:eastAsia="zh-CN" w:bidi="ar-SA"/>
              </w:rPr>
              <w:t>初中及以下</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1,473</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12.03</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413.24</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21.43</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1,914</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21.86</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12.92</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127.32</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0.45</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高中</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1,995</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19.68</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-31.65</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2,232</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25.50</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-5.46</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6.74</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0.03</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68"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其中：职高、技校、中专</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719</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36.04</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-16.97</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-57.81</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620</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27.78</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-32.02</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-0.83</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大专</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2,698</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22.03</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-9.10</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-12.23</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2,718</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31.05</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58.21</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42.30</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-0.89</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大学</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1,627</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13.28</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-10.56</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37.76</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1,889</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21.58</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30.01</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134.66</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-0.54</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硕士以上</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0.01</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-87.50</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0.45</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-2.71</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1"/>
      <w:bookmarkEnd w:id="12"/>
      <w:bookmarkEnd w:id="13"/>
      <w:bookmarkEnd w:id="14"/>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4,455</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36.37</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-6.97</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213.07</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5"/>
      <w:bookmarkEnd w:id="16"/>
      <w:bookmarkEnd w:id="17"/>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50"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12,248</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6.04</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8,754</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21.00</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54.99</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8"/>
    </w:tbl>
    <w:p>
      <w:pPr>
        <w:pStyle w:val="9"/>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highlight w:val="none"/>
          <w:lang w:val="en-US" w:eastAsia="zh-CN"/>
        </w:rPr>
        <w:t xml:space="preserve">    </w:t>
      </w:r>
      <w:r>
        <w:rPr>
          <w:rFonts w:hint="eastAsia" w:eastAsia="宋体"/>
          <w:color w:val="C00000"/>
          <w:sz w:val="22"/>
          <w:szCs w:val="22"/>
          <w:highlight w:val="none"/>
          <w:lang w:eastAsia="zh-CN"/>
        </w:rPr>
        <w:drawing>
          <wp:inline distT="0" distB="0" distL="114300" distR="114300">
            <wp:extent cx="8438515" cy="5502275"/>
            <wp:effectExtent l="4445" t="4445" r="15240"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（四）技术等级或职称。</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用人单位对技术等级无要求的占66.25%，要求初级专业技术职务和职业资格五级的占比为16.36%和13.12%，中级专业技术职务和职业资格四级的占比为2.28%和1.49%；职业资格三级和二级的占比为0.45%、0.05%。</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对技术等级无要求的减少了1147人，环比下降12.39%，需求初级专业技术职务增加了1187人，环比上升145.29%，需求中级专业技术职务的减少了278人，环比下降49.91%。职业资格五级需求人数增加了958人，环比上升147.61%，职业资格四级需求人数增加了9人，环比上升5.17%。职业资格三级需求人数增加了42人，环比上升323.08%，职业资格二级需求人数增加了2人，环比上升50%。</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对技术等级无要求的增加了5480人，同比上升208.05%，需求初级专业技术职务、中级专业技术职务的人数分别减少了1586人和2056人，同比下降44.18%和88.05%，职业资格五级、三级、二级需求人数分别增加了812人、26人、2人，同比上升了102.14%、89.66%和50%，职业资格四级需求人数减少了206人，同比下降52.96%，职业资格一级需求人数减少2人。</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求职者无技术等级或职称的占比58.96%，初级专业技术职务和职业资格五级的占比为15.82%和17.55%，中级专业技术职务和职业资格四级的占比为1.51%和5.09%；职业资格二、三级的占比为0.48%、0.59%。</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求职者为初级专业技术职务的增加了831人，环比上升了150%，为职业资格五级的增加了945人，环比上升159.9%，为中级专业技术职务的减少了1人，环比下降0.75%，为职业资格四级的增加了331人，环比上升287.83%，为职业资格三级的增加了47人，环比上升940%，无技术等级或职称的减少了634人，环比下降了10.94%。</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无技术等级或职称的增加了1790人，同比上升53.1%，职业资格五级、四级、三级、二级的求职者分别增加了1137人、372人、45人、5人，同比上升284.96%、502.7%、642.86%、13.51%，初级专业技术职务增加了511人，同比上升58.47%，中级专业技术职务减少了725人，同比下降84.6%，高级专业技术职务减少了29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C00000"/>
          <w:sz w:val="32"/>
          <w:szCs w:val="32"/>
          <w:highlight w:val="none"/>
          <w:lang w:val="en-US" w:eastAsia="zh-CN"/>
        </w:rPr>
        <w:sectPr>
          <w:pgSz w:w="11906" w:h="16838"/>
          <w:pgMar w:top="2098" w:right="1474" w:bottom="2041" w:left="1587" w:header="851" w:footer="992" w:gutter="0"/>
          <w:pgNumType w:fmt="decimal"/>
          <w:cols w:space="425" w:num="1"/>
          <w:docGrid w:type="lines" w:linePitch="312" w:charSpace="0"/>
        </w:sect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表12. 按技术等级分组的供求人数</w:t>
      </w:r>
    </w:p>
    <w:tbl>
      <w:tblPr>
        <w:tblStyle w:val="10"/>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45"/>
        <w:gridCol w:w="993"/>
        <w:gridCol w:w="993"/>
        <w:gridCol w:w="993"/>
        <w:gridCol w:w="1097"/>
        <w:gridCol w:w="900"/>
        <w:gridCol w:w="993"/>
        <w:gridCol w:w="1002"/>
        <w:gridCol w:w="1114"/>
        <w:gridCol w:w="884"/>
        <w:gridCol w:w="915"/>
        <w:gridCol w:w="11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技术等级</w:t>
            </w:r>
          </w:p>
        </w:tc>
        <w:tc>
          <w:tcPr>
            <w:tcW w:w="3917"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54" w:hRule="atLeast"/>
          <w:tblCellSpacing w:w="0" w:type="dxa"/>
          <w:jc w:val="center"/>
        </w:trPr>
        <w:tc>
          <w:tcPr>
            <w:tcW w:w="1082" w:type="pct"/>
            <w:vMerge w:val="continue"/>
            <w:tcBorders>
              <w:top w:val="outset" w:color="auto" w:sz="6" w:space="0"/>
              <w:left w:val="outset" w:color="auto" w:sz="6" w:space="0"/>
              <w:bottom w:val="outset" w:color="auto" w:sz="6" w:space="0"/>
              <w:right w:val="outset" w:color="auto" w:sz="6" w:space="0"/>
            </w:tcBorders>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倍率</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 同期相比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19" w:name="OLE_LINK29" w:colFirst="9" w:colLast="9"/>
            <w:bookmarkStart w:id="20" w:name="OLE_LINK10" w:colFirst="5" w:colLast="5"/>
            <w:bookmarkStart w:id="21" w:name="OLE_LINK11" w:colFirst="6" w:colLast="6"/>
            <w:bookmarkStart w:id="22" w:name="OLE_LINK9" w:colFirst="1" w:colLast="1"/>
            <w:bookmarkStart w:id="23" w:name="OLE_LINK27" w:colFirst="1" w:colLast="1"/>
            <w:bookmarkStart w:id="24" w:name="OLE_LINK28" w:colFirst="5" w:colLast="5"/>
            <w:r>
              <w:rPr>
                <w:rFonts w:hint="eastAsia" w:ascii="Times New Roman" w:hAnsi="Times New Roman" w:eastAsia="仿宋_GB2312" w:cs="Times New Roman"/>
                <w:b/>
                <w:bCs/>
                <w:color w:val="auto"/>
                <w:kern w:val="2"/>
                <w:sz w:val="24"/>
                <w:szCs w:val="24"/>
                <w:highlight w:val="none"/>
                <w:lang w:val="en-US" w:eastAsia="zh-CN" w:bidi="ar-SA"/>
              </w:rPr>
              <w:t>职业资格五级(初级技能)</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1,607</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13.12</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147.61</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102.14</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1,536</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17.55</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159.90</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284.96</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-0.41</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职业资格四级(中级技能)</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5.17</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-52.96</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446</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5.09</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287.83</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502.70</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职业资格三级(高级技能)</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0.45</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323.08</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89.66</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0.59</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940.00</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642.86</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职业资格二级(技师)</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0.05</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0.48</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13.51</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-0.30</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职业资格一级(高级技师)</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初级专业技术职务</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2,004</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16.36</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145.29</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-44.18</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1,385</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15.82</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150.00</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58.47</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2.37</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-0.39</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中级专业技术职务</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279</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2.28</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-49.91</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-88.05</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-0.75</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-84.60</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3.04</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高级专业技术职务</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0.00</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-2.65</w:t>
            </w:r>
          </w:p>
        </w:tc>
      </w:tr>
      <w:bookmarkEnd w:id="1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无技术等级或职称</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5,161</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58.96</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-10.94</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53.10</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0.93</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-0.35</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0.42</w:t>
            </w:r>
          </w:p>
        </w:tc>
      </w:tr>
      <w:bookmarkEnd w:id="20"/>
      <w:bookmarkEnd w:id="21"/>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8,114</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66.25</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-12.39</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208.05</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22"/>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12,248</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6.04</w:t>
            </w:r>
          </w:p>
        </w:tc>
        <w:tc>
          <w:tcPr>
            <w:tcW w:w="3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24.47</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8,754</w:t>
            </w:r>
          </w:p>
        </w:tc>
        <w:tc>
          <w:tcPr>
            <w:tcW w:w="3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21.00</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54.99</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23"/>
      <w:bookmarkEnd w:id="24"/>
    </w:tbl>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200" w:leftChars="-500" w:firstLine="560" w:firstLineChars="200"/>
        <w:textAlignment w:val="auto"/>
        <w:rPr>
          <w:rFonts w:hint="eastAsia"/>
          <w:color w:val="C00000"/>
          <w:sz w:val="28"/>
          <w:szCs w:val="28"/>
          <w:highlight w:val="none"/>
          <w:lang w:val="en-US"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8"/>
          <w:szCs w:val="28"/>
          <w:highlight w:val="none"/>
          <w:lang w:val="en-US" w:eastAsia="zh-CN"/>
        </w:rPr>
        <w:drawing>
          <wp:anchor distT="0" distB="0" distL="114300" distR="114300" simplePos="0" relativeHeight="251663360" behindDoc="1" locked="0" layoutInCell="1" allowOverlap="1">
            <wp:simplePos x="0" y="0"/>
            <wp:positionH relativeFrom="column">
              <wp:posOffset>-31750</wp:posOffset>
            </wp:positionH>
            <wp:positionV relativeFrom="paragraph">
              <wp:posOffset>-16510</wp:posOffset>
            </wp:positionV>
            <wp:extent cx="8945880" cy="5274945"/>
            <wp:effectExtent l="4445" t="4445" r="22225" b="16510"/>
            <wp:wrapTight wrapText="bothSides">
              <wp:wrapPolygon>
                <wp:start x="-11" y="-18"/>
                <wp:lineTo x="-11" y="21512"/>
                <wp:lineTo x="21562" y="21512"/>
                <wp:lineTo x="21562" y="-18"/>
                <wp:lineTo x="-11" y="-18"/>
              </wp:wrapPolygon>
            </wp:wrapTight>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color w:val="C00000"/>
          <w:sz w:val="28"/>
          <w:szCs w:val="28"/>
          <w:highlight w:val="none"/>
          <w:lang w:val="en-US" w:eastAsia="zh-CN"/>
        </w:rPr>
        <w:t xml:space="preserve">   </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八、分析总结、存在问题及下一步工作措施</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（一）分析总结。</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一是我盟人力资源市场2024年第四季度统计用人单位需求人数略大于求职人数，求人倍率1.40，市场供求总体保持平稳。</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是从产业结构需求角度看，以服务业为代表的第三产业和以制造业为代表的第二产业在吸纳就业中占主导，特别是第三产业最为明显。从行业需求看，居民服务和其他服务业，住宿和餐饮业，批发和零售业仍是我盟主要的用工需求种类。</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是从用人单位经济类型看，企业用人需求仍占主体地位，所占比重达96.85%，以企业需求为主的总体格局基本保持不变；从各类职业的需求状况看，办事人员和有关人员、社会生产服务和生活服务人员、生产制造及有关人员是第三季度用人需求的主体，合计占全部用人需求的64.45%，从求职情况看，求职人员相对集中的职业和用人需求之间基本保持一致，办事人员和有关人员、社会生产服务和生活服务人员、生产制造及有关人员所占求职人员的54.43%。</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是我盟失业人员占本季度求职人数比重较大，占比29.18%；求职者年龄在25-34岁、35-44岁和45岁以上的偏多，占比分别为32.86%，29.02%和20.97%；男性求职者较多，占比53.62%；求职者中初中及以下，高中，大专，本科文化程度占比较均匀，拥有硕士以上文凭的求职者比重仅为0.01%。</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（二）存在问题。</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求人倍率约为1.4，市场用工需求略大于劳动供给，但部分企业出现技工短缺、熟练工短缺、新型人才短缺的现象，例如精益工程师、地质工程师等岗位经常招不到人，而一部分失业人员和低技能劳动者缺少专业技能，很难找到工作。高校毕业生等青年群体对薪酬水平、工作环境等预期要求较高，热衷于考研、考公务员和事业编，不愿从事与专业不匹配、条件艰苦的工作，导致就业难与招工难并存。</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2.用人单位对于技术等级方面的要求在逐渐提高，进入市场求职者的整体素质虽在逐步提高，但整体水平仍然偏低，我盟求职人员的技术等级还不能满足市场需求，存在结构性就业矛盾。</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（三）下一步工作措施。</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聚焦高校毕业生、农牧区富余劳动力、就业困难人员等重点群体，实施好岗前培训、技能提升培训、转岗培训等，全面提高其职业素质和就业技能水平，弥补企业岗位缺口，实现技能和岗位的无缝对接，缓解就业结构性矛盾。</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2.继续加强与重点企业的联系，获取招聘信息，在就业部门官方平台发布相关招聘信息，拓宽高校毕业生等重点群体的信息来源渠道。</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3.进一步深化跨区域劳务协作，完善劳务输出、输入协作机制，加强工作对接，举办跨区域招聘会，召开工作联系会议，常态化开展业务交流和就业创业服务合作，积极推动跨区域劳务协作工作落实落细，促进我盟就业创业工作高质量发展</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4.依托自治区智慧服务平台，建设全盟统一的线上供需对接平台，畅通线上供需对接渠道。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p>
    <w:p>
      <w:pPr>
        <w:pStyle w:val="9"/>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锡林郭勒盟就业服务中心  </w:t>
      </w:r>
    </w:p>
    <w:p>
      <w:pPr>
        <w:pStyle w:val="9"/>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color w:val="C00000"/>
          <w:highlight w:val="none"/>
        </w:rPr>
      </w:pPr>
      <w:r>
        <w:rPr>
          <w:rFonts w:hint="eastAsia" w:ascii="Times New Roman" w:hAnsi="Times New Roman" w:eastAsia="仿宋_GB2312" w:cs="Times New Roman"/>
          <w:color w:val="auto"/>
          <w:kern w:val="2"/>
          <w:sz w:val="32"/>
          <w:szCs w:val="32"/>
          <w:highlight w:val="none"/>
          <w:lang w:val="en-US" w:eastAsia="zh-CN" w:bidi="ar-SA"/>
        </w:rPr>
        <w:t xml:space="preserve">2025年1月31日    </w:t>
      </w:r>
      <w:r>
        <w:rPr>
          <w:rFonts w:hint="eastAsia" w:ascii="Times New Roman" w:hAnsi="Times New Roman" w:eastAsia="仿宋_GB2312" w:cs="Times New Roman"/>
          <w:color w:val="C00000"/>
          <w:kern w:val="2"/>
          <w:sz w:val="32"/>
          <w:szCs w:val="32"/>
          <w:highlight w:val="none"/>
          <w:lang w:val="en-US" w:eastAsia="zh-CN" w:bidi="ar-SA"/>
        </w:rPr>
        <w:t xml:space="preserve"> </w:t>
      </w:r>
    </w:p>
    <w:sectPr>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nk Qagan Tig">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2NzAwZDE5ODI5MTVlZTczMTkyYmU5NDZhNGMifQ=="/>
  </w:docVars>
  <w:rsids>
    <w:rsidRoot w:val="00000000"/>
    <w:rsid w:val="01786D21"/>
    <w:rsid w:val="02023712"/>
    <w:rsid w:val="029244E7"/>
    <w:rsid w:val="02BEAFAE"/>
    <w:rsid w:val="02F90D26"/>
    <w:rsid w:val="03950CEB"/>
    <w:rsid w:val="03D830B7"/>
    <w:rsid w:val="03E87ED9"/>
    <w:rsid w:val="03F6868C"/>
    <w:rsid w:val="03FF0AF6"/>
    <w:rsid w:val="05E6807D"/>
    <w:rsid w:val="064A20F9"/>
    <w:rsid w:val="06E60AFD"/>
    <w:rsid w:val="07852E9F"/>
    <w:rsid w:val="091D7025"/>
    <w:rsid w:val="0AD80D5D"/>
    <w:rsid w:val="0B99E491"/>
    <w:rsid w:val="0BEEB4DB"/>
    <w:rsid w:val="0BF24D73"/>
    <w:rsid w:val="0C0D424F"/>
    <w:rsid w:val="0CBF5AE0"/>
    <w:rsid w:val="0D0A7F12"/>
    <w:rsid w:val="0F0E4A6B"/>
    <w:rsid w:val="0F4DC3D2"/>
    <w:rsid w:val="0F7F26FB"/>
    <w:rsid w:val="0F941BF3"/>
    <w:rsid w:val="0F9D0A29"/>
    <w:rsid w:val="0F9FC6FF"/>
    <w:rsid w:val="0FFFBF2E"/>
    <w:rsid w:val="10772163"/>
    <w:rsid w:val="108B0A9D"/>
    <w:rsid w:val="118E2FDF"/>
    <w:rsid w:val="11A51273"/>
    <w:rsid w:val="11DE2A6E"/>
    <w:rsid w:val="12AC38F3"/>
    <w:rsid w:val="133F9C77"/>
    <w:rsid w:val="135F6148"/>
    <w:rsid w:val="13AF4621"/>
    <w:rsid w:val="140F3BE3"/>
    <w:rsid w:val="144910C6"/>
    <w:rsid w:val="147D6C97"/>
    <w:rsid w:val="1484668F"/>
    <w:rsid w:val="14BE02FD"/>
    <w:rsid w:val="14DCC8E6"/>
    <w:rsid w:val="151744A1"/>
    <w:rsid w:val="156BB16A"/>
    <w:rsid w:val="16BFD029"/>
    <w:rsid w:val="176F1054"/>
    <w:rsid w:val="17A61451"/>
    <w:rsid w:val="17B70BFE"/>
    <w:rsid w:val="17D8FD25"/>
    <w:rsid w:val="17FF9D18"/>
    <w:rsid w:val="17FFD5DF"/>
    <w:rsid w:val="18047D2E"/>
    <w:rsid w:val="198943B9"/>
    <w:rsid w:val="19898200"/>
    <w:rsid w:val="19A32E6F"/>
    <w:rsid w:val="1AAFB6A0"/>
    <w:rsid w:val="1AF0E69D"/>
    <w:rsid w:val="1B777030"/>
    <w:rsid w:val="1BC65FB1"/>
    <w:rsid w:val="1BED86CD"/>
    <w:rsid w:val="1BFA5F24"/>
    <w:rsid w:val="1C5A2FE5"/>
    <w:rsid w:val="1CFF2800"/>
    <w:rsid w:val="1D7591D7"/>
    <w:rsid w:val="1DF568E9"/>
    <w:rsid w:val="1DFF1017"/>
    <w:rsid w:val="1DFF3E77"/>
    <w:rsid w:val="1DFFDD1F"/>
    <w:rsid w:val="1E341ACC"/>
    <w:rsid w:val="1E7F7E18"/>
    <w:rsid w:val="1EDF76C8"/>
    <w:rsid w:val="1EFF140F"/>
    <w:rsid w:val="1F7D78E1"/>
    <w:rsid w:val="1FAB2D67"/>
    <w:rsid w:val="1FB7ACA9"/>
    <w:rsid w:val="1FBD443F"/>
    <w:rsid w:val="1FCFB44B"/>
    <w:rsid w:val="1FD31441"/>
    <w:rsid w:val="1FDD1958"/>
    <w:rsid w:val="1FEF3001"/>
    <w:rsid w:val="1FF43405"/>
    <w:rsid w:val="1FFB2FA4"/>
    <w:rsid w:val="1FFFCAB0"/>
    <w:rsid w:val="207C996A"/>
    <w:rsid w:val="2137E471"/>
    <w:rsid w:val="21B1B628"/>
    <w:rsid w:val="21BF65BC"/>
    <w:rsid w:val="21FF2C96"/>
    <w:rsid w:val="21FF5DCE"/>
    <w:rsid w:val="220E736E"/>
    <w:rsid w:val="227F7854"/>
    <w:rsid w:val="23420DEC"/>
    <w:rsid w:val="23ED2AA4"/>
    <w:rsid w:val="23FE7AC8"/>
    <w:rsid w:val="247A9147"/>
    <w:rsid w:val="2536529E"/>
    <w:rsid w:val="25833998"/>
    <w:rsid w:val="25A97F22"/>
    <w:rsid w:val="25BE4F18"/>
    <w:rsid w:val="26150DA4"/>
    <w:rsid w:val="26BF3DC2"/>
    <w:rsid w:val="2767C6E7"/>
    <w:rsid w:val="27C98FAA"/>
    <w:rsid w:val="27CDDD06"/>
    <w:rsid w:val="27D9CD06"/>
    <w:rsid w:val="27DF65C1"/>
    <w:rsid w:val="27E75710"/>
    <w:rsid w:val="27FB6703"/>
    <w:rsid w:val="280776A2"/>
    <w:rsid w:val="283471D2"/>
    <w:rsid w:val="289F84E5"/>
    <w:rsid w:val="28EA16F9"/>
    <w:rsid w:val="28F543AE"/>
    <w:rsid w:val="297FD732"/>
    <w:rsid w:val="29EF9086"/>
    <w:rsid w:val="2AFF6917"/>
    <w:rsid w:val="2B108ACB"/>
    <w:rsid w:val="2B674404"/>
    <w:rsid w:val="2B9393BD"/>
    <w:rsid w:val="2BA9407C"/>
    <w:rsid w:val="2BBDBDF3"/>
    <w:rsid w:val="2BDF184B"/>
    <w:rsid w:val="2BDF6639"/>
    <w:rsid w:val="2BFBEB91"/>
    <w:rsid w:val="2BFE30FD"/>
    <w:rsid w:val="2BFFDD52"/>
    <w:rsid w:val="2C739323"/>
    <w:rsid w:val="2CEB2939"/>
    <w:rsid w:val="2D3D711C"/>
    <w:rsid w:val="2D5EAA75"/>
    <w:rsid w:val="2D7F4CE3"/>
    <w:rsid w:val="2DEA4B8C"/>
    <w:rsid w:val="2DF91D1E"/>
    <w:rsid w:val="2DFE6AD9"/>
    <w:rsid w:val="2DFED86F"/>
    <w:rsid w:val="2DFEE3E0"/>
    <w:rsid w:val="2DFF2940"/>
    <w:rsid w:val="2DFF4D09"/>
    <w:rsid w:val="2E7F3346"/>
    <w:rsid w:val="2ED5E09D"/>
    <w:rsid w:val="2ED76515"/>
    <w:rsid w:val="2EDF8003"/>
    <w:rsid w:val="2EFFE395"/>
    <w:rsid w:val="2F555BA2"/>
    <w:rsid w:val="2F5EEF83"/>
    <w:rsid w:val="2F62F3BF"/>
    <w:rsid w:val="2F7A4091"/>
    <w:rsid w:val="2F7A9D82"/>
    <w:rsid w:val="2F7FB0D0"/>
    <w:rsid w:val="2F7FDD34"/>
    <w:rsid w:val="2F8DE38C"/>
    <w:rsid w:val="2FB5E646"/>
    <w:rsid w:val="2FBD4B65"/>
    <w:rsid w:val="2FBF626D"/>
    <w:rsid w:val="2FBFE846"/>
    <w:rsid w:val="2FEBEBD5"/>
    <w:rsid w:val="2FFB1837"/>
    <w:rsid w:val="2FFB42DE"/>
    <w:rsid w:val="2FFF848C"/>
    <w:rsid w:val="307F2F66"/>
    <w:rsid w:val="333FD77E"/>
    <w:rsid w:val="33A749B4"/>
    <w:rsid w:val="33AEF35B"/>
    <w:rsid w:val="33D840FB"/>
    <w:rsid w:val="33DFBAA3"/>
    <w:rsid w:val="33FE8FAD"/>
    <w:rsid w:val="33FF5DBB"/>
    <w:rsid w:val="34BA96BB"/>
    <w:rsid w:val="352B8572"/>
    <w:rsid w:val="3578C8AF"/>
    <w:rsid w:val="357F753F"/>
    <w:rsid w:val="357FB598"/>
    <w:rsid w:val="3597557A"/>
    <w:rsid w:val="35A766EE"/>
    <w:rsid w:val="363B825E"/>
    <w:rsid w:val="367F66D0"/>
    <w:rsid w:val="36BD569A"/>
    <w:rsid w:val="36D4FA1E"/>
    <w:rsid w:val="36D788FC"/>
    <w:rsid w:val="36F70C69"/>
    <w:rsid w:val="36F7CB60"/>
    <w:rsid w:val="374846E6"/>
    <w:rsid w:val="375DCB62"/>
    <w:rsid w:val="3767A2E1"/>
    <w:rsid w:val="376D8200"/>
    <w:rsid w:val="376D8C71"/>
    <w:rsid w:val="37701C0B"/>
    <w:rsid w:val="377B9744"/>
    <w:rsid w:val="377C474C"/>
    <w:rsid w:val="377E142D"/>
    <w:rsid w:val="379B7C58"/>
    <w:rsid w:val="37AEF5B8"/>
    <w:rsid w:val="37DBEADC"/>
    <w:rsid w:val="37DD0153"/>
    <w:rsid w:val="37DEDB67"/>
    <w:rsid w:val="37DFF585"/>
    <w:rsid w:val="37E3481A"/>
    <w:rsid w:val="37E3EBB0"/>
    <w:rsid w:val="37E7ABCD"/>
    <w:rsid w:val="37EFEF69"/>
    <w:rsid w:val="37F7432D"/>
    <w:rsid w:val="37F845CA"/>
    <w:rsid w:val="37FD47D7"/>
    <w:rsid w:val="37FFC4FA"/>
    <w:rsid w:val="382D5401"/>
    <w:rsid w:val="385FC2EB"/>
    <w:rsid w:val="38E30B05"/>
    <w:rsid w:val="38F78056"/>
    <w:rsid w:val="3968368D"/>
    <w:rsid w:val="397D0039"/>
    <w:rsid w:val="39DF9B6C"/>
    <w:rsid w:val="39EF0E85"/>
    <w:rsid w:val="39FB655B"/>
    <w:rsid w:val="39FFD655"/>
    <w:rsid w:val="3A0B4AF4"/>
    <w:rsid w:val="3A561988"/>
    <w:rsid w:val="3A847A19"/>
    <w:rsid w:val="3AAD0BD5"/>
    <w:rsid w:val="3ABED55B"/>
    <w:rsid w:val="3ABF932D"/>
    <w:rsid w:val="3AFCCC8F"/>
    <w:rsid w:val="3AFF0233"/>
    <w:rsid w:val="3B33806D"/>
    <w:rsid w:val="3B4F5D7E"/>
    <w:rsid w:val="3B5748BD"/>
    <w:rsid w:val="3B6D6F1B"/>
    <w:rsid w:val="3B7E98C7"/>
    <w:rsid w:val="3B7F6525"/>
    <w:rsid w:val="3BAD0950"/>
    <w:rsid w:val="3BBF5553"/>
    <w:rsid w:val="3BBFDD6F"/>
    <w:rsid w:val="3BDB08A9"/>
    <w:rsid w:val="3BDCDF40"/>
    <w:rsid w:val="3BE4B945"/>
    <w:rsid w:val="3BEE8568"/>
    <w:rsid w:val="3BF2BEF7"/>
    <w:rsid w:val="3BFC1FDC"/>
    <w:rsid w:val="3C39193B"/>
    <w:rsid w:val="3C539AA6"/>
    <w:rsid w:val="3C9796C2"/>
    <w:rsid w:val="3CD2013A"/>
    <w:rsid w:val="3CDB8D78"/>
    <w:rsid w:val="3CF3FF44"/>
    <w:rsid w:val="3CFD4504"/>
    <w:rsid w:val="3CFF05A1"/>
    <w:rsid w:val="3D597D51"/>
    <w:rsid w:val="3D5D7840"/>
    <w:rsid w:val="3D632A8A"/>
    <w:rsid w:val="3D692724"/>
    <w:rsid w:val="3D978667"/>
    <w:rsid w:val="3D984C94"/>
    <w:rsid w:val="3DB00C79"/>
    <w:rsid w:val="3DBACE9F"/>
    <w:rsid w:val="3DBF510F"/>
    <w:rsid w:val="3DC5F414"/>
    <w:rsid w:val="3DCCC8C6"/>
    <w:rsid w:val="3DD7C233"/>
    <w:rsid w:val="3DD7C272"/>
    <w:rsid w:val="3DD9E156"/>
    <w:rsid w:val="3DDFAB8A"/>
    <w:rsid w:val="3DE541D6"/>
    <w:rsid w:val="3DE76293"/>
    <w:rsid w:val="3DF55696"/>
    <w:rsid w:val="3DF6F78C"/>
    <w:rsid w:val="3DF9D206"/>
    <w:rsid w:val="3DFB7A11"/>
    <w:rsid w:val="3DFE806E"/>
    <w:rsid w:val="3E1FBC67"/>
    <w:rsid w:val="3E2F986A"/>
    <w:rsid w:val="3E7F44B1"/>
    <w:rsid w:val="3E7FECEF"/>
    <w:rsid w:val="3E894E20"/>
    <w:rsid w:val="3E934E39"/>
    <w:rsid w:val="3E97A4D2"/>
    <w:rsid w:val="3EAF0446"/>
    <w:rsid w:val="3EDE17E6"/>
    <w:rsid w:val="3EDF56C1"/>
    <w:rsid w:val="3EDFF0AF"/>
    <w:rsid w:val="3EEA354A"/>
    <w:rsid w:val="3EEF652D"/>
    <w:rsid w:val="3EF7960E"/>
    <w:rsid w:val="3EF91315"/>
    <w:rsid w:val="3EFAAE70"/>
    <w:rsid w:val="3EFAE533"/>
    <w:rsid w:val="3EFDD5B2"/>
    <w:rsid w:val="3EFE033F"/>
    <w:rsid w:val="3EFE3E07"/>
    <w:rsid w:val="3EFF644D"/>
    <w:rsid w:val="3EFF9330"/>
    <w:rsid w:val="3F1EE8F8"/>
    <w:rsid w:val="3F1FFFD9"/>
    <w:rsid w:val="3F458B64"/>
    <w:rsid w:val="3F77BFC7"/>
    <w:rsid w:val="3F7D3462"/>
    <w:rsid w:val="3F7D86C0"/>
    <w:rsid w:val="3F7E90BF"/>
    <w:rsid w:val="3F98FA67"/>
    <w:rsid w:val="3F9BE5CD"/>
    <w:rsid w:val="3F9BFE6E"/>
    <w:rsid w:val="3F9FFAA2"/>
    <w:rsid w:val="3FA6C064"/>
    <w:rsid w:val="3FAC2967"/>
    <w:rsid w:val="3FAF0CCF"/>
    <w:rsid w:val="3FAF42CF"/>
    <w:rsid w:val="3FB7902A"/>
    <w:rsid w:val="3FBAADD9"/>
    <w:rsid w:val="3FBB4B4B"/>
    <w:rsid w:val="3FBF51DA"/>
    <w:rsid w:val="3FBFB972"/>
    <w:rsid w:val="3FCDCF89"/>
    <w:rsid w:val="3FCEFA7F"/>
    <w:rsid w:val="3FD55BBA"/>
    <w:rsid w:val="3FD77333"/>
    <w:rsid w:val="3FDB6BA2"/>
    <w:rsid w:val="3FDDEE15"/>
    <w:rsid w:val="3FDE1DD7"/>
    <w:rsid w:val="3FDF380B"/>
    <w:rsid w:val="3FDF7753"/>
    <w:rsid w:val="3FE9491B"/>
    <w:rsid w:val="3FEE5E21"/>
    <w:rsid w:val="3FEED6F8"/>
    <w:rsid w:val="3FEF4A1E"/>
    <w:rsid w:val="3FEF4EC4"/>
    <w:rsid w:val="3FEF9A3F"/>
    <w:rsid w:val="3FEFE7BE"/>
    <w:rsid w:val="3FF10F17"/>
    <w:rsid w:val="3FF796E3"/>
    <w:rsid w:val="3FF7B725"/>
    <w:rsid w:val="3FF7BE3C"/>
    <w:rsid w:val="3FFB32CA"/>
    <w:rsid w:val="3FFC2A89"/>
    <w:rsid w:val="3FFC9A81"/>
    <w:rsid w:val="3FFCC64F"/>
    <w:rsid w:val="3FFD4E48"/>
    <w:rsid w:val="3FFDCD4A"/>
    <w:rsid w:val="3FFF1EE6"/>
    <w:rsid w:val="3FFF20E9"/>
    <w:rsid w:val="3FFF55A9"/>
    <w:rsid w:val="3FFF5DE1"/>
    <w:rsid w:val="3FFF986E"/>
    <w:rsid w:val="3FFFA88B"/>
    <w:rsid w:val="3FFFDC58"/>
    <w:rsid w:val="3FFFDD23"/>
    <w:rsid w:val="3FFFF834"/>
    <w:rsid w:val="409965D9"/>
    <w:rsid w:val="41BFB041"/>
    <w:rsid w:val="41EA21C1"/>
    <w:rsid w:val="42EB26BD"/>
    <w:rsid w:val="430D296A"/>
    <w:rsid w:val="434937D5"/>
    <w:rsid w:val="43DB904A"/>
    <w:rsid w:val="43F65C10"/>
    <w:rsid w:val="43FB130C"/>
    <w:rsid w:val="444A66E7"/>
    <w:rsid w:val="448D14BE"/>
    <w:rsid w:val="44B6296D"/>
    <w:rsid w:val="457E8FFF"/>
    <w:rsid w:val="45DBFF4A"/>
    <w:rsid w:val="45FF6783"/>
    <w:rsid w:val="46054DFB"/>
    <w:rsid w:val="46797C10"/>
    <w:rsid w:val="46E6F588"/>
    <w:rsid w:val="4713FB51"/>
    <w:rsid w:val="475C9B02"/>
    <w:rsid w:val="477AD6C6"/>
    <w:rsid w:val="477E5107"/>
    <w:rsid w:val="47BF9EB9"/>
    <w:rsid w:val="485B0E7B"/>
    <w:rsid w:val="4890786F"/>
    <w:rsid w:val="48F3115A"/>
    <w:rsid w:val="49A735B5"/>
    <w:rsid w:val="49DD1BED"/>
    <w:rsid w:val="49FF7642"/>
    <w:rsid w:val="49FF7A06"/>
    <w:rsid w:val="4AD3CB5D"/>
    <w:rsid w:val="4AFF3B03"/>
    <w:rsid w:val="4B1E9DBF"/>
    <w:rsid w:val="4BB7ABF0"/>
    <w:rsid w:val="4BDF61C9"/>
    <w:rsid w:val="4BE271E4"/>
    <w:rsid w:val="4BEF11E5"/>
    <w:rsid w:val="4BEFD907"/>
    <w:rsid w:val="4BF7447B"/>
    <w:rsid w:val="4C9776FA"/>
    <w:rsid w:val="4CEFA33B"/>
    <w:rsid w:val="4CFC9836"/>
    <w:rsid w:val="4D2F2768"/>
    <w:rsid w:val="4D77837C"/>
    <w:rsid w:val="4DA6E3C3"/>
    <w:rsid w:val="4DB12E6B"/>
    <w:rsid w:val="4E14AD9F"/>
    <w:rsid w:val="4E357A98"/>
    <w:rsid w:val="4E6F9C56"/>
    <w:rsid w:val="4EBFC92A"/>
    <w:rsid w:val="4EF7CE28"/>
    <w:rsid w:val="4EFF83EF"/>
    <w:rsid w:val="4F7F9C0D"/>
    <w:rsid w:val="4F8F7991"/>
    <w:rsid w:val="4FAF400F"/>
    <w:rsid w:val="4FBD40E3"/>
    <w:rsid w:val="4FBF08BA"/>
    <w:rsid w:val="4FBF4208"/>
    <w:rsid w:val="4FCB90EF"/>
    <w:rsid w:val="4FCF945A"/>
    <w:rsid w:val="4FDD19F0"/>
    <w:rsid w:val="4FDDB920"/>
    <w:rsid w:val="4FEEB7F1"/>
    <w:rsid w:val="4FFB95FA"/>
    <w:rsid w:val="4FFD1F12"/>
    <w:rsid w:val="4FFE5956"/>
    <w:rsid w:val="4FFF05B3"/>
    <w:rsid w:val="4FFF76B5"/>
    <w:rsid w:val="50A54F03"/>
    <w:rsid w:val="50FF3A61"/>
    <w:rsid w:val="51121B8D"/>
    <w:rsid w:val="52D9DBA5"/>
    <w:rsid w:val="52FE885F"/>
    <w:rsid w:val="531D3806"/>
    <w:rsid w:val="532E4AEE"/>
    <w:rsid w:val="5396D188"/>
    <w:rsid w:val="539B0561"/>
    <w:rsid w:val="547B0304"/>
    <w:rsid w:val="54BF14AE"/>
    <w:rsid w:val="54FD157F"/>
    <w:rsid w:val="5597FC01"/>
    <w:rsid w:val="55DBBB0D"/>
    <w:rsid w:val="55F6AACD"/>
    <w:rsid w:val="567B5ECE"/>
    <w:rsid w:val="56BFE0D3"/>
    <w:rsid w:val="56DD60D5"/>
    <w:rsid w:val="56DF7B81"/>
    <w:rsid w:val="56E63C48"/>
    <w:rsid w:val="56EFEB4E"/>
    <w:rsid w:val="56FD68A1"/>
    <w:rsid w:val="56FF74DB"/>
    <w:rsid w:val="5783B9D1"/>
    <w:rsid w:val="57884094"/>
    <w:rsid w:val="57AE5F17"/>
    <w:rsid w:val="57B7A23E"/>
    <w:rsid w:val="57BE08B5"/>
    <w:rsid w:val="57BF541F"/>
    <w:rsid w:val="57EF8FF7"/>
    <w:rsid w:val="57F425DF"/>
    <w:rsid w:val="57F83034"/>
    <w:rsid w:val="57FEC546"/>
    <w:rsid w:val="57FECD13"/>
    <w:rsid w:val="57FEE493"/>
    <w:rsid w:val="57FF7054"/>
    <w:rsid w:val="57FF7D3F"/>
    <w:rsid w:val="58FFE0C3"/>
    <w:rsid w:val="5943CC59"/>
    <w:rsid w:val="596F635A"/>
    <w:rsid w:val="599347D4"/>
    <w:rsid w:val="59CEFBA3"/>
    <w:rsid w:val="59DF8E58"/>
    <w:rsid w:val="59FEAA12"/>
    <w:rsid w:val="59FFB2BA"/>
    <w:rsid w:val="5A315A59"/>
    <w:rsid w:val="5A7B2317"/>
    <w:rsid w:val="5ABF947C"/>
    <w:rsid w:val="5ACFB1CD"/>
    <w:rsid w:val="5AF5F637"/>
    <w:rsid w:val="5AFFB3F2"/>
    <w:rsid w:val="5AFFDFF8"/>
    <w:rsid w:val="5B5F7040"/>
    <w:rsid w:val="5B7DFBAB"/>
    <w:rsid w:val="5B7F139B"/>
    <w:rsid w:val="5B9F2932"/>
    <w:rsid w:val="5BDE3BDE"/>
    <w:rsid w:val="5BDEBD16"/>
    <w:rsid w:val="5BDF81F3"/>
    <w:rsid w:val="5BE373AF"/>
    <w:rsid w:val="5BEB2403"/>
    <w:rsid w:val="5BEC46A7"/>
    <w:rsid w:val="5BEDAC51"/>
    <w:rsid w:val="5BEEBBAC"/>
    <w:rsid w:val="5BF5F962"/>
    <w:rsid w:val="5BF76266"/>
    <w:rsid w:val="5BF78D4D"/>
    <w:rsid w:val="5BF9BE6A"/>
    <w:rsid w:val="5BFF54A7"/>
    <w:rsid w:val="5BFFEEC2"/>
    <w:rsid w:val="5C7D95A9"/>
    <w:rsid w:val="5CCEC33B"/>
    <w:rsid w:val="5CFF43F2"/>
    <w:rsid w:val="5D1A02CE"/>
    <w:rsid w:val="5D37D625"/>
    <w:rsid w:val="5D3FCB5A"/>
    <w:rsid w:val="5D6BC720"/>
    <w:rsid w:val="5D6FAFE0"/>
    <w:rsid w:val="5DAE1E94"/>
    <w:rsid w:val="5DDE8BC0"/>
    <w:rsid w:val="5DDFFC84"/>
    <w:rsid w:val="5DEE1EE2"/>
    <w:rsid w:val="5DEF1C11"/>
    <w:rsid w:val="5DFAB6C0"/>
    <w:rsid w:val="5DFF0B14"/>
    <w:rsid w:val="5DFF7485"/>
    <w:rsid w:val="5DFF941D"/>
    <w:rsid w:val="5E1707A7"/>
    <w:rsid w:val="5E3F4A3B"/>
    <w:rsid w:val="5E4D03F0"/>
    <w:rsid w:val="5E5E2634"/>
    <w:rsid w:val="5E5FF49E"/>
    <w:rsid w:val="5E6F58AB"/>
    <w:rsid w:val="5E6F59C2"/>
    <w:rsid w:val="5E74AC1B"/>
    <w:rsid w:val="5E7CBC15"/>
    <w:rsid w:val="5E7F57B7"/>
    <w:rsid w:val="5E7F60BF"/>
    <w:rsid w:val="5E7F7EE1"/>
    <w:rsid w:val="5E9FA032"/>
    <w:rsid w:val="5EB302F3"/>
    <w:rsid w:val="5EBD6A0B"/>
    <w:rsid w:val="5EBDEBA0"/>
    <w:rsid w:val="5ECD8428"/>
    <w:rsid w:val="5EDB0263"/>
    <w:rsid w:val="5EDD6A8A"/>
    <w:rsid w:val="5EE39B94"/>
    <w:rsid w:val="5EEB4787"/>
    <w:rsid w:val="5EEE4921"/>
    <w:rsid w:val="5EEEEC40"/>
    <w:rsid w:val="5EFA0709"/>
    <w:rsid w:val="5EFA6192"/>
    <w:rsid w:val="5EFB217E"/>
    <w:rsid w:val="5EFE74B3"/>
    <w:rsid w:val="5F0FA239"/>
    <w:rsid w:val="5F16CADA"/>
    <w:rsid w:val="5F3D8952"/>
    <w:rsid w:val="5F3F692D"/>
    <w:rsid w:val="5F57E89B"/>
    <w:rsid w:val="5F6C92A7"/>
    <w:rsid w:val="5F6DA5AA"/>
    <w:rsid w:val="5F6E1DC7"/>
    <w:rsid w:val="5F6EAC48"/>
    <w:rsid w:val="5F773F23"/>
    <w:rsid w:val="5F774EA6"/>
    <w:rsid w:val="5F7BD1B9"/>
    <w:rsid w:val="5F7D3D0E"/>
    <w:rsid w:val="5F7F38F2"/>
    <w:rsid w:val="5F7F5174"/>
    <w:rsid w:val="5F7FB1C8"/>
    <w:rsid w:val="5F7FC2E7"/>
    <w:rsid w:val="5F7FD779"/>
    <w:rsid w:val="5F7FEFDF"/>
    <w:rsid w:val="5F9B5AEA"/>
    <w:rsid w:val="5F9F4F3B"/>
    <w:rsid w:val="5F9F9B91"/>
    <w:rsid w:val="5FACC553"/>
    <w:rsid w:val="5FADF34C"/>
    <w:rsid w:val="5FB6AB88"/>
    <w:rsid w:val="5FB6C5DB"/>
    <w:rsid w:val="5FBB1253"/>
    <w:rsid w:val="5FBFF17B"/>
    <w:rsid w:val="5FD24F5E"/>
    <w:rsid w:val="5FDA0954"/>
    <w:rsid w:val="5FDB9D85"/>
    <w:rsid w:val="5FDDD632"/>
    <w:rsid w:val="5FDE1D68"/>
    <w:rsid w:val="5FDF1279"/>
    <w:rsid w:val="5FDF980A"/>
    <w:rsid w:val="5FE7015F"/>
    <w:rsid w:val="5FE7C020"/>
    <w:rsid w:val="5FEDA7E9"/>
    <w:rsid w:val="5FEDE153"/>
    <w:rsid w:val="5FEF64A5"/>
    <w:rsid w:val="5FEFB47C"/>
    <w:rsid w:val="5FEFFAC1"/>
    <w:rsid w:val="5FF3098A"/>
    <w:rsid w:val="5FF4471E"/>
    <w:rsid w:val="5FF69DDD"/>
    <w:rsid w:val="5FF7813E"/>
    <w:rsid w:val="5FF7B417"/>
    <w:rsid w:val="5FF95039"/>
    <w:rsid w:val="5FF9D41C"/>
    <w:rsid w:val="5FFA8B03"/>
    <w:rsid w:val="5FFAEAD2"/>
    <w:rsid w:val="5FFB8E8E"/>
    <w:rsid w:val="5FFD5280"/>
    <w:rsid w:val="5FFD8744"/>
    <w:rsid w:val="5FFF1726"/>
    <w:rsid w:val="5FFF23EF"/>
    <w:rsid w:val="5FFFA413"/>
    <w:rsid w:val="5FFFA4F4"/>
    <w:rsid w:val="5FFFB15F"/>
    <w:rsid w:val="60605BDE"/>
    <w:rsid w:val="60F05534"/>
    <w:rsid w:val="617AB883"/>
    <w:rsid w:val="61F3ADAF"/>
    <w:rsid w:val="621DBB4C"/>
    <w:rsid w:val="627F0D6F"/>
    <w:rsid w:val="62C1E625"/>
    <w:rsid w:val="63585935"/>
    <w:rsid w:val="63F10EF5"/>
    <w:rsid w:val="63FE201A"/>
    <w:rsid w:val="653DC735"/>
    <w:rsid w:val="65CB4C23"/>
    <w:rsid w:val="65D43C31"/>
    <w:rsid w:val="65FACF48"/>
    <w:rsid w:val="663FCE40"/>
    <w:rsid w:val="66770D01"/>
    <w:rsid w:val="667B5C01"/>
    <w:rsid w:val="66EE54A6"/>
    <w:rsid w:val="66F6D498"/>
    <w:rsid w:val="67371475"/>
    <w:rsid w:val="673B8016"/>
    <w:rsid w:val="675FEAC1"/>
    <w:rsid w:val="67614814"/>
    <w:rsid w:val="67629631"/>
    <w:rsid w:val="67677168"/>
    <w:rsid w:val="676CFD9C"/>
    <w:rsid w:val="676F073E"/>
    <w:rsid w:val="677778F4"/>
    <w:rsid w:val="679E0A22"/>
    <w:rsid w:val="67AF89CB"/>
    <w:rsid w:val="67DB8A25"/>
    <w:rsid w:val="67DFE020"/>
    <w:rsid w:val="67F07263"/>
    <w:rsid w:val="67F286A2"/>
    <w:rsid w:val="67F7B79D"/>
    <w:rsid w:val="67FD4951"/>
    <w:rsid w:val="67FD7F30"/>
    <w:rsid w:val="67FEC313"/>
    <w:rsid w:val="67FF95E1"/>
    <w:rsid w:val="67FFFE48"/>
    <w:rsid w:val="689C2BA5"/>
    <w:rsid w:val="68DF5842"/>
    <w:rsid w:val="68FF6E02"/>
    <w:rsid w:val="69476490"/>
    <w:rsid w:val="696DBEAE"/>
    <w:rsid w:val="69E45C13"/>
    <w:rsid w:val="6A3550C7"/>
    <w:rsid w:val="6A56EC92"/>
    <w:rsid w:val="6A5D0BA7"/>
    <w:rsid w:val="6A6EDEF1"/>
    <w:rsid w:val="6A7F073C"/>
    <w:rsid w:val="6AB448D3"/>
    <w:rsid w:val="6AF6B313"/>
    <w:rsid w:val="6AFA1386"/>
    <w:rsid w:val="6AFFB41C"/>
    <w:rsid w:val="6B3322CF"/>
    <w:rsid w:val="6B7FE349"/>
    <w:rsid w:val="6BA7212C"/>
    <w:rsid w:val="6BB7C593"/>
    <w:rsid w:val="6BBFE6F8"/>
    <w:rsid w:val="6BC688D6"/>
    <w:rsid w:val="6BCD5975"/>
    <w:rsid w:val="6BCFA7CE"/>
    <w:rsid w:val="6BDB7ACE"/>
    <w:rsid w:val="6BDD04B7"/>
    <w:rsid w:val="6BDD6FBE"/>
    <w:rsid w:val="6BE78262"/>
    <w:rsid w:val="6BF68197"/>
    <w:rsid w:val="6BF716BE"/>
    <w:rsid w:val="6BFB7801"/>
    <w:rsid w:val="6BFB832F"/>
    <w:rsid w:val="6C4FD6BE"/>
    <w:rsid w:val="6C9F0654"/>
    <w:rsid w:val="6CCE8B05"/>
    <w:rsid w:val="6CE36943"/>
    <w:rsid w:val="6CFE5EA4"/>
    <w:rsid w:val="6CFFBC84"/>
    <w:rsid w:val="6CFFC487"/>
    <w:rsid w:val="6D4B08AD"/>
    <w:rsid w:val="6D4F5F4F"/>
    <w:rsid w:val="6D65FE75"/>
    <w:rsid w:val="6D6D13A5"/>
    <w:rsid w:val="6D6D3C63"/>
    <w:rsid w:val="6D6F513F"/>
    <w:rsid w:val="6D7BF44F"/>
    <w:rsid w:val="6D7E2F39"/>
    <w:rsid w:val="6DBFB3A7"/>
    <w:rsid w:val="6DC70503"/>
    <w:rsid w:val="6DEE1591"/>
    <w:rsid w:val="6DEF3456"/>
    <w:rsid w:val="6DFD8766"/>
    <w:rsid w:val="6DFF454D"/>
    <w:rsid w:val="6DFF8EB3"/>
    <w:rsid w:val="6DFFC0CC"/>
    <w:rsid w:val="6DFFD752"/>
    <w:rsid w:val="6DFFFD32"/>
    <w:rsid w:val="6E32F419"/>
    <w:rsid w:val="6E3F5937"/>
    <w:rsid w:val="6E6D2921"/>
    <w:rsid w:val="6E7E103D"/>
    <w:rsid w:val="6E7F83A2"/>
    <w:rsid w:val="6E9BCD5A"/>
    <w:rsid w:val="6EBAC43E"/>
    <w:rsid w:val="6EDF072D"/>
    <w:rsid w:val="6EE43620"/>
    <w:rsid w:val="6EEE0F84"/>
    <w:rsid w:val="6EEF0DF4"/>
    <w:rsid w:val="6EEF332F"/>
    <w:rsid w:val="6EF5BE98"/>
    <w:rsid w:val="6EF99A2D"/>
    <w:rsid w:val="6EFB4953"/>
    <w:rsid w:val="6EFBF7F9"/>
    <w:rsid w:val="6EFC8AD0"/>
    <w:rsid w:val="6EFD52F7"/>
    <w:rsid w:val="6EFDE49A"/>
    <w:rsid w:val="6EFE6385"/>
    <w:rsid w:val="6EFEE4F1"/>
    <w:rsid w:val="6F1F4FFF"/>
    <w:rsid w:val="6F37249F"/>
    <w:rsid w:val="6F3AB460"/>
    <w:rsid w:val="6F50986C"/>
    <w:rsid w:val="6F5F03EE"/>
    <w:rsid w:val="6F6A956C"/>
    <w:rsid w:val="6F6B0CEF"/>
    <w:rsid w:val="6F6C2CA3"/>
    <w:rsid w:val="6F6D7BF1"/>
    <w:rsid w:val="6F775E4E"/>
    <w:rsid w:val="6F777177"/>
    <w:rsid w:val="6F7DC450"/>
    <w:rsid w:val="6F7F86FE"/>
    <w:rsid w:val="6F8F7F32"/>
    <w:rsid w:val="6F966787"/>
    <w:rsid w:val="6FA9048E"/>
    <w:rsid w:val="6FAFEFF6"/>
    <w:rsid w:val="6FB5AD3B"/>
    <w:rsid w:val="6FB9D801"/>
    <w:rsid w:val="6FBA0EA7"/>
    <w:rsid w:val="6FBA48A6"/>
    <w:rsid w:val="6FBA6136"/>
    <w:rsid w:val="6FBB37FA"/>
    <w:rsid w:val="6FBC68D5"/>
    <w:rsid w:val="6FBC9274"/>
    <w:rsid w:val="6FBE2057"/>
    <w:rsid w:val="6FBF7663"/>
    <w:rsid w:val="6FBF9BE2"/>
    <w:rsid w:val="6FCE0815"/>
    <w:rsid w:val="6FCFF8FE"/>
    <w:rsid w:val="6FD35AD8"/>
    <w:rsid w:val="6FDF074C"/>
    <w:rsid w:val="6FDF0C9A"/>
    <w:rsid w:val="6FDF9D5C"/>
    <w:rsid w:val="6FE77073"/>
    <w:rsid w:val="6FEE58B9"/>
    <w:rsid w:val="6FF3B392"/>
    <w:rsid w:val="6FF4E4E5"/>
    <w:rsid w:val="6FF618E1"/>
    <w:rsid w:val="6FF6D1A3"/>
    <w:rsid w:val="6FF75C0E"/>
    <w:rsid w:val="6FF77107"/>
    <w:rsid w:val="6FF7B1E6"/>
    <w:rsid w:val="6FF80F80"/>
    <w:rsid w:val="6FF8A44F"/>
    <w:rsid w:val="6FFB8632"/>
    <w:rsid w:val="6FFBBA6B"/>
    <w:rsid w:val="6FFC67E3"/>
    <w:rsid w:val="6FFDC149"/>
    <w:rsid w:val="6FFE12D9"/>
    <w:rsid w:val="6FFE219F"/>
    <w:rsid w:val="6FFE7963"/>
    <w:rsid w:val="6FFEDC9C"/>
    <w:rsid w:val="6FFEE758"/>
    <w:rsid w:val="6FFF1DDA"/>
    <w:rsid w:val="707B10C2"/>
    <w:rsid w:val="70EFB073"/>
    <w:rsid w:val="71ABB373"/>
    <w:rsid w:val="71DA07F5"/>
    <w:rsid w:val="71EF4074"/>
    <w:rsid w:val="720D7E09"/>
    <w:rsid w:val="7272CFD0"/>
    <w:rsid w:val="72AD5562"/>
    <w:rsid w:val="72DC12EB"/>
    <w:rsid w:val="72FD6F36"/>
    <w:rsid w:val="73664FC9"/>
    <w:rsid w:val="73795F78"/>
    <w:rsid w:val="738E178B"/>
    <w:rsid w:val="73CC907C"/>
    <w:rsid w:val="73CF486A"/>
    <w:rsid w:val="73CFB6D1"/>
    <w:rsid w:val="73DF74D5"/>
    <w:rsid w:val="73EF4AAB"/>
    <w:rsid w:val="73EF7E03"/>
    <w:rsid w:val="73F959B5"/>
    <w:rsid w:val="73FF1641"/>
    <w:rsid w:val="73FF6EA4"/>
    <w:rsid w:val="73FF9ED7"/>
    <w:rsid w:val="74157AA4"/>
    <w:rsid w:val="7469E6B0"/>
    <w:rsid w:val="74B14248"/>
    <w:rsid w:val="74DF2675"/>
    <w:rsid w:val="74FDF0AE"/>
    <w:rsid w:val="74FF4864"/>
    <w:rsid w:val="7510E195"/>
    <w:rsid w:val="754FAF01"/>
    <w:rsid w:val="7559A8B1"/>
    <w:rsid w:val="756C7827"/>
    <w:rsid w:val="756F2350"/>
    <w:rsid w:val="75753461"/>
    <w:rsid w:val="757B7516"/>
    <w:rsid w:val="757E601D"/>
    <w:rsid w:val="758AF463"/>
    <w:rsid w:val="75AD1FB5"/>
    <w:rsid w:val="75B793E7"/>
    <w:rsid w:val="75BD1B60"/>
    <w:rsid w:val="75BDE50E"/>
    <w:rsid w:val="75BF9581"/>
    <w:rsid w:val="75DF5E5F"/>
    <w:rsid w:val="75DF65A2"/>
    <w:rsid w:val="75EB832C"/>
    <w:rsid w:val="75EF98AE"/>
    <w:rsid w:val="75EFB2AE"/>
    <w:rsid w:val="75FF700C"/>
    <w:rsid w:val="75FFA9E3"/>
    <w:rsid w:val="75FFB9FA"/>
    <w:rsid w:val="767D44CF"/>
    <w:rsid w:val="76ADCE91"/>
    <w:rsid w:val="76BFC027"/>
    <w:rsid w:val="76C7F183"/>
    <w:rsid w:val="76DC0D7A"/>
    <w:rsid w:val="76DFA958"/>
    <w:rsid w:val="76E99DC5"/>
    <w:rsid w:val="76E9C262"/>
    <w:rsid w:val="76F3C0B0"/>
    <w:rsid w:val="76FB3C44"/>
    <w:rsid w:val="76FF3C6C"/>
    <w:rsid w:val="76FF71BF"/>
    <w:rsid w:val="76FFEA06"/>
    <w:rsid w:val="77377B80"/>
    <w:rsid w:val="773B51BC"/>
    <w:rsid w:val="773B75D1"/>
    <w:rsid w:val="773FD9C1"/>
    <w:rsid w:val="77537875"/>
    <w:rsid w:val="775C54B8"/>
    <w:rsid w:val="7763C382"/>
    <w:rsid w:val="776932D2"/>
    <w:rsid w:val="777B05F8"/>
    <w:rsid w:val="777B7160"/>
    <w:rsid w:val="777EAA95"/>
    <w:rsid w:val="777F27E4"/>
    <w:rsid w:val="777F58BB"/>
    <w:rsid w:val="777FA8DB"/>
    <w:rsid w:val="779D6EC2"/>
    <w:rsid w:val="77A21DAA"/>
    <w:rsid w:val="77A3F45F"/>
    <w:rsid w:val="77A8ADF7"/>
    <w:rsid w:val="77AB974C"/>
    <w:rsid w:val="77AF729A"/>
    <w:rsid w:val="77B792D6"/>
    <w:rsid w:val="77BBCC9C"/>
    <w:rsid w:val="77BD974F"/>
    <w:rsid w:val="77BE503C"/>
    <w:rsid w:val="77BFC726"/>
    <w:rsid w:val="77C9F6A7"/>
    <w:rsid w:val="77CF8ED7"/>
    <w:rsid w:val="77D75D4A"/>
    <w:rsid w:val="77D7B44B"/>
    <w:rsid w:val="77DBA0F8"/>
    <w:rsid w:val="77E3EBD7"/>
    <w:rsid w:val="77E9E3E0"/>
    <w:rsid w:val="77ED0565"/>
    <w:rsid w:val="77EE747B"/>
    <w:rsid w:val="77EF7C8A"/>
    <w:rsid w:val="77EFADF9"/>
    <w:rsid w:val="77EFE5AD"/>
    <w:rsid w:val="77F10868"/>
    <w:rsid w:val="77F34BF9"/>
    <w:rsid w:val="77F37F7C"/>
    <w:rsid w:val="77F3DCDF"/>
    <w:rsid w:val="77F51A48"/>
    <w:rsid w:val="77F56EBF"/>
    <w:rsid w:val="77F594EB"/>
    <w:rsid w:val="77F7EC37"/>
    <w:rsid w:val="77FA4757"/>
    <w:rsid w:val="77FA5D10"/>
    <w:rsid w:val="77FB321E"/>
    <w:rsid w:val="77FBB1B2"/>
    <w:rsid w:val="77FD5039"/>
    <w:rsid w:val="77FD6D38"/>
    <w:rsid w:val="77FEC3F5"/>
    <w:rsid w:val="77FF081F"/>
    <w:rsid w:val="77FF62CC"/>
    <w:rsid w:val="77FF6DF9"/>
    <w:rsid w:val="77FFD20D"/>
    <w:rsid w:val="77FFEC36"/>
    <w:rsid w:val="781E4120"/>
    <w:rsid w:val="78931DC3"/>
    <w:rsid w:val="78DF6F00"/>
    <w:rsid w:val="78FFF3EB"/>
    <w:rsid w:val="792FF026"/>
    <w:rsid w:val="793FACE1"/>
    <w:rsid w:val="796E00B8"/>
    <w:rsid w:val="79773A80"/>
    <w:rsid w:val="797DE606"/>
    <w:rsid w:val="797EE5F3"/>
    <w:rsid w:val="797FDC7A"/>
    <w:rsid w:val="798EFC5D"/>
    <w:rsid w:val="799BECDF"/>
    <w:rsid w:val="799DBD8A"/>
    <w:rsid w:val="799FE8E7"/>
    <w:rsid w:val="79AF040C"/>
    <w:rsid w:val="79D7E9D9"/>
    <w:rsid w:val="79D9AC17"/>
    <w:rsid w:val="79EF06DE"/>
    <w:rsid w:val="79FD4CD3"/>
    <w:rsid w:val="79FF6F2E"/>
    <w:rsid w:val="79FFA2B3"/>
    <w:rsid w:val="79FFA3A4"/>
    <w:rsid w:val="79FFCF36"/>
    <w:rsid w:val="79FFE302"/>
    <w:rsid w:val="7A3FE4D2"/>
    <w:rsid w:val="7A74CE49"/>
    <w:rsid w:val="7A775E0B"/>
    <w:rsid w:val="7AB79E41"/>
    <w:rsid w:val="7AB92342"/>
    <w:rsid w:val="7AD60CA1"/>
    <w:rsid w:val="7AFD6259"/>
    <w:rsid w:val="7AFE16D6"/>
    <w:rsid w:val="7AFE4E04"/>
    <w:rsid w:val="7AFF00F9"/>
    <w:rsid w:val="7AFF43BB"/>
    <w:rsid w:val="7AFF8F92"/>
    <w:rsid w:val="7AFFAB3C"/>
    <w:rsid w:val="7B3585DE"/>
    <w:rsid w:val="7B3694E1"/>
    <w:rsid w:val="7B3F9B0A"/>
    <w:rsid w:val="7B3F9D1C"/>
    <w:rsid w:val="7B3FD262"/>
    <w:rsid w:val="7B454CB4"/>
    <w:rsid w:val="7B6E0868"/>
    <w:rsid w:val="7B758164"/>
    <w:rsid w:val="7B7B89DA"/>
    <w:rsid w:val="7B7C4C82"/>
    <w:rsid w:val="7B7F9B44"/>
    <w:rsid w:val="7B9E5751"/>
    <w:rsid w:val="7BA3B6DE"/>
    <w:rsid w:val="7BAE9751"/>
    <w:rsid w:val="7BB66D1D"/>
    <w:rsid w:val="7BBF0CA9"/>
    <w:rsid w:val="7BBF67DC"/>
    <w:rsid w:val="7BBFA5D6"/>
    <w:rsid w:val="7BBFD7D6"/>
    <w:rsid w:val="7BCE9D06"/>
    <w:rsid w:val="7BCFD4F2"/>
    <w:rsid w:val="7BCFE961"/>
    <w:rsid w:val="7BD1B08F"/>
    <w:rsid w:val="7BD49E9F"/>
    <w:rsid w:val="7BD7794D"/>
    <w:rsid w:val="7BD7F9B2"/>
    <w:rsid w:val="7BD7FE3F"/>
    <w:rsid w:val="7BDB6A79"/>
    <w:rsid w:val="7BDF010B"/>
    <w:rsid w:val="7BDF2289"/>
    <w:rsid w:val="7BDF34C4"/>
    <w:rsid w:val="7BDF6323"/>
    <w:rsid w:val="7BDFD096"/>
    <w:rsid w:val="7BDFFC84"/>
    <w:rsid w:val="7BE7D8C1"/>
    <w:rsid w:val="7BE9384A"/>
    <w:rsid w:val="7BEBFF03"/>
    <w:rsid w:val="7BF6F7E2"/>
    <w:rsid w:val="7BF722D0"/>
    <w:rsid w:val="7BF73B45"/>
    <w:rsid w:val="7BF78367"/>
    <w:rsid w:val="7BF79A82"/>
    <w:rsid w:val="7BF7BABB"/>
    <w:rsid w:val="7BFB7279"/>
    <w:rsid w:val="7BFBC889"/>
    <w:rsid w:val="7BFDC53B"/>
    <w:rsid w:val="7BFE8E46"/>
    <w:rsid w:val="7BFF2232"/>
    <w:rsid w:val="7BFF7045"/>
    <w:rsid w:val="7BFF971D"/>
    <w:rsid w:val="7BFFFAEF"/>
    <w:rsid w:val="7C2102A1"/>
    <w:rsid w:val="7C3BE8E5"/>
    <w:rsid w:val="7C6D5F1E"/>
    <w:rsid w:val="7C7B896C"/>
    <w:rsid w:val="7C913AEF"/>
    <w:rsid w:val="7CA7AF05"/>
    <w:rsid w:val="7CBD439D"/>
    <w:rsid w:val="7CDE3381"/>
    <w:rsid w:val="7CEFC204"/>
    <w:rsid w:val="7CF1B350"/>
    <w:rsid w:val="7CF50807"/>
    <w:rsid w:val="7CF9B951"/>
    <w:rsid w:val="7CFB811F"/>
    <w:rsid w:val="7CFDCCBA"/>
    <w:rsid w:val="7CFE9B85"/>
    <w:rsid w:val="7CFF7938"/>
    <w:rsid w:val="7CFF91E1"/>
    <w:rsid w:val="7D3EAA82"/>
    <w:rsid w:val="7D3FEA68"/>
    <w:rsid w:val="7D6BCD70"/>
    <w:rsid w:val="7D732B3C"/>
    <w:rsid w:val="7D7BC045"/>
    <w:rsid w:val="7D7DB67B"/>
    <w:rsid w:val="7D7FF82B"/>
    <w:rsid w:val="7D832370"/>
    <w:rsid w:val="7D86C721"/>
    <w:rsid w:val="7D884CBB"/>
    <w:rsid w:val="7D9D8322"/>
    <w:rsid w:val="7D9FE7FF"/>
    <w:rsid w:val="7DAD5688"/>
    <w:rsid w:val="7DAD7B9B"/>
    <w:rsid w:val="7DB887C5"/>
    <w:rsid w:val="7DBF2E6B"/>
    <w:rsid w:val="7DBF5FC8"/>
    <w:rsid w:val="7DBF6471"/>
    <w:rsid w:val="7DBF7E5C"/>
    <w:rsid w:val="7DBFF652"/>
    <w:rsid w:val="7DC485ED"/>
    <w:rsid w:val="7DCB33B0"/>
    <w:rsid w:val="7DD38334"/>
    <w:rsid w:val="7DD76373"/>
    <w:rsid w:val="7DDB1ED1"/>
    <w:rsid w:val="7DDEF572"/>
    <w:rsid w:val="7DE717F2"/>
    <w:rsid w:val="7DE74588"/>
    <w:rsid w:val="7DEAAA98"/>
    <w:rsid w:val="7DEB1CA7"/>
    <w:rsid w:val="7DEE5F6B"/>
    <w:rsid w:val="7DEF3D75"/>
    <w:rsid w:val="7DEF7588"/>
    <w:rsid w:val="7DEFDAE0"/>
    <w:rsid w:val="7DF3067A"/>
    <w:rsid w:val="7DF3938F"/>
    <w:rsid w:val="7DF676D7"/>
    <w:rsid w:val="7DF677D5"/>
    <w:rsid w:val="7DF67CA5"/>
    <w:rsid w:val="7DF726D8"/>
    <w:rsid w:val="7DF7DC43"/>
    <w:rsid w:val="7DF872A1"/>
    <w:rsid w:val="7DF910D1"/>
    <w:rsid w:val="7DFCC8EC"/>
    <w:rsid w:val="7DFD98CF"/>
    <w:rsid w:val="7DFE0FB0"/>
    <w:rsid w:val="7DFE2CA2"/>
    <w:rsid w:val="7DFE4E8D"/>
    <w:rsid w:val="7DFEA0FA"/>
    <w:rsid w:val="7DFF18DE"/>
    <w:rsid w:val="7DFF5B17"/>
    <w:rsid w:val="7DFF8289"/>
    <w:rsid w:val="7DFF97F9"/>
    <w:rsid w:val="7E1BBF35"/>
    <w:rsid w:val="7E1ECB14"/>
    <w:rsid w:val="7E1F9F47"/>
    <w:rsid w:val="7E3391A6"/>
    <w:rsid w:val="7E3CB4F0"/>
    <w:rsid w:val="7E5FC241"/>
    <w:rsid w:val="7E6DB540"/>
    <w:rsid w:val="7E6FD5D1"/>
    <w:rsid w:val="7E7A8537"/>
    <w:rsid w:val="7E7BB9FF"/>
    <w:rsid w:val="7E7E96CB"/>
    <w:rsid w:val="7E7F45EB"/>
    <w:rsid w:val="7E7FE2B7"/>
    <w:rsid w:val="7E8F5B0E"/>
    <w:rsid w:val="7EAB1E05"/>
    <w:rsid w:val="7EAFDA5D"/>
    <w:rsid w:val="7EB1C43E"/>
    <w:rsid w:val="7EB7369F"/>
    <w:rsid w:val="7EBD5B7F"/>
    <w:rsid w:val="7EBF29D3"/>
    <w:rsid w:val="7EBFED15"/>
    <w:rsid w:val="7EC77AB4"/>
    <w:rsid w:val="7ECB703C"/>
    <w:rsid w:val="7ECC5D7E"/>
    <w:rsid w:val="7EE57F95"/>
    <w:rsid w:val="7EED5392"/>
    <w:rsid w:val="7EED7EAE"/>
    <w:rsid w:val="7EEDFE64"/>
    <w:rsid w:val="7EEE1D83"/>
    <w:rsid w:val="7EEF5221"/>
    <w:rsid w:val="7EF4DA42"/>
    <w:rsid w:val="7EF57C5B"/>
    <w:rsid w:val="7EF60D1E"/>
    <w:rsid w:val="7EF66922"/>
    <w:rsid w:val="7EF7734A"/>
    <w:rsid w:val="7EF7B0A5"/>
    <w:rsid w:val="7EF7F081"/>
    <w:rsid w:val="7EFBA243"/>
    <w:rsid w:val="7EFBD7E8"/>
    <w:rsid w:val="7EFBE8FE"/>
    <w:rsid w:val="7EFCA9CA"/>
    <w:rsid w:val="7EFE38C4"/>
    <w:rsid w:val="7EFE7853"/>
    <w:rsid w:val="7EFF058B"/>
    <w:rsid w:val="7EFF2020"/>
    <w:rsid w:val="7EFF690D"/>
    <w:rsid w:val="7EFFDA17"/>
    <w:rsid w:val="7EFFF8B1"/>
    <w:rsid w:val="7F0778D6"/>
    <w:rsid w:val="7F17BE3B"/>
    <w:rsid w:val="7F251AB5"/>
    <w:rsid w:val="7F2F46A9"/>
    <w:rsid w:val="7F2F6C7F"/>
    <w:rsid w:val="7F33F185"/>
    <w:rsid w:val="7F3B17A1"/>
    <w:rsid w:val="7F3B3C98"/>
    <w:rsid w:val="7F3FD3C4"/>
    <w:rsid w:val="7F3FEC9E"/>
    <w:rsid w:val="7F3FF3EC"/>
    <w:rsid w:val="7F4F9BFE"/>
    <w:rsid w:val="7F529A89"/>
    <w:rsid w:val="7F576177"/>
    <w:rsid w:val="7F591A56"/>
    <w:rsid w:val="7F5BDE8E"/>
    <w:rsid w:val="7F5E73E4"/>
    <w:rsid w:val="7F5F329B"/>
    <w:rsid w:val="7F5F6100"/>
    <w:rsid w:val="7F5F8A79"/>
    <w:rsid w:val="7F5F99D0"/>
    <w:rsid w:val="7F5FF058"/>
    <w:rsid w:val="7F6BE4B8"/>
    <w:rsid w:val="7F6FAE46"/>
    <w:rsid w:val="7F6FE53B"/>
    <w:rsid w:val="7F77006A"/>
    <w:rsid w:val="7F77580B"/>
    <w:rsid w:val="7F779ED7"/>
    <w:rsid w:val="7F77F5FD"/>
    <w:rsid w:val="7F7A01C2"/>
    <w:rsid w:val="7F7A9BA7"/>
    <w:rsid w:val="7F7D9645"/>
    <w:rsid w:val="7F7DC50C"/>
    <w:rsid w:val="7F7DFC70"/>
    <w:rsid w:val="7F7E605F"/>
    <w:rsid w:val="7F7EB9EB"/>
    <w:rsid w:val="7F7F0440"/>
    <w:rsid w:val="7F7F0ADE"/>
    <w:rsid w:val="7F7F5C57"/>
    <w:rsid w:val="7F7FB0B2"/>
    <w:rsid w:val="7F7FFE82"/>
    <w:rsid w:val="7F941DBA"/>
    <w:rsid w:val="7F9BEB82"/>
    <w:rsid w:val="7F9F102F"/>
    <w:rsid w:val="7F9F5B7A"/>
    <w:rsid w:val="7F9F8E55"/>
    <w:rsid w:val="7FA753A3"/>
    <w:rsid w:val="7FA9E617"/>
    <w:rsid w:val="7FADD9E2"/>
    <w:rsid w:val="7FAF130A"/>
    <w:rsid w:val="7FAF21EE"/>
    <w:rsid w:val="7FAF7352"/>
    <w:rsid w:val="7FB35C51"/>
    <w:rsid w:val="7FB397E8"/>
    <w:rsid w:val="7FB6550A"/>
    <w:rsid w:val="7FB73086"/>
    <w:rsid w:val="7FB740EA"/>
    <w:rsid w:val="7FB9A69B"/>
    <w:rsid w:val="7FBA3C8B"/>
    <w:rsid w:val="7FBB51F9"/>
    <w:rsid w:val="7FBBFA67"/>
    <w:rsid w:val="7FBC803C"/>
    <w:rsid w:val="7FBDAF2A"/>
    <w:rsid w:val="7FBDE4E8"/>
    <w:rsid w:val="7FBE413F"/>
    <w:rsid w:val="7FBECEC7"/>
    <w:rsid w:val="7FBF0099"/>
    <w:rsid w:val="7FBF14B3"/>
    <w:rsid w:val="7FBF8458"/>
    <w:rsid w:val="7FBF9E4B"/>
    <w:rsid w:val="7FBFB237"/>
    <w:rsid w:val="7FC70CA2"/>
    <w:rsid w:val="7FCB1E3F"/>
    <w:rsid w:val="7FCE6944"/>
    <w:rsid w:val="7FCF32F7"/>
    <w:rsid w:val="7FCFC2F8"/>
    <w:rsid w:val="7FD6761A"/>
    <w:rsid w:val="7FD6E2D4"/>
    <w:rsid w:val="7FD6F00A"/>
    <w:rsid w:val="7FD744E1"/>
    <w:rsid w:val="7FDB993D"/>
    <w:rsid w:val="7FDC84E6"/>
    <w:rsid w:val="7FDF0239"/>
    <w:rsid w:val="7FDF3F7B"/>
    <w:rsid w:val="7FDF8C3B"/>
    <w:rsid w:val="7FDFC329"/>
    <w:rsid w:val="7FDFF26B"/>
    <w:rsid w:val="7FE34CBD"/>
    <w:rsid w:val="7FE58EBD"/>
    <w:rsid w:val="7FE769C0"/>
    <w:rsid w:val="7FE96130"/>
    <w:rsid w:val="7FEA5796"/>
    <w:rsid w:val="7FEBD86E"/>
    <w:rsid w:val="7FEDB637"/>
    <w:rsid w:val="7FEDC5FF"/>
    <w:rsid w:val="7FEDEFAA"/>
    <w:rsid w:val="7FEE5A61"/>
    <w:rsid w:val="7FEF2126"/>
    <w:rsid w:val="7FEF6167"/>
    <w:rsid w:val="7FEF98E5"/>
    <w:rsid w:val="7FF199C0"/>
    <w:rsid w:val="7FF1BC61"/>
    <w:rsid w:val="7FF3BF59"/>
    <w:rsid w:val="7FF3C383"/>
    <w:rsid w:val="7FF73751"/>
    <w:rsid w:val="7FF739D3"/>
    <w:rsid w:val="7FF7423D"/>
    <w:rsid w:val="7FF7437F"/>
    <w:rsid w:val="7FF761AB"/>
    <w:rsid w:val="7FF777EC"/>
    <w:rsid w:val="7FF7C563"/>
    <w:rsid w:val="7FF7D703"/>
    <w:rsid w:val="7FF7D92A"/>
    <w:rsid w:val="7FF7DD4D"/>
    <w:rsid w:val="7FF7E484"/>
    <w:rsid w:val="7FF7EC25"/>
    <w:rsid w:val="7FFA2522"/>
    <w:rsid w:val="7FFB3230"/>
    <w:rsid w:val="7FFB3366"/>
    <w:rsid w:val="7FFB492C"/>
    <w:rsid w:val="7FFBEEA1"/>
    <w:rsid w:val="7FFC172B"/>
    <w:rsid w:val="7FFD31A7"/>
    <w:rsid w:val="7FFD371A"/>
    <w:rsid w:val="7FFD589E"/>
    <w:rsid w:val="7FFD6C39"/>
    <w:rsid w:val="7FFDF414"/>
    <w:rsid w:val="7FFE1A78"/>
    <w:rsid w:val="7FFE36A1"/>
    <w:rsid w:val="7FFE575A"/>
    <w:rsid w:val="7FFE7106"/>
    <w:rsid w:val="7FFEAE07"/>
    <w:rsid w:val="7FFEC339"/>
    <w:rsid w:val="7FFF1347"/>
    <w:rsid w:val="7FFF148E"/>
    <w:rsid w:val="7FFF1A7B"/>
    <w:rsid w:val="7FFF2019"/>
    <w:rsid w:val="7FFF3C13"/>
    <w:rsid w:val="7FFF41CE"/>
    <w:rsid w:val="7FFF6E14"/>
    <w:rsid w:val="7FFF9C74"/>
    <w:rsid w:val="7FFF9F07"/>
    <w:rsid w:val="7FFFB100"/>
    <w:rsid w:val="7FFFB2B7"/>
    <w:rsid w:val="7FFFB3B3"/>
    <w:rsid w:val="7FFFB530"/>
    <w:rsid w:val="7FFFBF53"/>
    <w:rsid w:val="7FFFC5B2"/>
    <w:rsid w:val="7FFFCFBE"/>
    <w:rsid w:val="7FFFD099"/>
    <w:rsid w:val="7FFFD215"/>
    <w:rsid w:val="7FFFD565"/>
    <w:rsid w:val="7FFFFCAF"/>
    <w:rsid w:val="86DBC896"/>
    <w:rsid w:val="87528AB9"/>
    <w:rsid w:val="87965AC7"/>
    <w:rsid w:val="87C70AE1"/>
    <w:rsid w:val="87F842E1"/>
    <w:rsid w:val="87FF0C77"/>
    <w:rsid w:val="897EF00C"/>
    <w:rsid w:val="8AF714B5"/>
    <w:rsid w:val="8CD9B4DC"/>
    <w:rsid w:val="8DDF4D31"/>
    <w:rsid w:val="8E7EBF74"/>
    <w:rsid w:val="8EB9B504"/>
    <w:rsid w:val="8F11E5CB"/>
    <w:rsid w:val="8FECED80"/>
    <w:rsid w:val="926F41DF"/>
    <w:rsid w:val="936F312D"/>
    <w:rsid w:val="937AE671"/>
    <w:rsid w:val="939F9048"/>
    <w:rsid w:val="93D79E06"/>
    <w:rsid w:val="93E70953"/>
    <w:rsid w:val="93FDC2E2"/>
    <w:rsid w:val="967F6A63"/>
    <w:rsid w:val="96C92BA6"/>
    <w:rsid w:val="96E944EC"/>
    <w:rsid w:val="9735EE70"/>
    <w:rsid w:val="9777985C"/>
    <w:rsid w:val="977E6C7F"/>
    <w:rsid w:val="97BC460A"/>
    <w:rsid w:val="997ED030"/>
    <w:rsid w:val="99FFE09A"/>
    <w:rsid w:val="9AFF10E5"/>
    <w:rsid w:val="9B3F4732"/>
    <w:rsid w:val="9B72DDA2"/>
    <w:rsid w:val="9B75FB5D"/>
    <w:rsid w:val="9B77ACAB"/>
    <w:rsid w:val="9B9DCFDE"/>
    <w:rsid w:val="9BADACC2"/>
    <w:rsid w:val="9BC7D779"/>
    <w:rsid w:val="9BF75902"/>
    <w:rsid w:val="9BFE5192"/>
    <w:rsid w:val="9BFF784A"/>
    <w:rsid w:val="9C3F0454"/>
    <w:rsid w:val="9D3FEAA0"/>
    <w:rsid w:val="9D7EA340"/>
    <w:rsid w:val="9EBEF2CA"/>
    <w:rsid w:val="9ED5CA98"/>
    <w:rsid w:val="9EDD0A18"/>
    <w:rsid w:val="9EE7C9EA"/>
    <w:rsid w:val="9EEDF2D9"/>
    <w:rsid w:val="9EFF44E4"/>
    <w:rsid w:val="9EFF8EC4"/>
    <w:rsid w:val="9EFFF19A"/>
    <w:rsid w:val="9F3FADF6"/>
    <w:rsid w:val="9F770782"/>
    <w:rsid w:val="9FB66D4D"/>
    <w:rsid w:val="9FBDEAF1"/>
    <w:rsid w:val="9FBF82BA"/>
    <w:rsid w:val="9FE9B683"/>
    <w:rsid w:val="9FF92682"/>
    <w:rsid w:val="9FFB8DA9"/>
    <w:rsid w:val="9FFE2BC7"/>
    <w:rsid w:val="9FFE73D7"/>
    <w:rsid w:val="9FFE9DEE"/>
    <w:rsid w:val="A1F81F73"/>
    <w:rsid w:val="A35B3610"/>
    <w:rsid w:val="A4FFE6AF"/>
    <w:rsid w:val="A575FA22"/>
    <w:rsid w:val="A57B112D"/>
    <w:rsid w:val="A6E2FE23"/>
    <w:rsid w:val="A6F91276"/>
    <w:rsid w:val="A76F7381"/>
    <w:rsid w:val="A77E71C3"/>
    <w:rsid w:val="A7F1769A"/>
    <w:rsid w:val="A7F7A61C"/>
    <w:rsid w:val="A9379DC1"/>
    <w:rsid w:val="A95F9522"/>
    <w:rsid w:val="A9B5150E"/>
    <w:rsid w:val="A9DFEDFE"/>
    <w:rsid w:val="A9FBEE47"/>
    <w:rsid w:val="AABBA249"/>
    <w:rsid w:val="AB2F52D8"/>
    <w:rsid w:val="ABBFFAC7"/>
    <w:rsid w:val="ABD79E6B"/>
    <w:rsid w:val="ABDF2ABA"/>
    <w:rsid w:val="ABF9BACD"/>
    <w:rsid w:val="ABFD585D"/>
    <w:rsid w:val="ABFE573B"/>
    <w:rsid w:val="AC5D13AA"/>
    <w:rsid w:val="AD555013"/>
    <w:rsid w:val="AD7CABBB"/>
    <w:rsid w:val="ADAAECBD"/>
    <w:rsid w:val="ADCFBF4F"/>
    <w:rsid w:val="ADDFCBBB"/>
    <w:rsid w:val="ADF58C38"/>
    <w:rsid w:val="ADF78875"/>
    <w:rsid w:val="ADFE3D30"/>
    <w:rsid w:val="AE126E16"/>
    <w:rsid w:val="AE4D4E49"/>
    <w:rsid w:val="AE69F368"/>
    <w:rsid w:val="AE6D0DE5"/>
    <w:rsid w:val="AE6EBB59"/>
    <w:rsid w:val="AEEBD0CF"/>
    <w:rsid w:val="AF3AD085"/>
    <w:rsid w:val="AF771B56"/>
    <w:rsid w:val="AF7BE037"/>
    <w:rsid w:val="AF7F679A"/>
    <w:rsid w:val="AF7F8115"/>
    <w:rsid w:val="AF7FCD75"/>
    <w:rsid w:val="AFA900FA"/>
    <w:rsid w:val="AFAF564E"/>
    <w:rsid w:val="AFBA873B"/>
    <w:rsid w:val="AFBE4873"/>
    <w:rsid w:val="AFBFD761"/>
    <w:rsid w:val="AFD7948E"/>
    <w:rsid w:val="AFDD2B28"/>
    <w:rsid w:val="AFEE7A18"/>
    <w:rsid w:val="AFF30DDD"/>
    <w:rsid w:val="AFF51D40"/>
    <w:rsid w:val="AFF5E228"/>
    <w:rsid w:val="AFF73C1D"/>
    <w:rsid w:val="AFF7CC63"/>
    <w:rsid w:val="AFF91801"/>
    <w:rsid w:val="AFFEFB18"/>
    <w:rsid w:val="B1BB0F7C"/>
    <w:rsid w:val="B1FF8B90"/>
    <w:rsid w:val="B2EFF7F2"/>
    <w:rsid w:val="B2FF1076"/>
    <w:rsid w:val="B377EF62"/>
    <w:rsid w:val="B39DDDAD"/>
    <w:rsid w:val="B3BB74F5"/>
    <w:rsid w:val="B3DE540B"/>
    <w:rsid w:val="B3F71CDF"/>
    <w:rsid w:val="B47FB9C6"/>
    <w:rsid w:val="B4ED9755"/>
    <w:rsid w:val="B57E5CE0"/>
    <w:rsid w:val="B5B8A396"/>
    <w:rsid w:val="B5BD5ADF"/>
    <w:rsid w:val="B5E82066"/>
    <w:rsid w:val="B5FD7A9F"/>
    <w:rsid w:val="B5FF76FE"/>
    <w:rsid w:val="B6BFCF1E"/>
    <w:rsid w:val="B6FE64C0"/>
    <w:rsid w:val="B6FFA38D"/>
    <w:rsid w:val="B73EC9F0"/>
    <w:rsid w:val="B75E9B94"/>
    <w:rsid w:val="B75F7AAB"/>
    <w:rsid w:val="B7770B78"/>
    <w:rsid w:val="B7795174"/>
    <w:rsid w:val="B77F0EC5"/>
    <w:rsid w:val="B7AF1FE5"/>
    <w:rsid w:val="B7B3FDA3"/>
    <w:rsid w:val="B7BE9139"/>
    <w:rsid w:val="B7BF90AD"/>
    <w:rsid w:val="B7BF9550"/>
    <w:rsid w:val="B7BF9F7A"/>
    <w:rsid w:val="B7DF421C"/>
    <w:rsid w:val="B7DF8BED"/>
    <w:rsid w:val="B7DFE42B"/>
    <w:rsid w:val="B7DFE915"/>
    <w:rsid w:val="B7F716D0"/>
    <w:rsid w:val="B7F74623"/>
    <w:rsid w:val="B7FE5DE9"/>
    <w:rsid w:val="B87110A4"/>
    <w:rsid w:val="B8DF6992"/>
    <w:rsid w:val="B8E9DB2A"/>
    <w:rsid w:val="B8F43071"/>
    <w:rsid w:val="B93F9133"/>
    <w:rsid w:val="B9BB6BB7"/>
    <w:rsid w:val="B9E5D73F"/>
    <w:rsid w:val="BA1F9FCB"/>
    <w:rsid w:val="BA7689F2"/>
    <w:rsid w:val="BA7EA676"/>
    <w:rsid w:val="BABBEE81"/>
    <w:rsid w:val="BAE71347"/>
    <w:rsid w:val="BAEFE5B6"/>
    <w:rsid w:val="BAFB7E28"/>
    <w:rsid w:val="BAFDB944"/>
    <w:rsid w:val="BAFF39CC"/>
    <w:rsid w:val="BAFFA788"/>
    <w:rsid w:val="BAFFE9FA"/>
    <w:rsid w:val="BB6BBD17"/>
    <w:rsid w:val="BBBD5440"/>
    <w:rsid w:val="BBBF141C"/>
    <w:rsid w:val="BBBF7F21"/>
    <w:rsid w:val="BBDF07FD"/>
    <w:rsid w:val="BBE6D041"/>
    <w:rsid w:val="BBEE337F"/>
    <w:rsid w:val="BBEF49A5"/>
    <w:rsid w:val="BBFD778A"/>
    <w:rsid w:val="BBFD89DA"/>
    <w:rsid w:val="BBFEBC09"/>
    <w:rsid w:val="BBFF5FAC"/>
    <w:rsid w:val="BBFFD85F"/>
    <w:rsid w:val="BCB7CDA4"/>
    <w:rsid w:val="BCBFD741"/>
    <w:rsid w:val="BCEB4091"/>
    <w:rsid w:val="BCFE3E9D"/>
    <w:rsid w:val="BCFE793D"/>
    <w:rsid w:val="BD07D921"/>
    <w:rsid w:val="BD27AE1B"/>
    <w:rsid w:val="BD6B87B3"/>
    <w:rsid w:val="BD7EFEFD"/>
    <w:rsid w:val="BDAFD23F"/>
    <w:rsid w:val="BDBFF6D2"/>
    <w:rsid w:val="BDED3BEC"/>
    <w:rsid w:val="BDF73C8F"/>
    <w:rsid w:val="BDF7A0AD"/>
    <w:rsid w:val="BDF7F9B2"/>
    <w:rsid w:val="BDF96267"/>
    <w:rsid w:val="BDFD0054"/>
    <w:rsid w:val="BDFF7033"/>
    <w:rsid w:val="BDFFB853"/>
    <w:rsid w:val="BDFFC262"/>
    <w:rsid w:val="BE5F0469"/>
    <w:rsid w:val="BE6F0947"/>
    <w:rsid w:val="BE7EDC71"/>
    <w:rsid w:val="BE7FB7CA"/>
    <w:rsid w:val="BEB9F3E2"/>
    <w:rsid w:val="BEBE2A14"/>
    <w:rsid w:val="BEE3EA30"/>
    <w:rsid w:val="BEE7EB16"/>
    <w:rsid w:val="BEEAAB35"/>
    <w:rsid w:val="BEEB2BA7"/>
    <w:rsid w:val="BEFB2CA2"/>
    <w:rsid w:val="BEFBC191"/>
    <w:rsid w:val="BEFD1108"/>
    <w:rsid w:val="BEFED5A2"/>
    <w:rsid w:val="BF1D1586"/>
    <w:rsid w:val="BF22B30F"/>
    <w:rsid w:val="BF2EAD3E"/>
    <w:rsid w:val="BF2FC71D"/>
    <w:rsid w:val="BF564E10"/>
    <w:rsid w:val="BF6BA9CC"/>
    <w:rsid w:val="BF76A706"/>
    <w:rsid w:val="BF7B2CEA"/>
    <w:rsid w:val="BF7D6A5D"/>
    <w:rsid w:val="BF7E6150"/>
    <w:rsid w:val="BF935B90"/>
    <w:rsid w:val="BF936ED8"/>
    <w:rsid w:val="BF96788B"/>
    <w:rsid w:val="BF9E696C"/>
    <w:rsid w:val="BFAF121E"/>
    <w:rsid w:val="BFB7FCB1"/>
    <w:rsid w:val="BFBF5407"/>
    <w:rsid w:val="BFBF6908"/>
    <w:rsid w:val="BFBFB30E"/>
    <w:rsid w:val="BFBFBBBB"/>
    <w:rsid w:val="BFC7530F"/>
    <w:rsid w:val="BFCD0421"/>
    <w:rsid w:val="BFCE31AD"/>
    <w:rsid w:val="BFD394F6"/>
    <w:rsid w:val="BFD5889A"/>
    <w:rsid w:val="BFD6F24A"/>
    <w:rsid w:val="BFD90057"/>
    <w:rsid w:val="BFDB3AE4"/>
    <w:rsid w:val="BFDCF59A"/>
    <w:rsid w:val="BFDF443D"/>
    <w:rsid w:val="BFDF69C3"/>
    <w:rsid w:val="BFEAE8BF"/>
    <w:rsid w:val="BFEB298A"/>
    <w:rsid w:val="BFEFA0CE"/>
    <w:rsid w:val="BFEFF0F8"/>
    <w:rsid w:val="BFF57D4C"/>
    <w:rsid w:val="BFF64135"/>
    <w:rsid w:val="BFF68A07"/>
    <w:rsid w:val="BFF6D5F4"/>
    <w:rsid w:val="BFF7CE0F"/>
    <w:rsid w:val="BFFBC0F6"/>
    <w:rsid w:val="BFFBE279"/>
    <w:rsid w:val="BFFE95FC"/>
    <w:rsid w:val="BFFEC1A9"/>
    <w:rsid w:val="BFFECA24"/>
    <w:rsid w:val="BFFF0112"/>
    <w:rsid w:val="BFFF8546"/>
    <w:rsid w:val="BFFFDE1A"/>
    <w:rsid w:val="C37B53B6"/>
    <w:rsid w:val="C5DB5B03"/>
    <w:rsid w:val="C6BB522B"/>
    <w:rsid w:val="C6FF5705"/>
    <w:rsid w:val="C7537EEB"/>
    <w:rsid w:val="C7678B2D"/>
    <w:rsid w:val="C7BF231C"/>
    <w:rsid w:val="C7EB608E"/>
    <w:rsid w:val="C7EF2B71"/>
    <w:rsid w:val="C89EC084"/>
    <w:rsid w:val="C8BDE775"/>
    <w:rsid w:val="C97E610F"/>
    <w:rsid w:val="C9FC7D8B"/>
    <w:rsid w:val="C9FF0E54"/>
    <w:rsid w:val="CAFF1D21"/>
    <w:rsid w:val="CAFF8D24"/>
    <w:rsid w:val="CB5EEBD5"/>
    <w:rsid w:val="CB777397"/>
    <w:rsid w:val="CB7B3476"/>
    <w:rsid w:val="CBBFBD84"/>
    <w:rsid w:val="CBF73D86"/>
    <w:rsid w:val="CBF7ADA0"/>
    <w:rsid w:val="CBFEE36A"/>
    <w:rsid w:val="CC2F57FC"/>
    <w:rsid w:val="CCE9EB42"/>
    <w:rsid w:val="CDEF1B71"/>
    <w:rsid w:val="CDF5C2D3"/>
    <w:rsid w:val="CDF78443"/>
    <w:rsid w:val="CE653152"/>
    <w:rsid w:val="CE9DD592"/>
    <w:rsid w:val="CEB19E75"/>
    <w:rsid w:val="CEDD4542"/>
    <w:rsid w:val="CEFBC057"/>
    <w:rsid w:val="CEFC09B6"/>
    <w:rsid w:val="CEFEBA27"/>
    <w:rsid w:val="CEFF6DA0"/>
    <w:rsid w:val="CF07E5AE"/>
    <w:rsid w:val="CF66F1A5"/>
    <w:rsid w:val="CF8F922C"/>
    <w:rsid w:val="CF9E2C49"/>
    <w:rsid w:val="CFB7B727"/>
    <w:rsid w:val="CFBF3142"/>
    <w:rsid w:val="CFD382F5"/>
    <w:rsid w:val="CFDC9072"/>
    <w:rsid w:val="CFE4E922"/>
    <w:rsid w:val="CFF3FF1E"/>
    <w:rsid w:val="CFF57784"/>
    <w:rsid w:val="CFF69935"/>
    <w:rsid w:val="CFF998C2"/>
    <w:rsid w:val="CFFF086E"/>
    <w:rsid w:val="D0FD9C12"/>
    <w:rsid w:val="D16DC452"/>
    <w:rsid w:val="D3A3E9C8"/>
    <w:rsid w:val="D3FBB0AF"/>
    <w:rsid w:val="D3FF6C15"/>
    <w:rsid w:val="D4EA5194"/>
    <w:rsid w:val="D4F30A04"/>
    <w:rsid w:val="D5BF78B2"/>
    <w:rsid w:val="D5F3720A"/>
    <w:rsid w:val="D5F74E12"/>
    <w:rsid w:val="D5F98927"/>
    <w:rsid w:val="D5FD1098"/>
    <w:rsid w:val="D5FF3361"/>
    <w:rsid w:val="D5FFC931"/>
    <w:rsid w:val="D6BB95CE"/>
    <w:rsid w:val="D6BFBD0F"/>
    <w:rsid w:val="D6DDDD88"/>
    <w:rsid w:val="D6DF15B0"/>
    <w:rsid w:val="D6DF4DDA"/>
    <w:rsid w:val="D73D0CBE"/>
    <w:rsid w:val="D74DD947"/>
    <w:rsid w:val="D74E919C"/>
    <w:rsid w:val="D76FE845"/>
    <w:rsid w:val="D77791A3"/>
    <w:rsid w:val="D77B855C"/>
    <w:rsid w:val="D77BDC44"/>
    <w:rsid w:val="D77D2D87"/>
    <w:rsid w:val="D77D5302"/>
    <w:rsid w:val="D77F2CE7"/>
    <w:rsid w:val="D7B6AD4D"/>
    <w:rsid w:val="D7BF061E"/>
    <w:rsid w:val="D7DA3AE6"/>
    <w:rsid w:val="D7DBE6F8"/>
    <w:rsid w:val="D7F1ABE5"/>
    <w:rsid w:val="D7F1B2AB"/>
    <w:rsid w:val="D7F73B01"/>
    <w:rsid w:val="D7F968AF"/>
    <w:rsid w:val="D7FDD6E9"/>
    <w:rsid w:val="D7FEE909"/>
    <w:rsid w:val="D7FEF3E0"/>
    <w:rsid w:val="D7FFA5BF"/>
    <w:rsid w:val="D8BF202C"/>
    <w:rsid w:val="D9514514"/>
    <w:rsid w:val="D9BF376F"/>
    <w:rsid w:val="D9EAD53A"/>
    <w:rsid w:val="D9EED941"/>
    <w:rsid w:val="D9F345C8"/>
    <w:rsid w:val="D9F731DC"/>
    <w:rsid w:val="D9FD3BA4"/>
    <w:rsid w:val="D9FF1472"/>
    <w:rsid w:val="DA58680E"/>
    <w:rsid w:val="DA7DB752"/>
    <w:rsid w:val="DA7F2373"/>
    <w:rsid w:val="DAA71C36"/>
    <w:rsid w:val="DABED573"/>
    <w:rsid w:val="DAE5E0E4"/>
    <w:rsid w:val="DAFDFDF0"/>
    <w:rsid w:val="DAFE3FFD"/>
    <w:rsid w:val="DB3F136C"/>
    <w:rsid w:val="DB3FBC48"/>
    <w:rsid w:val="DB3FEF9F"/>
    <w:rsid w:val="DB57ABA8"/>
    <w:rsid w:val="DB623902"/>
    <w:rsid w:val="DB6D2033"/>
    <w:rsid w:val="DB6DE726"/>
    <w:rsid w:val="DB7B887D"/>
    <w:rsid w:val="DB7F5D36"/>
    <w:rsid w:val="DB7FBDE8"/>
    <w:rsid w:val="DBBEDD0D"/>
    <w:rsid w:val="DBBF1E3A"/>
    <w:rsid w:val="DBBF2168"/>
    <w:rsid w:val="DBBFB7BF"/>
    <w:rsid w:val="DBC7B291"/>
    <w:rsid w:val="DBCB1FFA"/>
    <w:rsid w:val="DBE584CE"/>
    <w:rsid w:val="DBECE59D"/>
    <w:rsid w:val="DBEF3ABD"/>
    <w:rsid w:val="DBEF801B"/>
    <w:rsid w:val="DBFA52BB"/>
    <w:rsid w:val="DBFD58C3"/>
    <w:rsid w:val="DBFF1A81"/>
    <w:rsid w:val="DBFF723E"/>
    <w:rsid w:val="DBFFD40D"/>
    <w:rsid w:val="DC8F986F"/>
    <w:rsid w:val="DCDFBA3B"/>
    <w:rsid w:val="DCDFEA37"/>
    <w:rsid w:val="DCFD5FD8"/>
    <w:rsid w:val="DCFDB701"/>
    <w:rsid w:val="DD3F8DD6"/>
    <w:rsid w:val="DD436540"/>
    <w:rsid w:val="DD60C9C5"/>
    <w:rsid w:val="DD7E4DF5"/>
    <w:rsid w:val="DD7FC5F9"/>
    <w:rsid w:val="DD96C9FE"/>
    <w:rsid w:val="DDBF2D2C"/>
    <w:rsid w:val="DDBFD2E9"/>
    <w:rsid w:val="DDBFEF27"/>
    <w:rsid w:val="DDEEF8F3"/>
    <w:rsid w:val="DDF335AD"/>
    <w:rsid w:val="DDF5D37E"/>
    <w:rsid w:val="DDFA5510"/>
    <w:rsid w:val="DDFA6CF8"/>
    <w:rsid w:val="DDFB1C07"/>
    <w:rsid w:val="DDFB3046"/>
    <w:rsid w:val="DE72DCE2"/>
    <w:rsid w:val="DE7F0ED5"/>
    <w:rsid w:val="DEAB318D"/>
    <w:rsid w:val="DEBBFC1C"/>
    <w:rsid w:val="DEDB7139"/>
    <w:rsid w:val="DEDF4064"/>
    <w:rsid w:val="DEE7CE72"/>
    <w:rsid w:val="DEF51904"/>
    <w:rsid w:val="DEF74FB4"/>
    <w:rsid w:val="DEF7DD4A"/>
    <w:rsid w:val="DEF9C80E"/>
    <w:rsid w:val="DEFBBF33"/>
    <w:rsid w:val="DEFD60EB"/>
    <w:rsid w:val="DEFF28B9"/>
    <w:rsid w:val="DEFF591D"/>
    <w:rsid w:val="DF3FFB49"/>
    <w:rsid w:val="DF452D61"/>
    <w:rsid w:val="DF5DDDA9"/>
    <w:rsid w:val="DF5F0FDC"/>
    <w:rsid w:val="DF5FAA5A"/>
    <w:rsid w:val="DF5FCA0B"/>
    <w:rsid w:val="DF6F8B98"/>
    <w:rsid w:val="DF7750DE"/>
    <w:rsid w:val="DF77548B"/>
    <w:rsid w:val="DF7BACF5"/>
    <w:rsid w:val="DF7FC749"/>
    <w:rsid w:val="DF7FCD0E"/>
    <w:rsid w:val="DF8666F7"/>
    <w:rsid w:val="DF9BCBD6"/>
    <w:rsid w:val="DF9C9523"/>
    <w:rsid w:val="DFADD452"/>
    <w:rsid w:val="DFB75D1D"/>
    <w:rsid w:val="DFB78D0A"/>
    <w:rsid w:val="DFC71B06"/>
    <w:rsid w:val="DFD7A974"/>
    <w:rsid w:val="DFDBE12A"/>
    <w:rsid w:val="DFDFB220"/>
    <w:rsid w:val="DFDFF9D7"/>
    <w:rsid w:val="DFEBF697"/>
    <w:rsid w:val="DFECE2CB"/>
    <w:rsid w:val="DFEEBE17"/>
    <w:rsid w:val="DFF22751"/>
    <w:rsid w:val="DFF7A453"/>
    <w:rsid w:val="DFFA58B6"/>
    <w:rsid w:val="DFFA69F8"/>
    <w:rsid w:val="DFFDDC10"/>
    <w:rsid w:val="DFFE07E6"/>
    <w:rsid w:val="DFFF0504"/>
    <w:rsid w:val="DFFF17FD"/>
    <w:rsid w:val="DFFF2FC6"/>
    <w:rsid w:val="DFFF4332"/>
    <w:rsid w:val="DFFF57CD"/>
    <w:rsid w:val="DFFF5DEA"/>
    <w:rsid w:val="DFFF6285"/>
    <w:rsid w:val="DFFFDBB6"/>
    <w:rsid w:val="E1F7F6A7"/>
    <w:rsid w:val="E2E848AC"/>
    <w:rsid w:val="E2FD003B"/>
    <w:rsid w:val="E319E232"/>
    <w:rsid w:val="E35C5A40"/>
    <w:rsid w:val="E37BD875"/>
    <w:rsid w:val="E37F0F14"/>
    <w:rsid w:val="E38F2935"/>
    <w:rsid w:val="E39B9EE4"/>
    <w:rsid w:val="E3CF60FD"/>
    <w:rsid w:val="E3F5E3F2"/>
    <w:rsid w:val="E3FAABE1"/>
    <w:rsid w:val="E3FEF34D"/>
    <w:rsid w:val="E3FFC3DE"/>
    <w:rsid w:val="E4EFBB6D"/>
    <w:rsid w:val="E4F7C05E"/>
    <w:rsid w:val="E53A5D26"/>
    <w:rsid w:val="E53B45C9"/>
    <w:rsid w:val="E5781D00"/>
    <w:rsid w:val="E57FEDB5"/>
    <w:rsid w:val="E5F7EE53"/>
    <w:rsid w:val="E5FAC689"/>
    <w:rsid w:val="E675633F"/>
    <w:rsid w:val="E67B4D50"/>
    <w:rsid w:val="E67F66FD"/>
    <w:rsid w:val="E6BF249D"/>
    <w:rsid w:val="E6DE556C"/>
    <w:rsid w:val="E6DF79C8"/>
    <w:rsid w:val="E726CCE1"/>
    <w:rsid w:val="E73F9D20"/>
    <w:rsid w:val="E749BA89"/>
    <w:rsid w:val="E77B084E"/>
    <w:rsid w:val="E77E65C4"/>
    <w:rsid w:val="E7B9C9F3"/>
    <w:rsid w:val="E7C8D813"/>
    <w:rsid w:val="E7D1A8D9"/>
    <w:rsid w:val="E7DF66D7"/>
    <w:rsid w:val="E7DF7394"/>
    <w:rsid w:val="E7F5CA1A"/>
    <w:rsid w:val="E7FA3FC8"/>
    <w:rsid w:val="E7FD22B7"/>
    <w:rsid w:val="E7FD8680"/>
    <w:rsid w:val="E87BF329"/>
    <w:rsid w:val="E8BB2E5B"/>
    <w:rsid w:val="E8FD73B7"/>
    <w:rsid w:val="E8FF40E5"/>
    <w:rsid w:val="E91F6817"/>
    <w:rsid w:val="E999AB26"/>
    <w:rsid w:val="E9BF31A5"/>
    <w:rsid w:val="E9C37371"/>
    <w:rsid w:val="E9FF0FE7"/>
    <w:rsid w:val="EA396202"/>
    <w:rsid w:val="EA71722B"/>
    <w:rsid w:val="EA7EF995"/>
    <w:rsid w:val="EA7F0E22"/>
    <w:rsid w:val="EAE6221C"/>
    <w:rsid w:val="EAF8C9F2"/>
    <w:rsid w:val="EB3F28F1"/>
    <w:rsid w:val="EB5BCD9F"/>
    <w:rsid w:val="EB6E5CF9"/>
    <w:rsid w:val="EB9F49D4"/>
    <w:rsid w:val="EBA359D1"/>
    <w:rsid w:val="EBBD4FBB"/>
    <w:rsid w:val="EBBF2B0D"/>
    <w:rsid w:val="EBCCD609"/>
    <w:rsid w:val="EBD9C14E"/>
    <w:rsid w:val="EBDBE0B2"/>
    <w:rsid w:val="EBDDB7D7"/>
    <w:rsid w:val="EBDE1EA2"/>
    <w:rsid w:val="EBDE2363"/>
    <w:rsid w:val="EBF36B6A"/>
    <w:rsid w:val="EBF72F58"/>
    <w:rsid w:val="EBF93819"/>
    <w:rsid w:val="EBFB0753"/>
    <w:rsid w:val="EBFCD55B"/>
    <w:rsid w:val="EBFD1398"/>
    <w:rsid w:val="EBFEBCDF"/>
    <w:rsid w:val="EBFEC1F2"/>
    <w:rsid w:val="EBFF0A9E"/>
    <w:rsid w:val="EBFFA90C"/>
    <w:rsid w:val="EBFFC60B"/>
    <w:rsid w:val="ECAC1C0F"/>
    <w:rsid w:val="ECB65917"/>
    <w:rsid w:val="ECD701DC"/>
    <w:rsid w:val="ECDA8B5C"/>
    <w:rsid w:val="ECEFAA43"/>
    <w:rsid w:val="ECF6495A"/>
    <w:rsid w:val="ECFEEAD1"/>
    <w:rsid w:val="ED3CC910"/>
    <w:rsid w:val="ED5B60B7"/>
    <w:rsid w:val="ED6DC1D1"/>
    <w:rsid w:val="ED779348"/>
    <w:rsid w:val="ED7F0A14"/>
    <w:rsid w:val="EDA77140"/>
    <w:rsid w:val="EDA935A7"/>
    <w:rsid w:val="EDAC290A"/>
    <w:rsid w:val="EDBB30BC"/>
    <w:rsid w:val="EDBFC4A4"/>
    <w:rsid w:val="EDD2FCCB"/>
    <w:rsid w:val="EDD9C4AF"/>
    <w:rsid w:val="EDDF66BE"/>
    <w:rsid w:val="EDE716C5"/>
    <w:rsid w:val="EDFAD5F6"/>
    <w:rsid w:val="EDFB8705"/>
    <w:rsid w:val="EDFD97AB"/>
    <w:rsid w:val="EE374FA0"/>
    <w:rsid w:val="EE5B8CCE"/>
    <w:rsid w:val="EE5F7700"/>
    <w:rsid w:val="EEA19AE8"/>
    <w:rsid w:val="EEBE2D40"/>
    <w:rsid w:val="EEBF169C"/>
    <w:rsid w:val="EEBFD490"/>
    <w:rsid w:val="EEEB71AB"/>
    <w:rsid w:val="EEED0BE9"/>
    <w:rsid w:val="EEEEAA07"/>
    <w:rsid w:val="EEEFD6B6"/>
    <w:rsid w:val="EEFA72E3"/>
    <w:rsid w:val="EEFB2CC9"/>
    <w:rsid w:val="EEFC5384"/>
    <w:rsid w:val="EEFE6C91"/>
    <w:rsid w:val="EEFFE9F2"/>
    <w:rsid w:val="EF273C47"/>
    <w:rsid w:val="EF2D3B25"/>
    <w:rsid w:val="EF2EF39E"/>
    <w:rsid w:val="EF2F2757"/>
    <w:rsid w:val="EF36783C"/>
    <w:rsid w:val="EF3A7B95"/>
    <w:rsid w:val="EF4B6A8E"/>
    <w:rsid w:val="EF70C314"/>
    <w:rsid w:val="EF77C663"/>
    <w:rsid w:val="EF7F83DD"/>
    <w:rsid w:val="EF7FAA7B"/>
    <w:rsid w:val="EF97CCAD"/>
    <w:rsid w:val="EFB74358"/>
    <w:rsid w:val="EFBC0886"/>
    <w:rsid w:val="EFBC3905"/>
    <w:rsid w:val="EFBE8688"/>
    <w:rsid w:val="EFBFB777"/>
    <w:rsid w:val="EFBFEF38"/>
    <w:rsid w:val="EFCB1A41"/>
    <w:rsid w:val="EFDE255F"/>
    <w:rsid w:val="EFDF789C"/>
    <w:rsid w:val="EFDF7D92"/>
    <w:rsid w:val="EFE150A2"/>
    <w:rsid w:val="EFE68779"/>
    <w:rsid w:val="EFE7144A"/>
    <w:rsid w:val="EFF33B51"/>
    <w:rsid w:val="EFF40584"/>
    <w:rsid w:val="EFF562F0"/>
    <w:rsid w:val="EFFA86E4"/>
    <w:rsid w:val="EFFB0419"/>
    <w:rsid w:val="EFFB136A"/>
    <w:rsid w:val="EFFB2724"/>
    <w:rsid w:val="EFFB74D9"/>
    <w:rsid w:val="EFFC8444"/>
    <w:rsid w:val="EFFD0CE4"/>
    <w:rsid w:val="EFFD9986"/>
    <w:rsid w:val="EFFE2395"/>
    <w:rsid w:val="EFFE3242"/>
    <w:rsid w:val="EFFF8C2E"/>
    <w:rsid w:val="EFFFA0AB"/>
    <w:rsid w:val="EFFFAE4D"/>
    <w:rsid w:val="EFFFCDE8"/>
    <w:rsid w:val="EFFFD2C7"/>
    <w:rsid w:val="F0536D57"/>
    <w:rsid w:val="F0B1C183"/>
    <w:rsid w:val="F0F6C22F"/>
    <w:rsid w:val="F19F3723"/>
    <w:rsid w:val="F1AFE1A7"/>
    <w:rsid w:val="F1BC1965"/>
    <w:rsid w:val="F1BD9C9E"/>
    <w:rsid w:val="F1BDE076"/>
    <w:rsid w:val="F1CFE144"/>
    <w:rsid w:val="F1DB3147"/>
    <w:rsid w:val="F1F9B862"/>
    <w:rsid w:val="F26FF438"/>
    <w:rsid w:val="F27610E2"/>
    <w:rsid w:val="F2D44052"/>
    <w:rsid w:val="F2DFD2CC"/>
    <w:rsid w:val="F2FD91E2"/>
    <w:rsid w:val="F2FF3B2B"/>
    <w:rsid w:val="F2FFAF80"/>
    <w:rsid w:val="F34FF9FD"/>
    <w:rsid w:val="F3578916"/>
    <w:rsid w:val="F35F7D1E"/>
    <w:rsid w:val="F37B9B7F"/>
    <w:rsid w:val="F37FFDFB"/>
    <w:rsid w:val="F3933022"/>
    <w:rsid w:val="F397B087"/>
    <w:rsid w:val="F3B3C724"/>
    <w:rsid w:val="F3B4ED35"/>
    <w:rsid w:val="F3CE8F45"/>
    <w:rsid w:val="F3CF48D2"/>
    <w:rsid w:val="F3D7D7F7"/>
    <w:rsid w:val="F3E6BC8F"/>
    <w:rsid w:val="F3EA4221"/>
    <w:rsid w:val="F3F7AAA5"/>
    <w:rsid w:val="F3FFEFC1"/>
    <w:rsid w:val="F4AD3CD1"/>
    <w:rsid w:val="F4DD80E0"/>
    <w:rsid w:val="F4ED1E28"/>
    <w:rsid w:val="F4F773F0"/>
    <w:rsid w:val="F4F7A1C3"/>
    <w:rsid w:val="F4FB71B3"/>
    <w:rsid w:val="F52F2878"/>
    <w:rsid w:val="F57653B5"/>
    <w:rsid w:val="F58EC5CB"/>
    <w:rsid w:val="F5B30E96"/>
    <w:rsid w:val="F5D37835"/>
    <w:rsid w:val="F5EA2262"/>
    <w:rsid w:val="F5EBAB5D"/>
    <w:rsid w:val="F5F05359"/>
    <w:rsid w:val="F5FC206D"/>
    <w:rsid w:val="F5FEC823"/>
    <w:rsid w:val="F5FF641F"/>
    <w:rsid w:val="F5FFB8CC"/>
    <w:rsid w:val="F5FFE3E2"/>
    <w:rsid w:val="F5FFF8F7"/>
    <w:rsid w:val="F6279BB3"/>
    <w:rsid w:val="F6471E03"/>
    <w:rsid w:val="F67EF1E4"/>
    <w:rsid w:val="F69B8342"/>
    <w:rsid w:val="F6E947AE"/>
    <w:rsid w:val="F6EB76ED"/>
    <w:rsid w:val="F6EF7CF7"/>
    <w:rsid w:val="F6EFAFDD"/>
    <w:rsid w:val="F6F77F6B"/>
    <w:rsid w:val="F6FD4D9D"/>
    <w:rsid w:val="F6FF1F3C"/>
    <w:rsid w:val="F6FFA5EF"/>
    <w:rsid w:val="F73F186D"/>
    <w:rsid w:val="F74F04A5"/>
    <w:rsid w:val="F75BD683"/>
    <w:rsid w:val="F75CB06E"/>
    <w:rsid w:val="F765502B"/>
    <w:rsid w:val="F76D75E4"/>
    <w:rsid w:val="F76F7B23"/>
    <w:rsid w:val="F779B2DF"/>
    <w:rsid w:val="F77A15C9"/>
    <w:rsid w:val="F77C30DF"/>
    <w:rsid w:val="F77F3F81"/>
    <w:rsid w:val="F77F4685"/>
    <w:rsid w:val="F77F5DAF"/>
    <w:rsid w:val="F78DE84A"/>
    <w:rsid w:val="F797C2F0"/>
    <w:rsid w:val="F79E48BA"/>
    <w:rsid w:val="F79E5F20"/>
    <w:rsid w:val="F79F48C6"/>
    <w:rsid w:val="F79FEC5B"/>
    <w:rsid w:val="F7A3F72C"/>
    <w:rsid w:val="F7A75F9C"/>
    <w:rsid w:val="F7AF087A"/>
    <w:rsid w:val="F7AFB1C5"/>
    <w:rsid w:val="F7B119AD"/>
    <w:rsid w:val="F7B227EE"/>
    <w:rsid w:val="F7B53510"/>
    <w:rsid w:val="F7BC69CD"/>
    <w:rsid w:val="F7BF47AF"/>
    <w:rsid w:val="F7BF9668"/>
    <w:rsid w:val="F7BFB0AC"/>
    <w:rsid w:val="F7D50F58"/>
    <w:rsid w:val="F7DEEEC6"/>
    <w:rsid w:val="F7DF2BE1"/>
    <w:rsid w:val="F7DF9C02"/>
    <w:rsid w:val="F7E74B0A"/>
    <w:rsid w:val="F7EE1831"/>
    <w:rsid w:val="F7F00351"/>
    <w:rsid w:val="F7F3040F"/>
    <w:rsid w:val="F7F3AD18"/>
    <w:rsid w:val="F7F5049C"/>
    <w:rsid w:val="F7F69617"/>
    <w:rsid w:val="F7F77393"/>
    <w:rsid w:val="F7F7F44D"/>
    <w:rsid w:val="F7FB8346"/>
    <w:rsid w:val="F7FBBB67"/>
    <w:rsid w:val="F7FC2484"/>
    <w:rsid w:val="F7FD4CEE"/>
    <w:rsid w:val="F7FEC02F"/>
    <w:rsid w:val="F7FF0C8D"/>
    <w:rsid w:val="F7FF69F0"/>
    <w:rsid w:val="F7FF96A2"/>
    <w:rsid w:val="F7FFE675"/>
    <w:rsid w:val="F7FFFD47"/>
    <w:rsid w:val="F8165028"/>
    <w:rsid w:val="F8BB6043"/>
    <w:rsid w:val="F8D5A024"/>
    <w:rsid w:val="F8DD8FF2"/>
    <w:rsid w:val="F8ED8A3D"/>
    <w:rsid w:val="F8EFCFCC"/>
    <w:rsid w:val="F8F745DE"/>
    <w:rsid w:val="F955BCA8"/>
    <w:rsid w:val="F95F1CF1"/>
    <w:rsid w:val="F97FDD31"/>
    <w:rsid w:val="F997DC4E"/>
    <w:rsid w:val="F99F46CD"/>
    <w:rsid w:val="F9A7D231"/>
    <w:rsid w:val="F9AFFF49"/>
    <w:rsid w:val="F9B74E2F"/>
    <w:rsid w:val="F9D612D3"/>
    <w:rsid w:val="F9D6AF7C"/>
    <w:rsid w:val="F9DDA769"/>
    <w:rsid w:val="F9EA7989"/>
    <w:rsid w:val="F9ED2BF8"/>
    <w:rsid w:val="F9F5855A"/>
    <w:rsid w:val="F9F6C261"/>
    <w:rsid w:val="F9FB8808"/>
    <w:rsid w:val="F9FD1315"/>
    <w:rsid w:val="F9FE093A"/>
    <w:rsid w:val="FA1FF523"/>
    <w:rsid w:val="FA9F1666"/>
    <w:rsid w:val="FAAAD94D"/>
    <w:rsid w:val="FAABE485"/>
    <w:rsid w:val="FADB2C5A"/>
    <w:rsid w:val="FAEBC600"/>
    <w:rsid w:val="FAF35AEF"/>
    <w:rsid w:val="FAFC5E5F"/>
    <w:rsid w:val="FAFD82EB"/>
    <w:rsid w:val="FAFE1051"/>
    <w:rsid w:val="FAFF683C"/>
    <w:rsid w:val="FAFF8A5E"/>
    <w:rsid w:val="FAFFC7B0"/>
    <w:rsid w:val="FB1F8DA0"/>
    <w:rsid w:val="FB551E98"/>
    <w:rsid w:val="FB5EEEA1"/>
    <w:rsid w:val="FB6B546C"/>
    <w:rsid w:val="FB6FA54A"/>
    <w:rsid w:val="FB7B225F"/>
    <w:rsid w:val="FB7E07AB"/>
    <w:rsid w:val="FB7F1F91"/>
    <w:rsid w:val="FB7F33EE"/>
    <w:rsid w:val="FB7F3876"/>
    <w:rsid w:val="FB7F492B"/>
    <w:rsid w:val="FB7F5295"/>
    <w:rsid w:val="FB7FD4B3"/>
    <w:rsid w:val="FB9DF123"/>
    <w:rsid w:val="FB9F5DDE"/>
    <w:rsid w:val="FB9FDBE6"/>
    <w:rsid w:val="FBB149FC"/>
    <w:rsid w:val="FBB4F6D4"/>
    <w:rsid w:val="FBBA7305"/>
    <w:rsid w:val="FBBB83BA"/>
    <w:rsid w:val="FBBD23AE"/>
    <w:rsid w:val="FBBE293A"/>
    <w:rsid w:val="FBBF8916"/>
    <w:rsid w:val="FBBF96CC"/>
    <w:rsid w:val="FBBFAF72"/>
    <w:rsid w:val="FBCAF085"/>
    <w:rsid w:val="FBCF8F1A"/>
    <w:rsid w:val="FBD1C702"/>
    <w:rsid w:val="FBDB1223"/>
    <w:rsid w:val="FBDDA4B2"/>
    <w:rsid w:val="FBDDC22C"/>
    <w:rsid w:val="FBDEA97F"/>
    <w:rsid w:val="FBDF38A1"/>
    <w:rsid w:val="FBDF3920"/>
    <w:rsid w:val="FBDF6724"/>
    <w:rsid w:val="FBE53E82"/>
    <w:rsid w:val="FBE778BD"/>
    <w:rsid w:val="FBEAEFF6"/>
    <w:rsid w:val="FBEB4E62"/>
    <w:rsid w:val="FBEBED02"/>
    <w:rsid w:val="FBED6B10"/>
    <w:rsid w:val="FBEE568F"/>
    <w:rsid w:val="FBEF19FC"/>
    <w:rsid w:val="FBEF8E9D"/>
    <w:rsid w:val="FBF25ABD"/>
    <w:rsid w:val="FBFB0251"/>
    <w:rsid w:val="FBFE9DD5"/>
    <w:rsid w:val="FBFEA49F"/>
    <w:rsid w:val="FBFECA48"/>
    <w:rsid w:val="FBFF7926"/>
    <w:rsid w:val="FBFFB046"/>
    <w:rsid w:val="FBFFE190"/>
    <w:rsid w:val="FC667908"/>
    <w:rsid w:val="FC7F0AA5"/>
    <w:rsid w:val="FC9D5593"/>
    <w:rsid w:val="FCA9B50D"/>
    <w:rsid w:val="FCB1DFA7"/>
    <w:rsid w:val="FCB5CD9C"/>
    <w:rsid w:val="FCBBC6C2"/>
    <w:rsid w:val="FCCF85B3"/>
    <w:rsid w:val="FCD304F1"/>
    <w:rsid w:val="FCDFEAA7"/>
    <w:rsid w:val="FCE53991"/>
    <w:rsid w:val="FCE93635"/>
    <w:rsid w:val="FCF365EB"/>
    <w:rsid w:val="FCFA4953"/>
    <w:rsid w:val="FCFB5246"/>
    <w:rsid w:val="FCFD57F3"/>
    <w:rsid w:val="FCFF790F"/>
    <w:rsid w:val="FCFFB406"/>
    <w:rsid w:val="FCFFB756"/>
    <w:rsid w:val="FD317F73"/>
    <w:rsid w:val="FD3B3E64"/>
    <w:rsid w:val="FD4D219A"/>
    <w:rsid w:val="FD4DC783"/>
    <w:rsid w:val="FD6F97EE"/>
    <w:rsid w:val="FD6FB0E7"/>
    <w:rsid w:val="FD6FE336"/>
    <w:rsid w:val="FD76E953"/>
    <w:rsid w:val="FD77084F"/>
    <w:rsid w:val="FD77405D"/>
    <w:rsid w:val="FD7ACFB4"/>
    <w:rsid w:val="FD7E247B"/>
    <w:rsid w:val="FD7F3898"/>
    <w:rsid w:val="FD7F4E4A"/>
    <w:rsid w:val="FD7FC275"/>
    <w:rsid w:val="FD8FC74E"/>
    <w:rsid w:val="FD95C14F"/>
    <w:rsid w:val="FDAA8665"/>
    <w:rsid w:val="FDAB5E7B"/>
    <w:rsid w:val="FDAF77E1"/>
    <w:rsid w:val="FDB5FEEE"/>
    <w:rsid w:val="FDB736A0"/>
    <w:rsid w:val="FDBB5B22"/>
    <w:rsid w:val="FDBC5A23"/>
    <w:rsid w:val="FDBCB7E8"/>
    <w:rsid w:val="FDBD19D8"/>
    <w:rsid w:val="FDBE12BE"/>
    <w:rsid w:val="FDBF1784"/>
    <w:rsid w:val="FDBFC7CE"/>
    <w:rsid w:val="FDBFE6A7"/>
    <w:rsid w:val="FDC985DD"/>
    <w:rsid w:val="FDCF01E4"/>
    <w:rsid w:val="FDDB5C3A"/>
    <w:rsid w:val="FDDBDD2F"/>
    <w:rsid w:val="FDDD28BC"/>
    <w:rsid w:val="FDDF1EE0"/>
    <w:rsid w:val="FDDFE562"/>
    <w:rsid w:val="FDE3CD28"/>
    <w:rsid w:val="FDE78B6F"/>
    <w:rsid w:val="FDEBEF51"/>
    <w:rsid w:val="FDEDD016"/>
    <w:rsid w:val="FDEF3FC9"/>
    <w:rsid w:val="FDEFB85C"/>
    <w:rsid w:val="FDF1C8E1"/>
    <w:rsid w:val="FDF66ACC"/>
    <w:rsid w:val="FDF7B12D"/>
    <w:rsid w:val="FDF8F67B"/>
    <w:rsid w:val="FDF91F12"/>
    <w:rsid w:val="FDFD04C7"/>
    <w:rsid w:val="FDFD2CA3"/>
    <w:rsid w:val="FDFDC9F2"/>
    <w:rsid w:val="FDFDCE55"/>
    <w:rsid w:val="FDFDE510"/>
    <w:rsid w:val="FDFF0289"/>
    <w:rsid w:val="FDFF0609"/>
    <w:rsid w:val="FDFF1CDA"/>
    <w:rsid w:val="FDFF960A"/>
    <w:rsid w:val="FDFFD945"/>
    <w:rsid w:val="FE050898"/>
    <w:rsid w:val="FE333E40"/>
    <w:rsid w:val="FE5E3194"/>
    <w:rsid w:val="FE5F0EB1"/>
    <w:rsid w:val="FE5FA376"/>
    <w:rsid w:val="FE5FB08C"/>
    <w:rsid w:val="FE6B4A3D"/>
    <w:rsid w:val="FE74F899"/>
    <w:rsid w:val="FE771D69"/>
    <w:rsid w:val="FE7F3099"/>
    <w:rsid w:val="FE7F3A88"/>
    <w:rsid w:val="FE7FED04"/>
    <w:rsid w:val="FE875202"/>
    <w:rsid w:val="FE87DEAC"/>
    <w:rsid w:val="FEA9FB46"/>
    <w:rsid w:val="FEAB7D0F"/>
    <w:rsid w:val="FEAE069E"/>
    <w:rsid w:val="FEAECC55"/>
    <w:rsid w:val="FEB6C33D"/>
    <w:rsid w:val="FEBB9F6A"/>
    <w:rsid w:val="FEBE5258"/>
    <w:rsid w:val="FEBF4EA6"/>
    <w:rsid w:val="FEBF7275"/>
    <w:rsid w:val="FEBF8EF9"/>
    <w:rsid w:val="FEC9C625"/>
    <w:rsid w:val="FECE3F4E"/>
    <w:rsid w:val="FECF8BB7"/>
    <w:rsid w:val="FED25DEA"/>
    <w:rsid w:val="FED7D2D6"/>
    <w:rsid w:val="FED7F028"/>
    <w:rsid w:val="FEDF8630"/>
    <w:rsid w:val="FEDFF52A"/>
    <w:rsid w:val="FEDFF9A4"/>
    <w:rsid w:val="FEE527BF"/>
    <w:rsid w:val="FEE59575"/>
    <w:rsid w:val="FEE9115B"/>
    <w:rsid w:val="FEEBCB62"/>
    <w:rsid w:val="FEEC1F94"/>
    <w:rsid w:val="FEEEC88A"/>
    <w:rsid w:val="FEEEFD56"/>
    <w:rsid w:val="FEEF1ABE"/>
    <w:rsid w:val="FEEF2ED0"/>
    <w:rsid w:val="FEEF3E1B"/>
    <w:rsid w:val="FEEFB614"/>
    <w:rsid w:val="FEF34418"/>
    <w:rsid w:val="FEF70F86"/>
    <w:rsid w:val="FEF72A38"/>
    <w:rsid w:val="FEF78011"/>
    <w:rsid w:val="FEFABD73"/>
    <w:rsid w:val="FEFAFDC0"/>
    <w:rsid w:val="FEFB69A8"/>
    <w:rsid w:val="FEFC9C94"/>
    <w:rsid w:val="FEFD63A9"/>
    <w:rsid w:val="FEFDCD41"/>
    <w:rsid w:val="FEFE2F53"/>
    <w:rsid w:val="FEFEDE2E"/>
    <w:rsid w:val="FEFF8336"/>
    <w:rsid w:val="FEFF836B"/>
    <w:rsid w:val="FEFF866B"/>
    <w:rsid w:val="FEFF9E96"/>
    <w:rsid w:val="FF14E6DA"/>
    <w:rsid w:val="FF1E2E54"/>
    <w:rsid w:val="FF1FA778"/>
    <w:rsid w:val="FF2785FE"/>
    <w:rsid w:val="FF2F8039"/>
    <w:rsid w:val="FF3BCD30"/>
    <w:rsid w:val="FF3D42F6"/>
    <w:rsid w:val="FF3DF780"/>
    <w:rsid w:val="FF3EBCC1"/>
    <w:rsid w:val="FF3F03EF"/>
    <w:rsid w:val="FF3F5BDA"/>
    <w:rsid w:val="FF3FB510"/>
    <w:rsid w:val="FF3FDD89"/>
    <w:rsid w:val="FF462F5E"/>
    <w:rsid w:val="FF552BA6"/>
    <w:rsid w:val="FF5AD76F"/>
    <w:rsid w:val="FF5ADFFF"/>
    <w:rsid w:val="FF5D6E49"/>
    <w:rsid w:val="FF6382D9"/>
    <w:rsid w:val="FF6B2AC2"/>
    <w:rsid w:val="FF6BEB4B"/>
    <w:rsid w:val="FF6D930B"/>
    <w:rsid w:val="FF6EC003"/>
    <w:rsid w:val="FF6F9BFB"/>
    <w:rsid w:val="FF6FEF08"/>
    <w:rsid w:val="FF745FCB"/>
    <w:rsid w:val="FF770191"/>
    <w:rsid w:val="FF7774E3"/>
    <w:rsid w:val="FF7AC9DF"/>
    <w:rsid w:val="FF7B5B0A"/>
    <w:rsid w:val="FF7BDC0E"/>
    <w:rsid w:val="FF7C4A96"/>
    <w:rsid w:val="FF7D37AA"/>
    <w:rsid w:val="FF7EC91F"/>
    <w:rsid w:val="FF7EF7C3"/>
    <w:rsid w:val="FF7F2788"/>
    <w:rsid w:val="FF7F2ABC"/>
    <w:rsid w:val="FF7FAD11"/>
    <w:rsid w:val="FF7FD54F"/>
    <w:rsid w:val="FF87104A"/>
    <w:rsid w:val="FF8D6D0C"/>
    <w:rsid w:val="FF915CCB"/>
    <w:rsid w:val="FF952D31"/>
    <w:rsid w:val="FF974DF3"/>
    <w:rsid w:val="FF97A9BC"/>
    <w:rsid w:val="FF9B0708"/>
    <w:rsid w:val="FF9EAFD4"/>
    <w:rsid w:val="FF9EEFA3"/>
    <w:rsid w:val="FF9F4C4F"/>
    <w:rsid w:val="FF9FBAC1"/>
    <w:rsid w:val="FFAEDA01"/>
    <w:rsid w:val="FFAFD857"/>
    <w:rsid w:val="FFB348E3"/>
    <w:rsid w:val="FFB3D076"/>
    <w:rsid w:val="FFB7E311"/>
    <w:rsid w:val="FFB91AFA"/>
    <w:rsid w:val="FFBAB542"/>
    <w:rsid w:val="FFBBDDCF"/>
    <w:rsid w:val="FFBD9D90"/>
    <w:rsid w:val="FFBDE475"/>
    <w:rsid w:val="FFBF0DE3"/>
    <w:rsid w:val="FFBF216A"/>
    <w:rsid w:val="FFBF2BA4"/>
    <w:rsid w:val="FFBF8968"/>
    <w:rsid w:val="FFBFA472"/>
    <w:rsid w:val="FFC4EE4C"/>
    <w:rsid w:val="FFCB41BB"/>
    <w:rsid w:val="FFCBC27C"/>
    <w:rsid w:val="FFCD7212"/>
    <w:rsid w:val="FFCE37CE"/>
    <w:rsid w:val="FFCF5243"/>
    <w:rsid w:val="FFCF7A10"/>
    <w:rsid w:val="FFCF7B45"/>
    <w:rsid w:val="FFD332B2"/>
    <w:rsid w:val="FFD336CE"/>
    <w:rsid w:val="FFD3443D"/>
    <w:rsid w:val="FFD39E2C"/>
    <w:rsid w:val="FFD5C7B4"/>
    <w:rsid w:val="FFD5D2DC"/>
    <w:rsid w:val="FFD5FD0F"/>
    <w:rsid w:val="FFD723D7"/>
    <w:rsid w:val="FFD7EDC4"/>
    <w:rsid w:val="FFD7EFA9"/>
    <w:rsid w:val="FFD98B23"/>
    <w:rsid w:val="FFDA4305"/>
    <w:rsid w:val="FFDA73C6"/>
    <w:rsid w:val="FFDD1A77"/>
    <w:rsid w:val="FFDD49CA"/>
    <w:rsid w:val="FFDD7420"/>
    <w:rsid w:val="FFDD93B4"/>
    <w:rsid w:val="FFDE4754"/>
    <w:rsid w:val="FFDF3E5B"/>
    <w:rsid w:val="FFDF7274"/>
    <w:rsid w:val="FFDF7AF4"/>
    <w:rsid w:val="FFDF8C77"/>
    <w:rsid w:val="FFDFAF90"/>
    <w:rsid w:val="FFDFC767"/>
    <w:rsid w:val="FFDFEF62"/>
    <w:rsid w:val="FFE3A1D9"/>
    <w:rsid w:val="FFE56806"/>
    <w:rsid w:val="FFE614E7"/>
    <w:rsid w:val="FFE63563"/>
    <w:rsid w:val="FFE6F664"/>
    <w:rsid w:val="FFE7A2FF"/>
    <w:rsid w:val="FFE7BCD2"/>
    <w:rsid w:val="FFE7CC9C"/>
    <w:rsid w:val="FFE95A6B"/>
    <w:rsid w:val="FFE9CE75"/>
    <w:rsid w:val="FFEA0F48"/>
    <w:rsid w:val="FFEA65BD"/>
    <w:rsid w:val="FFEBB433"/>
    <w:rsid w:val="FFEBB74B"/>
    <w:rsid w:val="FFEC2C44"/>
    <w:rsid w:val="FFEC3D13"/>
    <w:rsid w:val="FFEDE120"/>
    <w:rsid w:val="FFEE7C3A"/>
    <w:rsid w:val="FFEE8763"/>
    <w:rsid w:val="FFEF3FCD"/>
    <w:rsid w:val="FFEF6A2D"/>
    <w:rsid w:val="FFEFED86"/>
    <w:rsid w:val="FFF25DED"/>
    <w:rsid w:val="FFF30FEB"/>
    <w:rsid w:val="FFF34795"/>
    <w:rsid w:val="FFF4668B"/>
    <w:rsid w:val="FFF50749"/>
    <w:rsid w:val="FFF573E5"/>
    <w:rsid w:val="FFF6949C"/>
    <w:rsid w:val="FFF79AC6"/>
    <w:rsid w:val="FFF7C80F"/>
    <w:rsid w:val="FFF7CBDA"/>
    <w:rsid w:val="FFF7DEBC"/>
    <w:rsid w:val="FFF7ED49"/>
    <w:rsid w:val="FFF8D3FC"/>
    <w:rsid w:val="FFF9092C"/>
    <w:rsid w:val="FFF96A76"/>
    <w:rsid w:val="FFF97A75"/>
    <w:rsid w:val="FFF9ED21"/>
    <w:rsid w:val="FFFA1B84"/>
    <w:rsid w:val="FFFB3D02"/>
    <w:rsid w:val="FFFB3F1E"/>
    <w:rsid w:val="FFFB718B"/>
    <w:rsid w:val="FFFBD061"/>
    <w:rsid w:val="FFFBEC13"/>
    <w:rsid w:val="FFFCAC75"/>
    <w:rsid w:val="FFFD1CAC"/>
    <w:rsid w:val="FFFDC739"/>
    <w:rsid w:val="FFFDF909"/>
    <w:rsid w:val="FFFE412C"/>
    <w:rsid w:val="FFFEB08F"/>
    <w:rsid w:val="FFFED637"/>
    <w:rsid w:val="FFFF2EC9"/>
    <w:rsid w:val="FFFF3BBF"/>
    <w:rsid w:val="FFFF3D57"/>
    <w:rsid w:val="FFFF7A4E"/>
    <w:rsid w:val="FFFF7BD9"/>
    <w:rsid w:val="FFFF7E23"/>
    <w:rsid w:val="FFFF83D4"/>
    <w:rsid w:val="FFFF84DB"/>
    <w:rsid w:val="FFFF9079"/>
    <w:rsid w:val="FFFF9F40"/>
    <w:rsid w:val="FFFFB0E6"/>
    <w:rsid w:val="FFFFB76D"/>
    <w:rsid w:val="FFFFC1DE"/>
    <w:rsid w:val="FFFFC6AA"/>
    <w:rsid w:val="FFFF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4"/>
    <w:qFormat/>
    <w:uiPriority w:val="0"/>
    <w:pPr>
      <w:keepNext/>
      <w:keepLines/>
      <w:widowControl w:val="0"/>
      <w:adjustRightInd/>
      <w:snapToGrid/>
      <w:spacing w:before="340" w:after="330" w:line="578" w:lineRule="auto"/>
      <w:jc w:val="left"/>
      <w:outlineLvl w:val="0"/>
    </w:pPr>
    <w:rPr>
      <w:rFonts w:ascii="Calibri" w:hAnsi="Calibri" w:eastAsia="宋体" w:cs="宋体"/>
      <w:b/>
      <w:bCs/>
      <w:kern w:val="44"/>
      <w:sz w:val="32"/>
      <w:szCs w:val="32"/>
    </w:rPr>
  </w:style>
  <w:style w:type="paragraph" w:styleId="4">
    <w:name w:val="heading 2"/>
    <w:basedOn w:val="1"/>
    <w:next w:val="1"/>
    <w:link w:val="15"/>
    <w:semiHidden/>
    <w:unhideWhenUsed/>
    <w:qFormat/>
    <w:uiPriority w:val="0"/>
    <w:pPr>
      <w:keepNext/>
      <w:keepLines/>
      <w:spacing w:line="360" w:lineRule="auto"/>
      <w:jc w:val="left"/>
      <w:outlineLvl w:val="1"/>
    </w:pPr>
    <w:rPr>
      <w:rFonts w:ascii="Cambria" w:hAnsi="Cambria" w:eastAsia="宋体" w:cs="Times New Roman"/>
      <w:b/>
      <w:bCs/>
      <w:kern w:val="0"/>
      <w:sz w:val="32"/>
      <w:szCs w:val="32"/>
    </w:rPr>
  </w:style>
  <w:style w:type="paragraph" w:styleId="5">
    <w:name w:val="heading 3"/>
    <w:basedOn w:val="1"/>
    <w:next w:val="1"/>
    <w:link w:val="16"/>
    <w:semiHidden/>
    <w:unhideWhenUsed/>
    <w:qFormat/>
    <w:uiPriority w:val="0"/>
    <w:pPr>
      <w:keepNext/>
      <w:keepLines/>
      <w:spacing w:before="260" w:after="260" w:line="416" w:lineRule="auto"/>
      <w:outlineLvl w:val="2"/>
    </w:pPr>
    <w:rPr>
      <w:rFonts w:ascii="Times New Roman" w:hAnsi="Times New Roman" w:eastAsia="宋体" w:cs="Times New Roman"/>
      <w:bCs/>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link w:val="12"/>
    <w:qFormat/>
    <w:uiPriority w:val="0"/>
    <w:rPr>
      <w:rFonts w:ascii="Times New Roman" w:hAnsi="Times New Roman" w:cs="Times New Roman"/>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 w:val="2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pPr>
  </w:style>
  <w:style w:type="paragraph" w:customStyle="1" w:styleId="12">
    <w:name w:val="_Style 130"/>
    <w:basedOn w:val="1"/>
    <w:link w:val="11"/>
    <w:qFormat/>
    <w:uiPriority w:val="0"/>
    <w:pPr>
      <w:widowControl/>
      <w:jc w:val="left"/>
    </w:pPr>
    <w:rPr>
      <w:rFonts w:ascii="Times New Roman" w:hAnsi="Times New Roman" w:cs="Times New Roman"/>
      <w:szCs w:val="24"/>
    </w:rPr>
  </w:style>
  <w:style w:type="character" w:styleId="13">
    <w:name w:val="Strong"/>
    <w:basedOn w:val="11"/>
    <w:qFormat/>
    <w:uiPriority w:val="0"/>
    <w:rPr>
      <w:b/>
    </w:rPr>
  </w:style>
  <w:style w:type="character" w:customStyle="1" w:styleId="14">
    <w:name w:val="标题 1 Char"/>
    <w:link w:val="3"/>
    <w:qFormat/>
    <w:uiPriority w:val="0"/>
    <w:rPr>
      <w:rFonts w:ascii="Calibri" w:hAnsi="Calibri" w:eastAsia="宋体" w:cs="宋体"/>
      <w:b/>
      <w:bCs/>
      <w:kern w:val="44"/>
      <w:sz w:val="44"/>
      <w:szCs w:val="32"/>
    </w:rPr>
  </w:style>
  <w:style w:type="character" w:customStyle="1" w:styleId="15">
    <w:name w:val="标题 2 Char"/>
    <w:link w:val="4"/>
    <w:qFormat/>
    <w:uiPriority w:val="0"/>
    <w:rPr>
      <w:rFonts w:ascii="Cambria" w:hAnsi="Cambria" w:eastAsia="宋体" w:cs="Times New Roman"/>
      <w:b/>
      <w:bCs/>
      <w:kern w:val="0"/>
      <w:sz w:val="32"/>
      <w:szCs w:val="32"/>
    </w:rPr>
  </w:style>
  <w:style w:type="character" w:customStyle="1" w:styleId="16">
    <w:name w:val="标题 3 Char"/>
    <w:basedOn w:val="11"/>
    <w:link w:val="5"/>
    <w:semiHidden/>
    <w:qFormat/>
    <w:uiPriority w:val="0"/>
    <w:rPr>
      <w:rFonts w:ascii="Times New Roman" w:hAnsi="Times New Roman" w:eastAsia="宋体" w:cs="Times New Roman"/>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按产业分组的需求人数占比</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55"/>
          <c:y val="0.129833333333333"/>
          <c:w val="0.945"/>
          <c:h val="0.760833333333333"/>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3"/>
              </a:solidFill>
              <a:ln w="25400">
                <a:solidFill>
                  <a:schemeClr val="lt1"/>
                </a:solidFill>
              </a:ln>
              <a:effectLst/>
            </c:spPr>
          </c:dPt>
          <c:dPt>
            <c:idx val="2"/>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1"/>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第一产业</c:v>
                </c:pt>
                <c:pt idx="1">
                  <c:v>第二产业</c:v>
                </c:pt>
                <c:pt idx="2">
                  <c:v>第三产业</c:v>
                </c:pt>
              </c:strCache>
            </c:strRef>
          </c:cat>
          <c:val>
            <c:numRef>
              <c:f>Sheet1!$B$2:$B$4</c:f>
              <c:numCache>
                <c:formatCode>#,##0</c:formatCode>
                <c:ptCount val="3"/>
                <c:pt idx="0">
                  <c:v>367</c:v>
                </c:pt>
                <c:pt idx="1">
                  <c:v>1989</c:v>
                </c:pt>
                <c:pt idx="2">
                  <c:v>9892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按技术等级分组的供求人数</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Sheet1!$B$2:$B$11</c:f>
              <c:numCache>
                <c:formatCode>#,##0</c:formatCode>
                <c:ptCount val="10"/>
                <c:pt idx="0">
                  <c:v>1607</c:v>
                </c:pt>
                <c:pt idx="1">
                  <c:v>183</c:v>
                </c:pt>
                <c:pt idx="2">
                  <c:v>55</c:v>
                </c:pt>
                <c:pt idx="3">
                  <c:v>6</c:v>
                </c:pt>
                <c:pt idx="4">
                  <c:v>0</c:v>
                </c:pt>
                <c:pt idx="5">
                  <c:v>2004</c:v>
                </c:pt>
                <c:pt idx="6">
                  <c:v>279</c:v>
                </c:pt>
                <c:pt idx="7">
                  <c:v>0</c:v>
                </c:pt>
                <c:pt idx="9">
                  <c:v>8114</c:v>
                </c:pt>
              </c:numCache>
            </c:numRef>
          </c:val>
        </c:ser>
        <c:ser>
          <c:idx val="2"/>
          <c:order val="2"/>
          <c:tx>
            <c:strRef>
              <c:f>Sheet1!$D$1</c:f>
              <c:strCache>
                <c:ptCount val="1"/>
                <c:pt idx="0">
                  <c:v>求职 人数 (人)</c:v>
                </c:pt>
              </c:strCache>
            </c:strRef>
          </c:tx>
          <c:spPr>
            <a:solidFill>
              <a:schemeClr val="accent5"/>
            </a:solidFill>
            <a:ln>
              <a:noFill/>
            </a:ln>
            <a:effectLst/>
          </c:spPr>
          <c:invertIfNegative val="0"/>
          <c:dLbls>
            <c:dLbl>
              <c:idx val="0"/>
              <c:layout>
                <c:manualLayout>
                  <c:x val="0.00319420783645656"/>
                  <c:y val="-0.0234741784037559"/>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25027085590466"/>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Sheet1!$D$2:$D$11</c:f>
              <c:numCache>
                <c:formatCode>#,##0</c:formatCode>
                <c:ptCount val="10"/>
                <c:pt idx="0">
                  <c:v>1536</c:v>
                </c:pt>
                <c:pt idx="1">
                  <c:v>446</c:v>
                </c:pt>
                <c:pt idx="2">
                  <c:v>52</c:v>
                </c:pt>
                <c:pt idx="3">
                  <c:v>42</c:v>
                </c:pt>
                <c:pt idx="4">
                  <c:v>0</c:v>
                </c:pt>
                <c:pt idx="5">
                  <c:v>1385</c:v>
                </c:pt>
                <c:pt idx="6">
                  <c:v>132</c:v>
                </c:pt>
                <c:pt idx="7">
                  <c:v>0</c:v>
                </c:pt>
                <c:pt idx="8">
                  <c:v>5161</c:v>
                </c:pt>
              </c:numCache>
            </c:numRef>
          </c:val>
        </c:ser>
        <c:dLbls>
          <c:showLegendKey val="0"/>
          <c:showVal val="1"/>
          <c:showCatName val="0"/>
          <c:showSerName val="0"/>
          <c:showPercent val="0"/>
          <c:showBubbleSize val="0"/>
        </c:dLbls>
        <c:gapWidth val="219"/>
        <c:overlap val="0"/>
        <c:axId val="166477199"/>
        <c:axId val="979403947"/>
      </c:barChart>
      <c:lineChart>
        <c:grouping val="standard"/>
        <c:varyColors val="0"/>
        <c:ser>
          <c:idx val="1"/>
          <c:order val="1"/>
          <c:tx>
            <c:strRef>
              <c:f>Sheet1!$C$1</c:f>
              <c:strCache>
                <c:ptCount val="1"/>
                <c:pt idx="0">
                  <c:v>需求比重(%)</c:v>
                </c:pt>
              </c:strCache>
            </c:strRef>
          </c:tx>
          <c:spPr>
            <a:ln w="28575" cap="rnd">
              <a:solidFill>
                <a:schemeClr val="accent3"/>
              </a:solidFill>
              <a:round/>
            </a:ln>
            <a:effectLst/>
          </c:spPr>
          <c:marker>
            <c:symbol val="none"/>
          </c:marker>
          <c:dLbls>
            <c:dLbl>
              <c:idx val="0"/>
              <c:layout>
                <c:manualLayout>
                  <c:x val="-0.0615006150061501"/>
                  <c:y val="0.05386770092652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8224156921027"/>
                  <c:y val="-0.04897105104230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2368744740079"/>
                  <c:y val="0.030489118724412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33741179517058"/>
                      <c:h val="0.0328592975651799"/>
                    </c:manualLayout>
                  </c15:layout>
                </c:ext>
              </c:extLst>
            </c:dLbl>
            <c:dLbl>
              <c:idx val="3"/>
              <c:layout>
                <c:manualLayout>
                  <c:x val="-0.0409066904485955"/>
                  <c:y val="-0.06452136650976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5050818929242"/>
                  <c:y val="-0.096854126265891"/>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23726289894478"/>
                      <c:h val="0.0613014436543848"/>
                    </c:manualLayout>
                  </c15:layout>
                </c:ext>
              </c:extLst>
            </c:dLbl>
            <c:dLbl>
              <c:idx val="5"/>
              <c:layout>
                <c:manualLayout>
                  <c:x val="0.00848208618820696"/>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33842090595209"/>
                  <c:y val="-0.04161621311579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2368744740079"/>
                  <c:y val="-0.05214393449687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94212468440474"/>
                  <c:y val="0.03943115707821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433741179517058"/>
                  <c:y val="-0.04664942900237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Sheet1!$C$2:$C$11</c:f>
              <c:numCache>
                <c:formatCode>#,##0.00</c:formatCode>
                <c:ptCount val="10"/>
                <c:pt idx="0">
                  <c:v>13.12</c:v>
                </c:pt>
                <c:pt idx="1">
                  <c:v>1.49</c:v>
                </c:pt>
                <c:pt idx="2">
                  <c:v>0.45</c:v>
                </c:pt>
                <c:pt idx="3">
                  <c:v>0.05</c:v>
                </c:pt>
                <c:pt idx="4">
                  <c:v>0</c:v>
                </c:pt>
                <c:pt idx="5">
                  <c:v>16.36</c:v>
                </c:pt>
                <c:pt idx="6">
                  <c:v>2.28</c:v>
                </c:pt>
                <c:pt idx="7">
                  <c:v>0</c:v>
                </c:pt>
                <c:pt idx="9">
                  <c:v>66.25</c:v>
                </c:pt>
              </c:numCache>
            </c:numRef>
          </c:val>
          <c:smooth val="0"/>
        </c:ser>
        <c:ser>
          <c:idx val="3"/>
          <c:order val="3"/>
          <c:tx>
            <c:strRef>
              <c:f>Sheet1!$E$1</c:f>
              <c:strCache>
                <c:ptCount val="1"/>
                <c:pt idx="0">
                  <c:v>求职 比重(%)</c:v>
                </c:pt>
              </c:strCache>
            </c:strRef>
          </c:tx>
          <c:spPr>
            <a:ln w="28575" cap="rnd">
              <a:solidFill>
                <a:schemeClr val="accent1">
                  <a:lumMod val="60000"/>
                </a:schemeClr>
              </a:solidFill>
              <a:round/>
            </a:ln>
            <a:effectLst/>
          </c:spPr>
          <c:marker>
            <c:symbol val="none"/>
          </c:marker>
          <c:dLbls>
            <c:dLbl>
              <c:idx val="0"/>
              <c:layout>
                <c:manualLayout>
                  <c:x val="0.0032368744740079"/>
                  <c:y val="-0.03770739064856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29474515761925"/>
                  <c:y val="0.021971952377917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4508966142293"/>
                      <c:h val="0.044063779357897"/>
                    </c:manualLayout>
                  </c15:layout>
                </c:ext>
              </c:extLst>
            </c:dLbl>
            <c:dLbl>
              <c:idx val="2"/>
              <c:layout>
                <c:manualLayout>
                  <c:x val="0.00433741179517058"/>
                  <c:y val="-0.05742296918767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737489480158"/>
                  <c:y val="-0.08791208791208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03315800171362"/>
                  <c:y val="0.02405281361370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0798627918136"/>
                  <c:y val="-0.04370567295173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3108231046449"/>
                  <c:y val="-0.07195510923762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10053732116269"/>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750954877969832"/>
                  <c:y val="-0.0448179271708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Sheet1!$E$2:$E$11</c:f>
              <c:numCache>
                <c:formatCode>#,##0.00</c:formatCode>
                <c:ptCount val="10"/>
                <c:pt idx="0">
                  <c:v>17.55</c:v>
                </c:pt>
                <c:pt idx="1">
                  <c:v>5.09</c:v>
                </c:pt>
                <c:pt idx="2">
                  <c:v>0.59</c:v>
                </c:pt>
                <c:pt idx="3">
                  <c:v>0.48</c:v>
                </c:pt>
                <c:pt idx="4">
                  <c:v>0</c:v>
                </c:pt>
                <c:pt idx="5">
                  <c:v>15.82</c:v>
                </c:pt>
                <c:pt idx="6">
                  <c:v>1.51</c:v>
                </c:pt>
                <c:pt idx="7">
                  <c:v>0</c:v>
                </c:pt>
                <c:pt idx="8">
                  <c:v>58.96</c:v>
                </c:pt>
              </c:numCache>
            </c:numRef>
          </c:val>
          <c:smooth val="0"/>
        </c:ser>
        <c:dLbls>
          <c:showLegendKey val="0"/>
          <c:showVal val="1"/>
          <c:showCatName val="0"/>
          <c:showSerName val="0"/>
          <c:showPercent val="0"/>
          <c:showBubbleSize val="0"/>
        </c:dLbls>
        <c:marker val="0"/>
        <c:smooth val="0"/>
        <c:axId val="591472195"/>
        <c:axId val="715343587"/>
      </c:lineChart>
      <c:catAx>
        <c:axId val="1664771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403947"/>
        <c:crosses val="autoZero"/>
        <c:auto val="1"/>
        <c:lblAlgn val="ctr"/>
        <c:lblOffset val="100"/>
        <c:noMultiLvlLbl val="0"/>
      </c:catAx>
      <c:valAx>
        <c:axId val="9794039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477199"/>
        <c:crosses val="autoZero"/>
        <c:crossBetween val="between"/>
      </c:valAx>
      <c:catAx>
        <c:axId val="59147219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343587"/>
        <c:crosses val="autoZero"/>
        <c:auto val="1"/>
        <c:lblAlgn val="ctr"/>
        <c:lblOffset val="100"/>
        <c:noMultiLvlLbl val="0"/>
      </c:catAx>
      <c:valAx>
        <c:axId val="715343587"/>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472195"/>
        <c:crosses val="max"/>
        <c:crossBetween val="between"/>
      </c:valAx>
      <c:spPr>
        <a:noFill/>
        <a:ln>
          <a:noFill/>
        </a:ln>
        <a:effectLst/>
      </c:spPr>
    </c:plotArea>
    <c:legend>
      <c:legendPos val="b"/>
      <c:layout>
        <c:manualLayout>
          <c:xMode val="edge"/>
          <c:yMode val="edge"/>
          <c:x val="0.298245614035088"/>
          <c:y val="0.924262012497307"/>
          <c:w val="0.519842040525668"/>
          <c:h val="0.0628097392803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按行业分组的需求人数</a:t>
            </a:r>
            <a:r>
              <a:rPr altLang="en-US"/>
              <a:t>及占比</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Sheet1!$B$2:$B$21</c:f>
              <c:numCache>
                <c:formatCode>#,##0</c:formatCode>
                <c:ptCount val="20"/>
                <c:pt idx="0">
                  <c:v>367</c:v>
                </c:pt>
                <c:pt idx="1">
                  <c:v>392</c:v>
                </c:pt>
                <c:pt idx="2">
                  <c:v>1745</c:v>
                </c:pt>
                <c:pt idx="3">
                  <c:v>307</c:v>
                </c:pt>
                <c:pt idx="4">
                  <c:v>53</c:v>
                </c:pt>
                <c:pt idx="5">
                  <c:v>1957</c:v>
                </c:pt>
                <c:pt idx="6">
                  <c:v>515</c:v>
                </c:pt>
                <c:pt idx="7">
                  <c:v>2226</c:v>
                </c:pt>
                <c:pt idx="8">
                  <c:v>286</c:v>
                </c:pt>
                <c:pt idx="9">
                  <c:v>47</c:v>
                </c:pt>
                <c:pt idx="10">
                  <c:v>64</c:v>
                </c:pt>
                <c:pt idx="11">
                  <c:v>253</c:v>
                </c:pt>
                <c:pt idx="12">
                  <c:v>0</c:v>
                </c:pt>
                <c:pt idx="13">
                  <c:v>52</c:v>
                </c:pt>
                <c:pt idx="14">
                  <c:v>3709</c:v>
                </c:pt>
                <c:pt idx="15">
                  <c:v>75</c:v>
                </c:pt>
                <c:pt idx="16">
                  <c:v>36</c:v>
                </c:pt>
                <c:pt idx="17">
                  <c:v>79</c:v>
                </c:pt>
                <c:pt idx="18">
                  <c:v>85</c:v>
                </c:pt>
                <c:pt idx="19">
                  <c:v>0</c:v>
                </c:pt>
              </c:numCache>
            </c:numRef>
          </c:val>
        </c:ser>
        <c:dLbls>
          <c:showLegendKey val="0"/>
          <c:showVal val="1"/>
          <c:showCatName val="0"/>
          <c:showSerName val="0"/>
          <c:showPercent val="0"/>
          <c:showBubbleSize val="0"/>
        </c:dLbls>
        <c:gapWidth val="219"/>
        <c:overlap val="-27"/>
        <c:axId val="225581312"/>
        <c:axId val="432458621"/>
      </c:barChart>
      <c:lineChart>
        <c:grouping val="standard"/>
        <c:varyColors val="0"/>
        <c:ser>
          <c:idx val="1"/>
          <c:order val="1"/>
          <c:tx>
            <c:strRef>
              <c:f>Sheet1!$C$1</c:f>
              <c:strCache>
                <c:ptCount val="1"/>
                <c:pt idx="0">
                  <c:v>所占比重 (%)</c:v>
                </c:pt>
              </c:strCache>
            </c:strRef>
          </c:tx>
          <c:spPr>
            <a:ln w="28575" cap="rnd">
              <a:solidFill>
                <a:schemeClr val="accent3"/>
              </a:solidFill>
              <a:round/>
            </a:ln>
            <a:effectLst/>
          </c:spPr>
          <c:marker>
            <c:symbol val="none"/>
          </c:marker>
          <c:dLbls>
            <c:dLbl>
              <c:idx val="0"/>
              <c:layout>
                <c:manualLayout>
                  <c:x val="-0.0290972964716664"/>
                  <c:y val="-0.07372818874416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7180387963953"/>
                  <c:y val="-0.06205455885967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13120513212158"/>
                  <c:y val="0.02002949127549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352833358791"/>
                  <c:y val="-0.06869009584664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6201313578738"/>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06201313578738"/>
                  <c:y val="-0.005038092897517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26241026424317"/>
                  <c:y val="0.04694028016711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68290820223003"/>
                  <c:y val="-0.007127058245269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39804490606385"/>
                  <c:y val="-0.08552469894322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7728730716359"/>
                  <c:y val="-0.0720078643401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04628073926989"/>
                  <c:y val="-0.05369869746866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832442340003055"/>
                  <c:y val="-0.0434996313590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45868336642737"/>
                  <c:y val="-0.06549520766773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091645028257217"/>
                  <c:y val="0.003440648808060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104628073926989"/>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475026729799908"/>
                  <c:y val="0.02469894322929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187108599358485"/>
                  <c:y val="-0.0820840501351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0725523140369635"/>
                  <c:y val="-0.06033423445564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0526958912478998"/>
                  <c:y val="-0.05529614155812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000992821139453185"/>
                  <c:y val="-0.03194888178913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Sheet1!$C$2:$C$21</c:f>
              <c:numCache>
                <c:formatCode>#,##0.00</c:formatCode>
                <c:ptCount val="20"/>
                <c:pt idx="0">
                  <c:v>3</c:v>
                </c:pt>
                <c:pt idx="1">
                  <c:v>3.2</c:v>
                </c:pt>
                <c:pt idx="2">
                  <c:v>14.25</c:v>
                </c:pt>
                <c:pt idx="3">
                  <c:v>2.51</c:v>
                </c:pt>
                <c:pt idx="4">
                  <c:v>0.43</c:v>
                </c:pt>
                <c:pt idx="5">
                  <c:v>15.98</c:v>
                </c:pt>
                <c:pt idx="6">
                  <c:v>4.2</c:v>
                </c:pt>
                <c:pt idx="7">
                  <c:v>18.17</c:v>
                </c:pt>
                <c:pt idx="8">
                  <c:v>2.34</c:v>
                </c:pt>
                <c:pt idx="9">
                  <c:v>0.38</c:v>
                </c:pt>
                <c:pt idx="10">
                  <c:v>0.52</c:v>
                </c:pt>
                <c:pt idx="11">
                  <c:v>2.07</c:v>
                </c:pt>
                <c:pt idx="12">
                  <c:v>0</c:v>
                </c:pt>
                <c:pt idx="13">
                  <c:v>0.42</c:v>
                </c:pt>
                <c:pt idx="14">
                  <c:v>30.28</c:v>
                </c:pt>
                <c:pt idx="15">
                  <c:v>0.61</c:v>
                </c:pt>
                <c:pt idx="16">
                  <c:v>0.29</c:v>
                </c:pt>
                <c:pt idx="17">
                  <c:v>0.65</c:v>
                </c:pt>
                <c:pt idx="18">
                  <c:v>0.69</c:v>
                </c:pt>
                <c:pt idx="19">
                  <c:v>0</c:v>
                </c:pt>
              </c:numCache>
            </c:numRef>
          </c:val>
          <c:smooth val="0"/>
        </c:ser>
        <c:dLbls>
          <c:showLegendKey val="0"/>
          <c:showVal val="1"/>
          <c:showCatName val="0"/>
          <c:showSerName val="0"/>
          <c:showPercent val="0"/>
          <c:showBubbleSize val="0"/>
        </c:dLbls>
        <c:marker val="0"/>
        <c:smooth val="0"/>
        <c:axId val="323760610"/>
        <c:axId val="382839618"/>
      </c:lineChart>
      <c:catAx>
        <c:axId val="22558131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458621"/>
        <c:crosses val="autoZero"/>
        <c:auto val="1"/>
        <c:lblAlgn val="ctr"/>
        <c:lblOffset val="100"/>
        <c:noMultiLvlLbl val="0"/>
      </c:catAx>
      <c:valAx>
        <c:axId val="43245862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581312"/>
        <c:crosses val="autoZero"/>
        <c:crossBetween val="between"/>
      </c:valAx>
      <c:catAx>
        <c:axId val="32376061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839618"/>
        <c:crosses val="autoZero"/>
        <c:auto val="1"/>
        <c:lblAlgn val="ctr"/>
        <c:lblOffset val="100"/>
        <c:noMultiLvlLbl val="0"/>
      </c:catAx>
      <c:valAx>
        <c:axId val="38283961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76061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其中企业分组的需求人数</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74300508550517"/>
          <c:y val="0.147431059506531"/>
          <c:w val="0.825686632066208"/>
          <c:h val="0.636761812610869"/>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Lbls>
            <c:dLbl>
              <c:idx val="0"/>
              <c:layout>
                <c:manualLayout>
                  <c:x val="-0.0985153497735279"/>
                  <c:y val="0.0026520802254268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17815802717665"/>
                  <c:y val="-0.055030664677606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587569199798691"/>
                  <c:y val="-0.030333167578319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17916456970307"/>
                      <c:h val="0.0474059340295044"/>
                    </c:manualLayout>
                  </c15:layout>
                </c:ext>
              </c:extLst>
            </c:dLbl>
            <c:dLbl>
              <c:idx val="3"/>
              <c:layout>
                <c:manualLayout>
                  <c:x val="0.0398842476094615"/>
                  <c:y val="0.0056356704790319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14720684448918"/>
                  <c:y val="0"/>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07221942627076"/>
                      <c:h val="0.1228244654400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国有企业</c:v>
                </c:pt>
                <c:pt idx="1">
                  <c:v>集体企业</c:v>
                </c:pt>
                <c:pt idx="2">
                  <c:v>股份合作企业</c:v>
                </c:pt>
                <c:pt idx="3">
                  <c:v>联营企业</c:v>
                </c:pt>
                <c:pt idx="4">
                  <c:v>有限责任公司</c:v>
                </c:pt>
                <c:pt idx="5">
                  <c:v>股份有限公司</c:v>
                </c:pt>
                <c:pt idx="6">
                  <c:v>私营企业</c:v>
                </c:pt>
                <c:pt idx="7">
                  <c:v>其它企业</c:v>
                </c:pt>
                <c:pt idx="8">
                  <c:v>个体经营</c:v>
                </c:pt>
              </c:strCache>
            </c:strRef>
          </c:cat>
          <c:val>
            <c:numRef>
              <c:f>Sheet1!$B$2:$B$10</c:f>
              <c:numCache>
                <c:formatCode>#,##0</c:formatCode>
                <c:ptCount val="9"/>
                <c:pt idx="0">
                  <c:v>268</c:v>
                </c:pt>
                <c:pt idx="1">
                  <c:v>25</c:v>
                </c:pt>
                <c:pt idx="2">
                  <c:v>107</c:v>
                </c:pt>
                <c:pt idx="3">
                  <c:v>1114</c:v>
                </c:pt>
                <c:pt idx="4">
                  <c:v>1306</c:v>
                </c:pt>
                <c:pt idx="5">
                  <c:v>1315</c:v>
                </c:pt>
                <c:pt idx="6">
                  <c:v>5138</c:v>
                </c:pt>
                <c:pt idx="7">
                  <c:v>165</c:v>
                </c:pt>
                <c:pt idx="8">
                  <c:v>2424</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269491100526448"/>
          <c:y val="0.796928051738076"/>
          <c:w val="0.969290549009777"/>
          <c:h val="0.198221503637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32142185442919"/>
          <c:y val="0.20719504782091"/>
          <c:w val="0.807176979499718"/>
          <c:h val="0.60049579459938"/>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3"/>
              </a:solidFill>
              <a:ln w="25400">
                <a:solidFill>
                  <a:schemeClr val="lt1"/>
                </a:solidFill>
              </a:ln>
              <a:effectLst/>
            </c:spPr>
          </c:dPt>
          <c:dPt>
            <c:idx val="2"/>
            <c:bubble3D val="0"/>
            <c:spPr>
              <a:solidFill>
                <a:schemeClr val="accent5"/>
              </a:solidFill>
              <a:ln w="25400">
                <a:solidFill>
                  <a:schemeClr val="lt1"/>
                </a:solidFill>
              </a:ln>
              <a:effectLst/>
            </c:spPr>
          </c:dPt>
          <c:dPt>
            <c:idx val="3"/>
            <c:bubble3D val="0"/>
            <c:spPr>
              <a:solidFill>
                <a:schemeClr val="accent1">
                  <a:lumMod val="60000"/>
                </a:schemeClr>
              </a:solidFill>
              <a:ln w="25400">
                <a:solidFill>
                  <a:schemeClr val="lt1"/>
                </a:solidFill>
              </a:ln>
              <a:effectLst/>
            </c:spPr>
          </c:dPt>
          <c:dLbls>
            <c:dLbl>
              <c:idx val="0"/>
              <c:layout>
                <c:manualLayout>
                  <c:x val="-0.0517828649873942"/>
                  <c:y val="-0.27501433372472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04230377166157"/>
                  <c:y val="-0.01058880154018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0891946992864418"/>
                  <c:y val="-0.021338039467351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839421326563756"/>
                  <c:y val="-0.011657423867581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企业</c:v>
                </c:pt>
                <c:pt idx="1">
                  <c:v>事业</c:v>
                </c:pt>
                <c:pt idx="2">
                  <c:v>机关</c:v>
                </c:pt>
                <c:pt idx="3">
                  <c:v>其他</c:v>
                </c:pt>
              </c:strCache>
            </c:strRef>
          </c:cat>
          <c:val>
            <c:numRef>
              <c:f>Sheet1!$B$2:$B$5</c:f>
              <c:numCache>
                <c:formatCode>#,##0</c:formatCode>
                <c:ptCount val="4"/>
                <c:pt idx="0">
                  <c:v>11862</c:v>
                </c:pt>
                <c:pt idx="1">
                  <c:v>71</c:v>
                </c:pt>
                <c:pt idx="2">
                  <c:v>0</c:v>
                </c:pt>
                <c:pt idx="3">
                  <c:v>315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按职业分组的供求人数</a:t>
            </a:r>
          </a:p>
        </c:rich>
      </c:tx>
      <c:layout/>
      <c:overlay val="0"/>
      <c:spPr>
        <a:noFill/>
        <a:ln>
          <a:noFill/>
        </a:ln>
        <a:effectLst/>
      </c:spPr>
    </c:title>
    <c:autoTitleDeleted val="0"/>
    <c:plotArea>
      <c:layout>
        <c:manualLayout>
          <c:layoutTarget val="inner"/>
          <c:xMode val="edge"/>
          <c:yMode val="edge"/>
          <c:x val="0.0546899490445502"/>
          <c:y val="0.133385114449173"/>
          <c:w val="0.897166874221669"/>
          <c:h val="0.56629798308393"/>
        </c:manualLayout>
      </c:layout>
      <c:barChart>
        <c:barDir val="col"/>
        <c:grouping val="clustered"/>
        <c:varyColors val="0"/>
        <c:ser>
          <c:idx val="0"/>
          <c:order val="0"/>
          <c:tx>
            <c:strRef>
              <c:f>Sheet1!$B$1</c:f>
              <c:strCache>
                <c:ptCount val="1"/>
                <c:pt idx="0">
                  <c:v>需求 人数(人)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Sheet1!$B$2:$B$9</c:f>
              <c:numCache>
                <c:formatCode>#,##0</c:formatCode>
                <c:ptCount val="8"/>
                <c:pt idx="0">
                  <c:v>323</c:v>
                </c:pt>
                <c:pt idx="1">
                  <c:v>1015</c:v>
                </c:pt>
                <c:pt idx="2">
                  <c:v>2678</c:v>
                </c:pt>
                <c:pt idx="3">
                  <c:v>2822</c:v>
                </c:pt>
                <c:pt idx="4">
                  <c:v>329</c:v>
                </c:pt>
                <c:pt idx="5">
                  <c:v>2394</c:v>
                </c:pt>
                <c:pt idx="6">
                  <c:v>2687</c:v>
                </c:pt>
              </c:numCache>
            </c:numRef>
          </c:val>
        </c:ser>
        <c:ser>
          <c:idx val="1"/>
          <c:order val="1"/>
          <c:tx>
            <c:strRef>
              <c:f>Sheet1!$C$1</c:f>
              <c:strCache>
                <c:ptCount val="1"/>
                <c:pt idx="0">
                  <c:v>求职 人数(人)</c:v>
                </c:pt>
              </c:strCache>
            </c:strRef>
          </c:tx>
          <c:spPr>
            <a:solidFill>
              <a:schemeClr val="accent3"/>
            </a:solidFill>
            <a:ln>
              <a:noFill/>
            </a:ln>
            <a:effectLst/>
          </c:spPr>
          <c:invertIfNegative val="0"/>
          <c:dLbls>
            <c:dLbl>
              <c:idx val="0"/>
              <c:layout>
                <c:manualLayout>
                  <c:x val="0.00253542132736764"/>
                  <c:y val="-0.024014617593317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72856077554064"/>
                  <c:y val="0.032628556512659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Sheet1!$C$2:$C$9</c:f>
              <c:numCache>
                <c:formatCode>#,##0</c:formatCode>
                <c:ptCount val="8"/>
                <c:pt idx="0">
                  <c:v>222</c:v>
                </c:pt>
                <c:pt idx="1">
                  <c:v>816</c:v>
                </c:pt>
                <c:pt idx="2">
                  <c:v>2079</c:v>
                </c:pt>
                <c:pt idx="3">
                  <c:v>1693</c:v>
                </c:pt>
                <c:pt idx="4">
                  <c:v>229</c:v>
                </c:pt>
                <c:pt idx="5">
                  <c:v>993</c:v>
                </c:pt>
                <c:pt idx="6">
                  <c:v>2022</c:v>
                </c:pt>
                <c:pt idx="7">
                  <c:v>700</c:v>
                </c:pt>
              </c:numCache>
            </c:numRef>
          </c:val>
        </c:ser>
        <c:dLbls>
          <c:showLegendKey val="0"/>
          <c:showVal val="1"/>
          <c:showCatName val="0"/>
          <c:showSerName val="0"/>
          <c:showPercent val="0"/>
          <c:showBubbleSize val="0"/>
        </c:dLbls>
        <c:gapWidth val="219"/>
        <c:overlap val="-27"/>
        <c:axId val="947187043"/>
        <c:axId val="458235469"/>
      </c:barChart>
      <c:lineChart>
        <c:grouping val="standard"/>
        <c:varyColors val="0"/>
        <c:ser>
          <c:idx val="2"/>
          <c:order val="2"/>
          <c:tx>
            <c:strRef>
              <c:f>Sheet1!$D$1</c:f>
              <c:strCache>
                <c:ptCount val="1"/>
                <c:pt idx="0">
                  <c:v>需求 比重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0.000886559175226191"/>
                  <c:y val="-0.08204703219342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241610738255"/>
                  <c:y val="-0.0430696945967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45625382639978"/>
                  <c:y val="0.03838106430886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936570086139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2653809500211"/>
                  <c:y val="-0.0947380748007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58703607387053"/>
                  <c:y val="-0.0454660227144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6636838180462"/>
                  <c:y val="0.0131819368311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Sheet1!$D$2:$D$9</c:f>
              <c:numCache>
                <c:formatCode>#,##0.00</c:formatCode>
                <c:ptCount val="8"/>
                <c:pt idx="0">
                  <c:v>2.64</c:v>
                </c:pt>
                <c:pt idx="1">
                  <c:v>8.29</c:v>
                </c:pt>
                <c:pt idx="2">
                  <c:v>21.86</c:v>
                </c:pt>
                <c:pt idx="3">
                  <c:v>23.04</c:v>
                </c:pt>
                <c:pt idx="4">
                  <c:v>2.69</c:v>
                </c:pt>
                <c:pt idx="5">
                  <c:v>19.55</c:v>
                </c:pt>
                <c:pt idx="6">
                  <c:v>21.94</c:v>
                </c:pt>
              </c:numCache>
            </c:numRef>
          </c:val>
          <c:smooth val="0"/>
        </c:ser>
        <c:ser>
          <c:idx val="3"/>
          <c:order val="3"/>
          <c:tx>
            <c:strRef>
              <c:f>Sheet1!$E$1</c:f>
              <c:strCache>
                <c:ptCount val="1"/>
                <c:pt idx="0">
                  <c:v>求职 比重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0.0494099786074115"/>
                  <c:y val="-0.05236150382238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9284116331096"/>
                  <c:y val="-0.01957713390759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5534435192386"/>
                  <c:y val="-0.08027010335266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64992064039749"/>
                  <c:y val="-0.0575976542046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41025464081154"/>
                  <c:y val="-0.0396701331868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6109541827268"/>
                  <c:y val="-0.0318394436379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Sheet1!$E$2:$E$9</c:f>
              <c:numCache>
                <c:formatCode>#,##0.00</c:formatCode>
                <c:ptCount val="8"/>
                <c:pt idx="0">
                  <c:v>2.54</c:v>
                </c:pt>
                <c:pt idx="1">
                  <c:v>9.32</c:v>
                </c:pt>
                <c:pt idx="2">
                  <c:v>23.75</c:v>
                </c:pt>
                <c:pt idx="3">
                  <c:v>19.34</c:v>
                </c:pt>
                <c:pt idx="4">
                  <c:v>2.62</c:v>
                </c:pt>
                <c:pt idx="5">
                  <c:v>11.34</c:v>
                </c:pt>
                <c:pt idx="6">
                  <c:v>23.1</c:v>
                </c:pt>
                <c:pt idx="7">
                  <c:v>8</c:v>
                </c:pt>
              </c:numCache>
            </c:numRef>
          </c:val>
          <c:smooth val="0"/>
        </c:ser>
        <c:dLbls>
          <c:showLegendKey val="0"/>
          <c:showVal val="1"/>
          <c:showCatName val="0"/>
          <c:showSerName val="0"/>
          <c:showPercent val="0"/>
          <c:showBubbleSize val="0"/>
        </c:dLbls>
        <c:marker val="1"/>
        <c:smooth val="0"/>
        <c:axId val="488026430"/>
        <c:axId val="464101521"/>
      </c:lineChart>
      <c:catAx>
        <c:axId val="947187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235469"/>
        <c:crosses val="autoZero"/>
        <c:auto val="1"/>
        <c:lblAlgn val="ctr"/>
        <c:lblOffset val="100"/>
        <c:noMultiLvlLbl val="0"/>
      </c:catAx>
      <c:valAx>
        <c:axId val="45823546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87043"/>
        <c:crosses val="autoZero"/>
        <c:crossBetween val="between"/>
      </c:valAx>
      <c:catAx>
        <c:axId val="4880264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101521"/>
        <c:crosses val="autoZero"/>
        <c:auto val="1"/>
        <c:lblAlgn val="ctr"/>
        <c:lblOffset val="100"/>
        <c:noMultiLvlLbl val="0"/>
      </c:catAx>
      <c:valAx>
        <c:axId val="464101521"/>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026430"/>
        <c:crosses val="max"/>
        <c:crossBetween val="between"/>
      </c:valAx>
      <c:spPr>
        <a:noFill/>
        <a:ln>
          <a:noFill/>
        </a:ln>
        <a:effectLst/>
      </c:spPr>
    </c:plotArea>
    <c:legend>
      <c:legendPos val="b"/>
      <c:layout>
        <c:manualLayout>
          <c:xMode val="edge"/>
          <c:yMode val="edge"/>
          <c:x val="0.281071009592161"/>
          <c:y val="0.890675756292153"/>
          <c:w val="0.533158512179974"/>
          <c:h val="0.084092575138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按求职人员类别分组的求职人数及占比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求职人数(人)</c:v>
                </c:pt>
              </c:strCache>
            </c:strRef>
          </c:tx>
          <c:spPr>
            <a:solidFill>
              <a:schemeClr val="accent1"/>
            </a:solidFill>
            <a:ln>
              <a:noFill/>
            </a:ln>
            <a:effectLst/>
          </c:spPr>
          <c:invertIfNegative val="0"/>
          <c:dLbls>
            <c:dLbl>
              <c:idx val="3"/>
              <c:layout>
                <c:manualLayout>
                  <c:x val="0"/>
                  <c:y val="0.0069500752924823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Sheet1!$B$2:$B$9</c:f>
              <c:numCache>
                <c:formatCode>#,##0</c:formatCode>
                <c:ptCount val="8"/>
                <c:pt idx="0">
                  <c:v>2185</c:v>
                </c:pt>
                <c:pt idx="1">
                  <c:v>844</c:v>
                </c:pt>
                <c:pt idx="2">
                  <c:v>2554</c:v>
                </c:pt>
                <c:pt idx="3">
                  <c:v>1288</c:v>
                </c:pt>
                <c:pt idx="4">
                  <c:v>145</c:v>
                </c:pt>
                <c:pt idx="5">
                  <c:v>0</c:v>
                </c:pt>
                <c:pt idx="6">
                  <c:v>818</c:v>
                </c:pt>
                <c:pt idx="7">
                  <c:v>1764</c:v>
                </c:pt>
              </c:numCache>
            </c:numRef>
          </c:val>
        </c:ser>
        <c:dLbls>
          <c:showLegendKey val="0"/>
          <c:showVal val="1"/>
          <c:showCatName val="0"/>
          <c:showSerName val="0"/>
          <c:showPercent val="0"/>
          <c:showBubbleSize val="0"/>
        </c:dLbls>
        <c:gapWidth val="219"/>
        <c:overlap val="-27"/>
        <c:axId val="685628675"/>
        <c:axId val="839787285"/>
      </c:barChart>
      <c:lineChart>
        <c:grouping val="standard"/>
        <c:varyColors val="0"/>
        <c:ser>
          <c:idx val="1"/>
          <c:order val="1"/>
          <c:tx>
            <c:strRef>
              <c:f>Sheet1!$C$1</c:f>
              <c:strCache>
                <c:ptCount val="1"/>
                <c:pt idx="0">
                  <c:v>所占比重(%)</c:v>
                </c:pt>
              </c:strCache>
            </c:strRef>
          </c:tx>
          <c:spPr>
            <a:ln w="28575" cap="rnd">
              <a:solidFill>
                <a:schemeClr val="accent3"/>
              </a:solidFill>
              <a:round/>
            </a:ln>
            <a:effectLst/>
          </c:spPr>
          <c:marker>
            <c:symbol val="none"/>
          </c:marker>
          <c:dLbls>
            <c:dLbl>
              <c:idx val="0"/>
              <c:layout>
                <c:manualLayout>
                  <c:x val="-0.0281535934933917"/>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7306639555799"/>
                  <c:y val="0.03822541410865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03839837334793"/>
                  <c:y val="-0.02258774470056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3839837334793"/>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17306639555799"/>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34613279111598"/>
                  <c:y val="-0.0625506776323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0767967466959"/>
                  <c:y val="-0.050388045870496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17306639555799"/>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Sheet1!$C$2:$C$9</c:f>
              <c:numCache>
                <c:formatCode>#,##0.00</c:formatCode>
                <c:ptCount val="8"/>
                <c:pt idx="0">
                  <c:v>24.96</c:v>
                </c:pt>
                <c:pt idx="1">
                  <c:v>38.63</c:v>
                </c:pt>
                <c:pt idx="2">
                  <c:v>29.18</c:v>
                </c:pt>
                <c:pt idx="3">
                  <c:v>14.71</c:v>
                </c:pt>
                <c:pt idx="4">
                  <c:v>1.66</c:v>
                </c:pt>
                <c:pt idx="5">
                  <c:v>0</c:v>
                </c:pt>
                <c:pt idx="6">
                  <c:v>9.34</c:v>
                </c:pt>
                <c:pt idx="7">
                  <c:v>20.15</c:v>
                </c:pt>
              </c:numCache>
            </c:numRef>
          </c:val>
          <c:smooth val="0"/>
        </c:ser>
        <c:dLbls>
          <c:showLegendKey val="0"/>
          <c:showVal val="1"/>
          <c:showCatName val="0"/>
          <c:showSerName val="0"/>
          <c:showPercent val="0"/>
          <c:showBubbleSize val="0"/>
        </c:dLbls>
        <c:marker val="0"/>
        <c:smooth val="0"/>
        <c:axId val="256367329"/>
        <c:axId val="484297088"/>
      </c:lineChart>
      <c:catAx>
        <c:axId val="6856286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787285"/>
        <c:crosses val="autoZero"/>
        <c:auto val="1"/>
        <c:lblAlgn val="ctr"/>
        <c:lblOffset val="100"/>
        <c:noMultiLvlLbl val="0"/>
      </c:catAx>
      <c:valAx>
        <c:axId val="83978728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628675"/>
        <c:crosses val="autoZero"/>
        <c:crossBetween val="between"/>
      </c:valAx>
      <c:catAx>
        <c:axId val="25636732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297088"/>
        <c:crosses val="autoZero"/>
        <c:auto val="1"/>
        <c:lblAlgn val="ctr"/>
        <c:lblOffset val="100"/>
        <c:noMultiLvlLbl val="0"/>
      </c:catAx>
      <c:valAx>
        <c:axId val="48429708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36732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按性别分组的供求人数</a:t>
            </a:r>
          </a:p>
        </c:rich>
      </c:tx>
      <c:layout>
        <c:manualLayout>
          <c:xMode val="edge"/>
          <c:yMode val="edge"/>
          <c:x val="0.320640533411489"/>
          <c:y val="0.0305300105300105"/>
        </c:manualLayout>
      </c:layout>
      <c:overlay val="0"/>
      <c:spPr>
        <a:noFill/>
        <a:ln>
          <a:noFill/>
        </a:ln>
        <a:effectLst/>
      </c:spPr>
    </c:title>
    <c:autoTitleDeleted val="0"/>
    <c:plotArea>
      <c:layout>
        <c:manualLayout>
          <c:layoutTarget val="inner"/>
          <c:xMode val="edge"/>
          <c:yMode val="edge"/>
          <c:x val="0.0708792497069168"/>
          <c:y val="0.12702533052533"/>
          <c:w val="0.86535"/>
          <c:h val="0.7169"/>
        </c:manualLayout>
      </c:layout>
      <c:barChart>
        <c:barDir val="col"/>
        <c:grouping val="clustered"/>
        <c:varyColors val="0"/>
        <c:ser>
          <c:idx val="0"/>
          <c:order val="0"/>
          <c:tx>
            <c:strRef>
              <c:f>Sheet1!$B$1</c:f>
              <c:strCache>
                <c:ptCount val="1"/>
                <c:pt idx="0">
                  <c:v>求职 人数(人)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Sheet1!$B$2:$B$3</c:f>
              <c:numCache>
                <c:formatCode>#,##0</c:formatCode>
                <c:ptCount val="2"/>
                <c:pt idx="0">
                  <c:v>4694</c:v>
                </c:pt>
                <c:pt idx="1">
                  <c:v>4060</c:v>
                </c:pt>
              </c:numCache>
            </c:numRef>
          </c:val>
        </c:ser>
        <c:dLbls>
          <c:showLegendKey val="0"/>
          <c:showVal val="1"/>
          <c:showCatName val="0"/>
          <c:showSerName val="0"/>
          <c:showPercent val="0"/>
          <c:showBubbleSize val="0"/>
        </c:dLbls>
        <c:gapWidth val="150"/>
        <c:overlap val="0"/>
        <c:axId val="613521406"/>
        <c:axId val="629906716"/>
      </c:barChart>
      <c:lineChart>
        <c:grouping val="standard"/>
        <c:varyColors val="0"/>
        <c:ser>
          <c:idx val="2"/>
          <c:order val="2"/>
          <c:tx>
            <c:strRef>
              <c:f>Sheet1!#REF!</c:f>
              <c:strCache>
                <c:ptCount val="1"/>
                <c:pt idx="0">
                  <c:v/>
                </c:pt>
              </c:strCache>
            </c:strRef>
          </c:tx>
          <c:spPr>
            <a:ln w="28575" cap="rnd">
              <a:solidFill>
                <a:schemeClr val="accent5"/>
              </a:solidFill>
              <a:round/>
            </a:ln>
            <a:effectLst/>
          </c:spPr>
          <c:marker>
            <c:symbol val="none"/>
          </c:marker>
          <c:dLbls>
            <c:delete val="1"/>
          </c:dLbls>
          <c:cat>
            <c:strRef>
              <c:f>Sheet1!$A$2:$A$3</c:f>
              <c:strCache>
                <c:ptCount val="2"/>
                <c:pt idx="0">
                  <c:v>男</c:v>
                </c:pt>
                <c:pt idx="1">
                  <c:v>女</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marker val="0"/>
        <c:smooth val="0"/>
        <c:axId val="613521406"/>
        <c:axId val="629906716"/>
      </c:lineChart>
      <c:lineChart>
        <c:grouping val="standard"/>
        <c:varyColors val="0"/>
        <c:ser>
          <c:idx val="1"/>
          <c:order val="1"/>
          <c:tx>
            <c:strRef>
              <c:f>Sheet1!$C$1</c:f>
              <c:strCache>
                <c:ptCount val="1"/>
                <c:pt idx="0">
                  <c:v>求职 比重 (%)</c:v>
                </c:pt>
              </c:strCache>
            </c:strRef>
          </c:tx>
          <c:spPr>
            <a:ln w="28575" cap="rnd">
              <a:solidFill>
                <a:schemeClr val="accent3"/>
              </a:solidFill>
              <a:round/>
            </a:ln>
            <a:effectLst/>
          </c:spPr>
          <c:marker>
            <c:symbol val="none"/>
          </c:marker>
          <c:dLbls>
            <c:dLbl>
              <c:idx val="0"/>
              <c:layout>
                <c:manualLayout>
                  <c:x val="-0.11957796014068"/>
                  <c:y val="-0.04475254475254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5</a:t>
                    </a:r>
                    <a:r>
                      <a:rPr lang="en-US" altLang="mn-Mong-CN">
                        <a:cs typeface="Menk Qagan Tig" charset="0"/>
                      </a:rPr>
                      <a:t>4</a:t>
                    </a:r>
                    <a:r>
                      <a:rPr lang="mn-Mong-CN" altLang="en-US">
                        <a:cs typeface="Menk Qagan Tig" charset="0"/>
                      </a:rPr>
                      <a:t>.</a:t>
                    </a:r>
                    <a:r>
                      <a:rPr lang="en-US" altLang="mn-Mong-CN">
                        <a:cs typeface="Menk Qagan Tig" charset="0"/>
                      </a:rPr>
                      <a:t>7</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33001172332947"/>
                  <c:y val="-0.06160834210834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4</a:t>
                    </a:r>
                    <a:r>
                      <a:rPr lang="en-US" altLang="mn-Mong-CN">
                        <a:cs typeface="Menk Qagan Tig" charset="0"/>
                      </a:rPr>
                      <a:t>5</a:t>
                    </a:r>
                    <a:r>
                      <a:rPr lang="mn-Mong-CN" altLang="en-US">
                        <a:cs typeface="Menk Qagan Tig" charset="0"/>
                      </a:rPr>
                      <a:t>.</a:t>
                    </a:r>
                    <a:r>
                      <a:rPr lang="en-US" altLang="mn-Mong-CN">
                        <a:cs typeface="Menk Qagan Tig" charset="0"/>
                      </a:rPr>
                      <a:t>2</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Sheet1!$C$2:$C$3</c:f>
              <c:numCache>
                <c:formatCode>#,##0.00</c:formatCode>
                <c:ptCount val="2"/>
                <c:pt idx="0">
                  <c:v>53.62</c:v>
                </c:pt>
                <c:pt idx="1">
                  <c:v>46.38</c:v>
                </c:pt>
              </c:numCache>
            </c:numRef>
          </c:val>
          <c:smooth val="0"/>
        </c:ser>
        <c:dLbls>
          <c:showLegendKey val="0"/>
          <c:showVal val="1"/>
          <c:showCatName val="0"/>
          <c:showSerName val="0"/>
          <c:showPercent val="0"/>
          <c:showBubbleSize val="0"/>
        </c:dLbls>
        <c:marker val="0"/>
        <c:smooth val="0"/>
        <c:axId val="709523982"/>
        <c:axId val="729276405"/>
      </c:lineChart>
      <c:catAx>
        <c:axId val="6135214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906716"/>
        <c:crosses val="autoZero"/>
        <c:auto val="1"/>
        <c:lblAlgn val="ctr"/>
        <c:lblOffset val="100"/>
        <c:noMultiLvlLbl val="0"/>
      </c:catAx>
      <c:valAx>
        <c:axId val="6299067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521406"/>
        <c:crosses val="autoZero"/>
        <c:crossBetween val="between"/>
      </c:valAx>
      <c:catAx>
        <c:axId val="70952398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276405"/>
        <c:crosses val="autoZero"/>
        <c:auto val="1"/>
        <c:lblAlgn val="ctr"/>
        <c:lblOffset val="100"/>
        <c:noMultiLvlLbl val="0"/>
      </c:catAx>
      <c:valAx>
        <c:axId val="72927640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523982"/>
        <c:crosses val="max"/>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按年龄分组供求人数</a:t>
            </a:r>
          </a:p>
        </c:rich>
      </c:tx>
      <c:layout/>
      <c:overlay val="1"/>
      <c:spPr>
        <a:noFill/>
        <a:ln>
          <a:noFill/>
        </a:ln>
        <a:effectLst/>
      </c:spPr>
    </c:title>
    <c:autoTitleDeleted val="0"/>
    <c:plotArea>
      <c:layout>
        <c:manualLayout>
          <c:layoutTarget val="inner"/>
          <c:xMode val="edge"/>
          <c:yMode val="edge"/>
          <c:x val="0.0554389140271493"/>
          <c:y val="0.102750809061489"/>
          <c:w val="0.902515837104072"/>
          <c:h val="0.770685005393743"/>
        </c:manualLayout>
      </c:layout>
      <c:barChart>
        <c:barDir val="col"/>
        <c:grouping val="clustered"/>
        <c:varyColors val="0"/>
        <c:ser>
          <c:idx val="0"/>
          <c:order val="0"/>
          <c:tx>
            <c:strRef>
              <c:f>Sheet1!$B$1</c:f>
              <c:strCache>
                <c:ptCount val="1"/>
                <c:pt idx="0">
                  <c:v>需求人数 (人)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Sheet1!$B$2:$B$6</c:f>
              <c:numCache>
                <c:formatCode>#,##0</c:formatCode>
                <c:ptCount val="5"/>
                <c:pt idx="0">
                  <c:v>1386</c:v>
                </c:pt>
                <c:pt idx="1">
                  <c:v>3455</c:v>
                </c:pt>
                <c:pt idx="2">
                  <c:v>3322</c:v>
                </c:pt>
                <c:pt idx="3">
                  <c:v>1114</c:v>
                </c:pt>
                <c:pt idx="4">
                  <c:v>2971</c:v>
                </c:pt>
              </c:numCache>
            </c:numRef>
          </c:val>
        </c:ser>
        <c:ser>
          <c:idx val="2"/>
          <c:order val="2"/>
          <c:tx>
            <c:strRef>
              <c:f>Sheet1!$D$1</c:f>
              <c:strCache>
                <c:ptCount val="1"/>
                <c:pt idx="0">
                  <c:v>求职人数 (人)</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Sheet1!$D$2:$D$6</c:f>
              <c:numCache>
                <c:formatCode>#,##0</c:formatCode>
                <c:ptCount val="5"/>
                <c:pt idx="0">
                  <c:v>1501</c:v>
                </c:pt>
                <c:pt idx="1">
                  <c:v>2877</c:v>
                </c:pt>
                <c:pt idx="2">
                  <c:v>2540</c:v>
                </c:pt>
                <c:pt idx="3">
                  <c:v>1836</c:v>
                </c:pt>
                <c:pt idx="4" c:formatCode="General">
                  <c:v>0</c:v>
                </c:pt>
              </c:numCache>
            </c:numRef>
          </c:val>
        </c:ser>
        <c:dLbls>
          <c:showLegendKey val="0"/>
          <c:showVal val="1"/>
          <c:showCatName val="0"/>
          <c:showSerName val="0"/>
          <c:showPercent val="0"/>
          <c:showBubbleSize val="0"/>
        </c:dLbls>
        <c:gapWidth val="219"/>
        <c:overlap val="-27"/>
        <c:axId val="663119177"/>
        <c:axId val="783325124"/>
      </c:barChart>
      <c:lineChart>
        <c:grouping val="standard"/>
        <c:varyColors val="0"/>
        <c:ser>
          <c:idx val="1"/>
          <c:order val="1"/>
          <c:tx>
            <c:strRef>
              <c:f>Sheet1!$C$1</c:f>
              <c:strCache>
                <c:ptCount val="1"/>
                <c:pt idx="0">
                  <c:v>需求比重(%)</c:v>
                </c:pt>
              </c:strCache>
            </c:strRef>
          </c:tx>
          <c:spPr>
            <a:ln w="28575" cap="rnd">
              <a:solidFill>
                <a:schemeClr val="accent3"/>
              </a:solidFill>
              <a:round/>
            </a:ln>
            <a:effectLst/>
          </c:spPr>
          <c:marker>
            <c:symbol val="none"/>
          </c:marker>
          <c:dLbls>
            <c:dLbl>
              <c:idx val="0"/>
              <c:layout>
                <c:manualLayout>
                  <c:x val="-0.0593683210638803"/>
                  <c:y val="-0.0342705442258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91577614185071"/>
                  <c:y val="-0.03414987329552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a:t>
                    </a:r>
                    <a:r>
                      <a:rPr lang="mn-Mong-CN" altLang="en-US">
                        <a:cs typeface="Menk Qagan Tig" charset="0"/>
                      </a:rPr>
                      <a:t>0</a:t>
                    </a:r>
                    <a:r>
                      <a:rPr lang="en-US" altLang="mn-Mong-CN">
                        <a:cs typeface="Menk Qagan Tig" charset="0"/>
                      </a:rPr>
                      <a:t>.</a:t>
                    </a:r>
                    <a:r>
                      <a:rPr lang="mn-Mong-CN" altLang="en-US">
                        <a:cs typeface="Menk Qagan Tig" charset="0"/>
                      </a:rPr>
                      <a:t>6</a:t>
                    </a:r>
                    <a:r>
                      <a:rPr lang="en-US" altLang="mn-Mong-CN">
                        <a:cs typeface="Menk Qagan Tig" charset="0"/>
                      </a:rPr>
                      <a:t>9</a:t>
                    </a:r>
                    <a:r>
                      <a:rPr lang="en-US" altLang="zh-CN"/>
                      <a:t>%</a:t>
                    </a:r>
                    <a:endParaRPr lang="en-US" altLang="zh-CN"/>
                  </a:p>
                </c:rich>
              </c:tx>
              <c:numFmt formatCode="_ * #,##0.00_ ;_ * \-#,##0.00_ ;_ * &quot;-&quot;??_ ;_ @_ "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604923373959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Sheet1!$C$2:$C$6</c:f>
              <c:numCache>
                <c:formatCode>#,##0.00</c:formatCode>
                <c:ptCount val="5"/>
                <c:pt idx="0">
                  <c:v>11.32</c:v>
                </c:pt>
                <c:pt idx="1">
                  <c:v>28.21</c:v>
                </c:pt>
                <c:pt idx="2">
                  <c:v>27.12</c:v>
                </c:pt>
                <c:pt idx="3">
                  <c:v>9.1</c:v>
                </c:pt>
                <c:pt idx="4">
                  <c:v>24.26</c:v>
                </c:pt>
              </c:numCache>
            </c:numRef>
          </c:val>
          <c:smooth val="0"/>
        </c:ser>
        <c:ser>
          <c:idx val="3"/>
          <c:order val="3"/>
          <c:tx>
            <c:strRef>
              <c:f>Sheet1!$E$1</c:f>
              <c:strCache>
                <c:ptCount val="1"/>
                <c:pt idx="0">
                  <c:v>求职比重(%)</c:v>
                </c:pt>
              </c:strCache>
            </c:strRef>
          </c:tx>
          <c:spPr>
            <a:ln w="28575" cap="rnd">
              <a:solidFill>
                <a:schemeClr val="accent1">
                  <a:lumMod val="60000"/>
                </a:schemeClr>
              </a:solidFill>
              <a:round/>
            </a:ln>
            <a:effectLst/>
          </c:spPr>
          <c:marker>
            <c:symbol val="none"/>
          </c:marker>
          <c:dLbls>
            <c:dLbl>
              <c:idx val="2"/>
              <c:layout>
                <c:manualLayout>
                  <c:x val="-0.0383123565265574"/>
                  <c:y val="-0.05031977796548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Sheet1!$E$2:$E$6</c:f>
              <c:numCache>
                <c:formatCode>#,##0.00</c:formatCode>
                <c:ptCount val="5"/>
                <c:pt idx="0">
                  <c:v>17.15</c:v>
                </c:pt>
                <c:pt idx="1">
                  <c:v>32.86</c:v>
                </c:pt>
                <c:pt idx="2">
                  <c:v>29.02</c:v>
                </c:pt>
                <c:pt idx="3">
                  <c:v>20.97</c:v>
                </c:pt>
                <c:pt idx="4" c:formatCode="General">
                  <c:v>0</c:v>
                </c:pt>
              </c:numCache>
            </c:numRef>
          </c:val>
          <c:smooth val="0"/>
        </c:ser>
        <c:dLbls>
          <c:showLegendKey val="0"/>
          <c:showVal val="1"/>
          <c:showCatName val="0"/>
          <c:showSerName val="0"/>
          <c:showPercent val="0"/>
          <c:showBubbleSize val="0"/>
        </c:dLbls>
        <c:marker val="0"/>
        <c:smooth val="0"/>
        <c:axId val="828197396"/>
        <c:axId val="626198403"/>
      </c:lineChart>
      <c:catAx>
        <c:axId val="6631191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325124"/>
        <c:crosses val="autoZero"/>
        <c:auto val="1"/>
        <c:lblAlgn val="ctr"/>
        <c:lblOffset val="100"/>
        <c:noMultiLvlLbl val="0"/>
      </c:catAx>
      <c:valAx>
        <c:axId val="7833251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119177"/>
        <c:crosses val="autoZero"/>
        <c:crossBetween val="between"/>
      </c:valAx>
      <c:catAx>
        <c:axId val="82819739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6198403"/>
        <c:crosses val="autoZero"/>
        <c:auto val="1"/>
        <c:lblAlgn val="ctr"/>
        <c:lblOffset val="100"/>
        <c:noMultiLvlLbl val="0"/>
      </c:catAx>
      <c:valAx>
        <c:axId val="626198403"/>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197396"/>
        <c:crosses val="max"/>
        <c:crossBetween val="between"/>
      </c:valAx>
      <c:spPr>
        <a:noFill/>
        <a:ln>
          <a:noFill/>
        </a:ln>
        <a:effectLst/>
      </c:spPr>
    </c:plotArea>
    <c:legend>
      <c:legendPos val="b"/>
      <c:layout>
        <c:manualLayout>
          <c:xMode val="edge"/>
          <c:yMode val="edge"/>
          <c:x val="0.202268569337724"/>
          <c:y val="0.926246350167622"/>
          <c:w val="0.591511159897548"/>
          <c:h val="0.0607764680436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按文化程度分组的供求人数</a:t>
            </a:r>
          </a:p>
        </c:rich>
      </c:tx>
      <c:layout>
        <c:manualLayout>
          <c:xMode val="edge"/>
          <c:yMode val="edge"/>
          <c:x val="0.36710813454737"/>
          <c:y val="0.0190421234852856"/>
        </c:manualLayout>
      </c:layout>
      <c:overlay val="0"/>
      <c:spPr>
        <a:noFill/>
        <a:ln>
          <a:noFill/>
        </a:ln>
        <a:effectLst/>
      </c:spPr>
    </c:title>
    <c:autoTitleDeleted val="0"/>
    <c:plotArea>
      <c:layout>
        <c:manualLayout>
          <c:layoutTarget val="inner"/>
          <c:xMode val="edge"/>
          <c:yMode val="edge"/>
          <c:x val="0.0397358517361358"/>
          <c:y val="0.0147888073199277"/>
          <c:w val="0.912504437974863"/>
          <c:h val="0.683093946164486"/>
        </c:manualLayout>
      </c:layout>
      <c:barChart>
        <c:barDir val="col"/>
        <c:grouping val="clustered"/>
        <c:varyColors val="0"/>
        <c:ser>
          <c:idx val="0"/>
          <c:order val="0"/>
          <c:tx>
            <c:strRef>
              <c:f>Sheet1!$B$1</c:f>
              <c:strCache>
                <c:ptCount val="1"/>
                <c:pt idx="0">
                  <c:v>需求人数 (人)</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Sheet1!$B$2:$B$8</c:f>
              <c:numCache>
                <c:formatCode>#,##0</c:formatCode>
                <c:ptCount val="7"/>
                <c:pt idx="0">
                  <c:v>1473</c:v>
                </c:pt>
                <c:pt idx="1">
                  <c:v>1995</c:v>
                </c:pt>
                <c:pt idx="2">
                  <c:v>719</c:v>
                </c:pt>
                <c:pt idx="3">
                  <c:v>2698</c:v>
                </c:pt>
                <c:pt idx="4">
                  <c:v>1627</c:v>
                </c:pt>
                <c:pt idx="5">
                  <c:v>0</c:v>
                </c:pt>
                <c:pt idx="6">
                  <c:v>4455</c:v>
                </c:pt>
              </c:numCache>
            </c:numRef>
          </c:val>
        </c:ser>
        <c:ser>
          <c:idx val="2"/>
          <c:order val="2"/>
          <c:tx>
            <c:strRef>
              <c:f>Sheet1!$D$1</c:f>
              <c:strCache>
                <c:ptCount val="1"/>
                <c:pt idx="0">
                  <c:v>求职人数 (人)</c:v>
                </c:pt>
              </c:strCache>
            </c:strRef>
          </c:tx>
          <c:spPr>
            <a:solidFill>
              <a:schemeClr val="accent5"/>
            </a:solidFill>
            <a:ln>
              <a:noFill/>
            </a:ln>
            <a:effectLst/>
          </c:spPr>
          <c:invertIfNegative val="0"/>
          <c:dLbls>
            <c:dLbl>
              <c:idx val="4"/>
              <c:layout>
                <c:manualLayout>
                  <c:x val="0.00112875310407104"/>
                  <c:y val="0.060588574725908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Sheet1!$D$2:$D$8</c:f>
              <c:numCache>
                <c:formatCode>#,##0</c:formatCode>
                <c:ptCount val="7"/>
                <c:pt idx="0">
                  <c:v>1914</c:v>
                </c:pt>
                <c:pt idx="1">
                  <c:v>2232</c:v>
                </c:pt>
                <c:pt idx="2">
                  <c:v>620</c:v>
                </c:pt>
                <c:pt idx="3">
                  <c:v>2718</c:v>
                </c:pt>
                <c:pt idx="4">
                  <c:v>1889</c:v>
                </c:pt>
                <c:pt idx="5">
                  <c:v>1</c:v>
                </c:pt>
              </c:numCache>
            </c:numRef>
          </c:val>
        </c:ser>
        <c:dLbls>
          <c:showLegendKey val="0"/>
          <c:showVal val="1"/>
          <c:showCatName val="0"/>
          <c:showSerName val="0"/>
          <c:showPercent val="0"/>
          <c:showBubbleSize val="0"/>
        </c:dLbls>
        <c:gapWidth val="219"/>
        <c:overlap val="-27"/>
        <c:axId val="998641018"/>
        <c:axId val="828969104"/>
      </c:barChart>
      <c:lineChart>
        <c:grouping val="standard"/>
        <c:varyColors val="0"/>
        <c:ser>
          <c:idx val="1"/>
          <c:order val="1"/>
          <c:tx>
            <c:strRef>
              <c:f>Sheet1!$C$1</c:f>
              <c:strCache>
                <c:ptCount val="1"/>
                <c:pt idx="0">
                  <c:v>需求比重(%)</c:v>
                </c:pt>
              </c:strCache>
            </c:strRef>
          </c:tx>
          <c:spPr>
            <a:ln w="28575" cap="rnd">
              <a:solidFill>
                <a:schemeClr val="accent3"/>
              </a:solidFill>
              <a:round/>
            </a:ln>
            <a:effectLst/>
          </c:spPr>
          <c:marker>
            <c:symbol val="none"/>
          </c:marker>
          <c:dLbls>
            <c:dLbl>
              <c:idx val="0"/>
              <c:layout>
                <c:manualLayout>
                  <c:x val="-0.0583637944030122"/>
                  <c:y val="-0.06081997771797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2938925285233"/>
                  <c:y val="-0.04736197703565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69246742970615"/>
                  <c:y val="-0.01814707301798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17819299764631"/>
                  <c:y val="0.03085821397434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8582688347653"/>
                  <c:y val="-0.03372699223321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09037881674454"/>
                  <c:y val="-0.008026501204809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Sheet1!$C$2:$C$8</c:f>
              <c:numCache>
                <c:formatCode>#,##0.00</c:formatCode>
                <c:ptCount val="7"/>
                <c:pt idx="0">
                  <c:v>12.03</c:v>
                </c:pt>
                <c:pt idx="1">
                  <c:v>16.29</c:v>
                </c:pt>
                <c:pt idx="2">
                  <c:v>36.04</c:v>
                </c:pt>
                <c:pt idx="3">
                  <c:v>22.03</c:v>
                </c:pt>
                <c:pt idx="4">
                  <c:v>13.28</c:v>
                </c:pt>
                <c:pt idx="5">
                  <c:v>0</c:v>
                </c:pt>
                <c:pt idx="6">
                  <c:v>36.37</c:v>
                </c:pt>
              </c:numCache>
            </c:numRef>
          </c:val>
          <c:smooth val="0"/>
        </c:ser>
        <c:ser>
          <c:idx val="3"/>
          <c:order val="3"/>
          <c:tx>
            <c:strRef>
              <c:f>Sheet1!$E$1</c:f>
              <c:strCache>
                <c:ptCount val="1"/>
                <c:pt idx="0">
                  <c:v>求职比重 (%)</c:v>
                </c:pt>
              </c:strCache>
            </c:strRef>
          </c:tx>
          <c:spPr>
            <a:ln w="28575" cap="rnd">
              <a:solidFill>
                <a:schemeClr val="accent1">
                  <a:lumMod val="60000"/>
                </a:schemeClr>
              </a:solidFill>
              <a:round/>
            </a:ln>
            <a:effectLst/>
          </c:spPr>
          <c:marker>
            <c:symbol val="none"/>
          </c:marker>
          <c:dLbls>
            <c:dLbl>
              <c:idx val="0"/>
              <c:layout>
                <c:manualLayout>
                  <c:x val="-0.012040033110091"/>
                  <c:y val="-0.04647113813718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6339430146101"/>
                  <c:y val="-0.03254472013848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0895405808422"/>
                  <c:y val="0.05851686349611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0712916282042"/>
                  <c:y val="-0.0531971486328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1274621005564"/>
                  <c:y val="-0.053857984302635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72571299571074"/>
                      <c:h val="0.045931909982689"/>
                    </c:manualLayout>
                  </c15:layout>
                </c:ext>
              </c:extLst>
            </c:dLbl>
            <c:dLbl>
              <c:idx val="5"/>
              <c:layout>
                <c:manualLayout>
                  <c:x val="0.0116539663663796"/>
                  <c:y val="-0.03686860156944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Sheet1!$E$2:$E$8</c:f>
              <c:numCache>
                <c:formatCode>#,##0.00</c:formatCode>
                <c:ptCount val="7"/>
                <c:pt idx="0">
                  <c:v>21.86</c:v>
                </c:pt>
                <c:pt idx="1">
                  <c:v>25.5</c:v>
                </c:pt>
                <c:pt idx="2">
                  <c:v>27.78</c:v>
                </c:pt>
                <c:pt idx="3">
                  <c:v>31.05</c:v>
                </c:pt>
                <c:pt idx="4">
                  <c:v>21.58</c:v>
                </c:pt>
                <c:pt idx="5">
                  <c:v>0.01</c:v>
                </c:pt>
              </c:numCache>
            </c:numRef>
          </c:val>
          <c:smooth val="0"/>
        </c:ser>
        <c:dLbls>
          <c:showLegendKey val="0"/>
          <c:showVal val="1"/>
          <c:showCatName val="0"/>
          <c:showSerName val="0"/>
          <c:showPercent val="0"/>
          <c:showBubbleSize val="0"/>
        </c:dLbls>
        <c:marker val="0"/>
        <c:smooth val="0"/>
        <c:axId val="578059096"/>
        <c:axId val="125148315"/>
      </c:lineChart>
      <c:catAx>
        <c:axId val="998641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a:outerShdw blurRad="50800" dist="50800" dir="5400000" sx="1000" sy="1000" algn="ctr" rotWithShape="0">
              <a:schemeClr val="tx1">
                <a:alpha val="43000"/>
              </a:schemeClr>
            </a:outerShdw>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969104"/>
        <c:crosses val="autoZero"/>
        <c:auto val="1"/>
        <c:lblAlgn val="ctr"/>
        <c:lblOffset val="100"/>
        <c:noMultiLvlLbl val="0"/>
      </c:catAx>
      <c:valAx>
        <c:axId val="828969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641018"/>
        <c:crosses val="autoZero"/>
        <c:crossBetween val="between"/>
      </c:valAx>
      <c:catAx>
        <c:axId val="57805909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148315"/>
        <c:crosses val="autoZero"/>
        <c:auto val="1"/>
        <c:lblAlgn val="ctr"/>
        <c:lblOffset val="100"/>
        <c:noMultiLvlLbl val="0"/>
      </c:catAx>
      <c:valAx>
        <c:axId val="125148315"/>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59096"/>
        <c:crosses val="max"/>
        <c:crossBetween val="between"/>
      </c:valAx>
      <c:spPr>
        <a:noFill/>
        <a:ln>
          <a:noFill/>
        </a:ln>
        <a:effectLst/>
      </c:spPr>
    </c:plotArea>
    <c:legend>
      <c:legendPos val="b"/>
      <c:layout>
        <c:manualLayout>
          <c:xMode val="edge"/>
          <c:yMode val="edge"/>
          <c:x val="0.274373357949301"/>
          <c:y val="0.903925949569103"/>
          <c:w val="0.538450614215721"/>
          <c:h val="0.08330673475901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7066</Words>
  <Characters>10545</Characters>
  <Lines>0</Lines>
  <Paragraphs>0</Paragraphs>
  <TotalTime>1</TotalTime>
  <ScaleCrop>false</ScaleCrop>
  <LinksUpToDate>false</LinksUpToDate>
  <CharactersWithSpaces>10677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cindydoudou</dc:creator>
  <cp:lastModifiedBy>inspur</cp:lastModifiedBy>
  <cp:lastPrinted>2024-12-01T03:46:00Z</cp:lastPrinted>
  <dcterms:modified xsi:type="dcterms:W3CDTF">2025-04-22T10:23:32Z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9063ED3C16E5446C8113E1F66765B513</vt:lpwstr>
  </property>
</Properties>
</file>