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10.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olors1.xml" ContentType="application/vnd.ms-office.chartcolorstyle+xml"/>
  <Override PartName="/word/charts/colors10.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colors8.xml" ContentType="application/vnd.ms-office.chartcolorstyle+xml"/>
  <Override PartName="/word/charts/colors9.xml" ContentType="application/vnd.ms-office.chartcolorstyle+xml"/>
  <Override PartName="/word/charts/style1.xml" ContentType="application/vnd.ms-office.chartstyle+xml"/>
  <Override PartName="/word/charts/style10.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charts/style8.xml" ContentType="application/vnd.ms-office.chartstyle+xml"/>
  <Override PartName="/word/charts/style9.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方正小标宋简体" w:hAnsi="方正小标宋简体" w:eastAsia="方正小标宋简体" w:cs="方正小标宋简体"/>
          <w:b w:val="0"/>
          <w:bCs w:val="0"/>
          <w:color w:val="auto"/>
          <w:sz w:val="44"/>
          <w:szCs w:val="44"/>
          <w:highlight w:val="none"/>
          <w:lang w:val="en-US" w:eastAsia="zh-CN"/>
        </w:rPr>
      </w:pPr>
      <w:r>
        <w:rPr>
          <w:rFonts w:hint="eastAsia" w:ascii="方正小标宋简体" w:hAnsi="方正小标宋简体" w:eastAsia="方正小标宋简体" w:cs="方正小标宋简体"/>
          <w:b w:val="0"/>
          <w:bCs w:val="0"/>
          <w:color w:val="auto"/>
          <w:sz w:val="44"/>
          <w:szCs w:val="44"/>
          <w:highlight w:val="none"/>
          <w:lang w:val="en-US" w:eastAsia="zh-CN"/>
        </w:rPr>
        <w:t>锡林郭勒盟2024年四季度</w:t>
      </w:r>
    </w:p>
    <w:p>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jc w:val="center"/>
        <w:textAlignment w:val="auto"/>
        <w:rPr>
          <w:b/>
          <w:bCs/>
          <w:color w:val="auto"/>
          <w:sz w:val="32"/>
          <w:szCs w:val="32"/>
          <w:highlight w:val="none"/>
        </w:rPr>
      </w:pPr>
      <w:r>
        <w:rPr>
          <w:rFonts w:hint="eastAsia" w:ascii="方正小标宋简体" w:hAnsi="方正小标宋简体" w:eastAsia="方正小标宋简体" w:cs="方正小标宋简体"/>
          <w:b w:val="0"/>
          <w:bCs w:val="0"/>
          <w:color w:val="auto"/>
          <w:sz w:val="44"/>
          <w:szCs w:val="44"/>
          <w:highlight w:val="none"/>
          <w:lang w:val="en-US" w:eastAsia="zh-CN"/>
        </w:rPr>
        <w:t>人力资源市场供求状况分析报告</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rPr>
      </w:pPr>
      <w:r>
        <w:rPr>
          <w:rFonts w:hint="eastAsia" w:ascii="黑体" w:hAnsi="黑体" w:eastAsia="黑体" w:cs="黑体"/>
          <w:b w:val="0"/>
          <w:bCs w:val="0"/>
          <w:color w:val="auto"/>
          <w:sz w:val="32"/>
          <w:szCs w:val="32"/>
          <w:highlight w:val="none"/>
          <w:lang w:eastAsia="zh-CN"/>
        </w:rPr>
        <w:t>一、</w:t>
      </w:r>
      <w:r>
        <w:rPr>
          <w:rFonts w:hint="eastAsia" w:ascii="黑体" w:hAnsi="黑体" w:eastAsia="黑体" w:cs="黑体"/>
          <w:b w:val="0"/>
          <w:bCs w:val="0"/>
          <w:color w:val="auto"/>
          <w:sz w:val="32"/>
          <w:szCs w:val="32"/>
          <w:highlight w:val="none"/>
        </w:rPr>
        <w:t>供求总体情况</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根据全区短缺职业排行暨市场职业供求分析信息系统中我盟数据显示，全盟第四季度需求人数12248人，求职人数8754人，求人倍率为1.40，市场用工需求略大于劳动力供给。</w:t>
      </w:r>
      <w:bookmarkStart w:id="25" w:name="_GoBack"/>
      <w:bookmarkEnd w:id="25"/>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与上一季度相比，需求人数增加了698人，环比上升6.04%，求职人数增加了1519人，环比上升21%；求人倍率与上季度相比环比下降0.2。</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与去年同期相比，需求人数增加了2408人，同比上升24.47%，求职人数增加了3106人，同比上升54.99%，求人倍率与去年同期同比下降0.3。</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表1. 供求总体情况</w:t>
      </w:r>
    </w:p>
    <w:tbl>
      <w:tblPr>
        <w:tblStyle w:val="10"/>
        <w:tblW w:w="4964"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399"/>
        <w:gridCol w:w="1629"/>
        <w:gridCol w:w="1564"/>
        <w:gridCol w:w="1180"/>
        <w:gridCol w:w="1483"/>
        <w:gridCol w:w="1586"/>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235" w:hRule="atLeast"/>
          <w:tblCellSpacing w:w="0" w:type="dxa"/>
          <w:jc w:val="center"/>
        </w:trPr>
        <w:tc>
          <w:tcPr>
            <w:tcW w:w="7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92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需求人数(人)</w:t>
            </w:r>
          </w:p>
        </w:tc>
        <w:tc>
          <w:tcPr>
            <w:tcW w:w="8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66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c>
          <w:tcPr>
            <w:tcW w:w="83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与上季度相比变化(%)</w:t>
            </w:r>
          </w:p>
        </w:tc>
        <w:tc>
          <w:tcPr>
            <w:tcW w:w="8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63" w:hRule="atLeast"/>
          <w:tblCellSpacing w:w="0" w:type="dxa"/>
          <w:jc w:val="center"/>
        </w:trPr>
        <w:tc>
          <w:tcPr>
            <w:tcW w:w="79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本期有效数</w:t>
            </w:r>
          </w:p>
        </w:tc>
        <w:tc>
          <w:tcPr>
            <w:tcW w:w="92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12248</w:t>
            </w:r>
          </w:p>
        </w:tc>
        <w:tc>
          <w:tcPr>
            <w:tcW w:w="8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8754</w:t>
            </w:r>
          </w:p>
        </w:tc>
        <w:tc>
          <w:tcPr>
            <w:tcW w:w="66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1.40</w:t>
            </w:r>
          </w:p>
        </w:tc>
        <w:tc>
          <w:tcPr>
            <w:tcW w:w="83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-0.2</w:t>
            </w:r>
          </w:p>
        </w:tc>
        <w:tc>
          <w:tcPr>
            <w:tcW w:w="8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-0.3</w:t>
            </w:r>
          </w:p>
        </w:tc>
      </w:tr>
    </w:tbl>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textAlignment w:val="auto"/>
        <w:rPr>
          <w:rFonts w:hint="eastAsia" w:ascii="黑体" w:hAnsi="黑体" w:eastAsia="黑体" w:cs="黑体"/>
          <w:b w:val="0"/>
          <w:bCs w:val="0"/>
          <w:color w:val="auto"/>
          <w:sz w:val="32"/>
          <w:szCs w:val="32"/>
          <w:highlight w:val="none"/>
          <w:lang w:eastAsia="zh-CN"/>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textAlignment w:val="auto"/>
        <w:rPr>
          <w:rFonts w:hint="eastAsia" w:ascii="黑体" w:hAnsi="黑体" w:eastAsia="黑体" w:cs="黑体"/>
          <w:b w:val="0"/>
          <w:bCs w:val="0"/>
          <w:color w:val="auto"/>
          <w:sz w:val="32"/>
          <w:szCs w:val="32"/>
          <w:highlight w:val="none"/>
          <w:lang w:eastAsia="zh-CN"/>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二、按产业、行业劳动力需求</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本期第一产业需求人数367人，第二产业需求人数1989人，第三产业需求人数9892人；第一产业所占比重为3%，第二产业占16.24%，第三产业占80.76%。</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与上一季度相比，第一产业需求环比增加了20.33%，第二产业环比下降了21.1%，第三产业环比增加了13.39%。</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与去年同期相比，第一产业需求同比增加了17.63%，第二产业同比增加了24.47%，第三产业同比增加了24.74%。</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eastAsia="宋体"/>
          <w:color w:val="auto"/>
          <w:highlight w:val="none"/>
          <w:lang w:eastAsia="zh-CN"/>
        </w:rPr>
      </w:pPr>
      <w:r>
        <w:rPr>
          <w:rFonts w:hint="eastAsia" w:ascii="Times New Roman" w:hAnsi="Times New Roman" w:eastAsia="仿宋_GB2312" w:cs="Times New Roman"/>
          <w:color w:val="auto"/>
          <w:kern w:val="2"/>
          <w:sz w:val="28"/>
          <w:szCs w:val="28"/>
          <w:highlight w:val="none"/>
          <w:lang w:val="en-US" w:eastAsia="zh-CN" w:bidi="ar-SA"/>
        </w:rPr>
        <w:t>表2. 按产业分组的需求人数</w:t>
      </w:r>
    </w:p>
    <w:tbl>
      <w:tblPr>
        <w:tblStyle w:val="10"/>
        <w:tblpPr w:leftFromText="180" w:rightFromText="180" w:vertAnchor="text" w:horzAnchor="page" w:tblpX="1664" w:tblpY="162"/>
        <w:tblOverlap w:val="never"/>
        <w:tblW w:w="4998"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792"/>
        <w:gridCol w:w="1425"/>
        <w:gridCol w:w="1389"/>
        <w:gridCol w:w="2116"/>
        <w:gridCol w:w="2179"/>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产业</w:t>
            </w:r>
          </w:p>
        </w:tc>
        <w:tc>
          <w:tcPr>
            <w:tcW w:w="80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 (人)</w:t>
            </w:r>
          </w:p>
        </w:tc>
        <w:tc>
          <w:tcPr>
            <w:tcW w:w="78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 (%)</w:t>
            </w:r>
          </w:p>
        </w:tc>
        <w:tc>
          <w:tcPr>
            <w:tcW w:w="118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122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0" w:name="OLE_LINK2" w:colFirst="1" w:colLast="1"/>
            <w:r>
              <w:rPr>
                <w:rFonts w:hint="eastAsia" w:ascii="Times New Roman" w:hAnsi="Times New Roman" w:eastAsia="仿宋_GB2312" w:cs="Times New Roman"/>
                <w:b/>
                <w:bCs/>
                <w:color w:val="auto"/>
                <w:kern w:val="2"/>
                <w:sz w:val="24"/>
                <w:szCs w:val="24"/>
                <w:highlight w:val="none"/>
                <w:lang w:val="en-US" w:eastAsia="zh-CN" w:bidi="ar-SA"/>
              </w:rPr>
              <w:t>第一产业</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367</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20.33</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17.63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第二产业</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1,989</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16.24</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-21.10</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24.47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第三产业</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9,892</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80.76</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13.39</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24.74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trPr>
        <w:tc>
          <w:tcPr>
            <w:tcW w:w="100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42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12,248</w:t>
            </w:r>
          </w:p>
        </w:tc>
        <w:tc>
          <w:tcPr>
            <w:tcW w:w="138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21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6.04</w:t>
            </w:r>
          </w:p>
        </w:tc>
        <w:tc>
          <w:tcPr>
            <w:tcW w:w="217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24.47</w:t>
            </w:r>
          </w:p>
        </w:tc>
      </w:tr>
      <w:bookmarkEnd w:id="0"/>
    </w:tbl>
    <w:p>
      <w:pPr>
        <w:pStyle w:val="2"/>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firstLine="0" w:firstLineChars="0"/>
        <w:jc w:val="center"/>
        <w:rPr>
          <w:rFonts w:hint="eastAsia" w:eastAsia="宋体"/>
          <w:color w:val="C00000"/>
          <w:highlight w:val="none"/>
          <w:lang w:eastAsia="zh-CN"/>
        </w:rPr>
      </w:pPr>
    </w:p>
    <w:p>
      <w:pPr>
        <w:pStyle w:val="2"/>
        <w:keepNext w:val="0"/>
        <w:keepLines w:val="0"/>
        <w:pageBreakBefore w:val="0"/>
        <w:widowControl/>
        <w:kinsoku/>
        <w:wordWrap/>
        <w:overflowPunct/>
        <w:topLinePunct w:val="0"/>
        <w:autoSpaceDE/>
        <w:autoSpaceDN/>
        <w:bidi w:val="0"/>
        <w:adjustRightInd/>
        <w:snapToGrid/>
        <w:spacing w:beforeAutospacing="0" w:afterAutospacing="0" w:line="360" w:lineRule="auto"/>
        <w:ind w:left="0" w:leftChars="0" w:firstLine="0" w:firstLineChars="0"/>
        <w:jc w:val="center"/>
        <w:rPr>
          <w:color w:val="C00000"/>
          <w:highlight w:val="none"/>
        </w:rPr>
        <w:sectPr>
          <w:footerReference r:id="rId3" w:type="default"/>
          <w:pgSz w:w="11906" w:h="16838"/>
          <w:pgMar w:top="2098" w:right="1474" w:bottom="1984" w:left="1587" w:header="851" w:footer="992" w:gutter="0"/>
          <w:pgNumType w:fmt="decimal"/>
          <w:cols w:space="425" w:num="1"/>
          <w:docGrid w:type="lines" w:linePitch="312" w:charSpace="0"/>
        </w:sect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48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eastAsia="宋体"/>
          <w:color w:val="C00000"/>
          <w:highlight w:val="none"/>
          <w:lang w:eastAsia="zh-CN"/>
        </w:rPr>
        <w:drawing>
          <wp:anchor distT="0" distB="0" distL="114300" distR="114300" simplePos="0" relativeHeight="251664384" behindDoc="0" locked="0" layoutInCell="1" allowOverlap="1">
            <wp:simplePos x="0" y="0"/>
            <wp:positionH relativeFrom="column">
              <wp:posOffset>145415</wp:posOffset>
            </wp:positionH>
            <wp:positionV relativeFrom="paragraph">
              <wp:posOffset>81280</wp:posOffset>
            </wp:positionV>
            <wp:extent cx="5306695" cy="3552825"/>
            <wp:effectExtent l="4445" t="4445" r="22860" b="5080"/>
            <wp:wrapNone/>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按行业分，居民服务、修理和其他服务业占比30.28%，住宿和餐饮业占比18.17%，批发和零售业占比15.98%，制造业占比14.25%，交通运输、仓储和邮政业占比4.2%，采矿业占比3.2%，农、林、牧、渔业占比3%，电力、热力、燃气及水生产和供应业占比2.51%，信息传输、软件和信息技术服务业占比2.34%，租赁和商务服务业占比2.07%，公共管理、社会保障和社会组织占比0.69%，文化、体育和娱乐业占比0.65，教育占比0.61%，房地产业占比0.52%，建筑业占比0.43%，水利、环境和公共设施管理业占比0.42%，金融业占比0.38%，卫生和社会工作占比0.29%。</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季度相比，农、林、牧、渔业，制造业，批发和零售业，住宿和餐饮业，金融业，租赁和商务服务业，居民服务、修理和其他服务业，文化、体育和娱乐业，公共管理、社会保障和社会组织需求有所上升，其余等与上季度相比均有所下降。</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C00000"/>
          <w:kern w:val="2"/>
          <w:sz w:val="28"/>
          <w:szCs w:val="28"/>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农、林、牧、渔业，采矿业，制造业，电力、热力、燃气及水生产和供应业，批发和零售业，交通运输、仓储和邮政业，住宿和餐饮业，水利、环境和公共设施管理业,居民服务、修理和其他服务业需求有所上升，其余等与去年同期相比均有所下降。</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表3. 按行业分组的需求人数</w:t>
      </w:r>
    </w:p>
    <w:tbl>
      <w:tblPr>
        <w:tblStyle w:val="10"/>
        <w:tblW w:w="9216" w:type="dxa"/>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557"/>
        <w:gridCol w:w="1310"/>
        <w:gridCol w:w="996"/>
        <w:gridCol w:w="1538"/>
        <w:gridCol w:w="1815"/>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86"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行 业</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 (人)</w:t>
            </w:r>
          </w:p>
        </w:tc>
        <w:tc>
          <w:tcPr>
            <w:tcW w:w="54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 (%)</w:t>
            </w:r>
          </w:p>
        </w:tc>
        <w:tc>
          <w:tcPr>
            <w:tcW w:w="83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9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00" w:lineRule="atLeast"/>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bookmarkStart w:id="1" w:name="OLE_LINK12" w:colFirst="1" w:colLast="1"/>
            <w:r>
              <w:rPr>
                <w:rFonts w:hint="eastAsia" w:ascii="Times New Roman" w:hAnsi="Times New Roman" w:eastAsia="仿宋_GB2312" w:cs="Times New Roman"/>
                <w:b/>
                <w:bCs/>
                <w:color w:val="auto"/>
                <w:kern w:val="2"/>
                <w:sz w:val="24"/>
                <w:szCs w:val="24"/>
                <w:highlight w:val="none"/>
                <w:lang w:val="en-US" w:eastAsia="zh-CN" w:bidi="ar-SA"/>
              </w:rPr>
              <w:t>农、林、牧、渔业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367</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9.55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14.69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采矿业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392</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3.20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-38.94</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24.84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制造业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1,745</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14.25</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37.08</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26.17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2"/>
                <w:szCs w:val="22"/>
                <w:highlight w:val="none"/>
                <w:lang w:val="en-US" w:eastAsia="zh-CN" w:bidi="ar-SA"/>
              </w:rPr>
              <w:t>电力、热力、燃气及水生产和供应业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307</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2.51</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-35.23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27.39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建筑业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53</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0.43</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-74.64</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-74.64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批发和零售业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1,957</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15.98</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33.95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47.36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交通运输、仓储和邮政业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515</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4.20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-62.74</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59.44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住宿和餐饮业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2,226</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18.17</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3.49</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14.39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信息传输、软件和信息技术服务业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286</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2.34</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-51.36</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-15.63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金融业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47</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0.38</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17.50</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-87.76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房地产业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64</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0.52</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-68.32</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-79.15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租赁和商务服务业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253</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2.07</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9.05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-12.76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科学研究和技术服务业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水利、环境和公共设施管理业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52</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0.42</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-52.29</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173.68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居民服务、修理和其他服务业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3,709</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30.28</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79.53</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114.52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教育</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75</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0.61</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-64.29</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-75.65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卫生和社会工作</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36</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0.29</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-51.35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-40.00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文化、体育和娱乐业</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79</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0.65</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79.55</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-68.27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22"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公共管理、社会保障和社会组织</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85</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0.69</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73.47</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30"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国际组织</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330" w:hRule="atLeast"/>
          <w:tblCellSpacing w:w="0" w:type="dxa"/>
          <w:jc w:val="center"/>
        </w:trPr>
        <w:tc>
          <w:tcPr>
            <w:tcW w:w="192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spacing w:line="360" w:lineRule="auto"/>
              <w:jc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3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12,248</w:t>
            </w:r>
          </w:p>
        </w:tc>
        <w:tc>
          <w:tcPr>
            <w:tcW w:w="99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153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6.04</w:t>
            </w:r>
          </w:p>
        </w:tc>
        <w:tc>
          <w:tcPr>
            <w:tcW w:w="181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24.47</w:t>
            </w:r>
          </w:p>
        </w:tc>
      </w:tr>
      <w:bookmarkEnd w:id="1"/>
    </w:tbl>
    <w:p>
      <w:pPr>
        <w:pStyle w:val="2"/>
        <w:ind w:left="0" w:leftChars="0" w:firstLine="0" w:firstLineChars="0"/>
        <w:rPr>
          <w:color w:val="C00000"/>
          <w:highlight w:val="none"/>
        </w:rPr>
        <w:sectPr>
          <w:pgSz w:w="11906" w:h="16838"/>
          <w:pgMar w:top="2098" w:right="1474" w:bottom="2041" w:left="1587" w:header="851" w:footer="992" w:gutter="0"/>
          <w:pgNumType w:fmt="decimal"/>
          <w:cols w:space="425" w:num="1"/>
          <w:docGrid w:type="lines" w:linePitch="312" w:charSpace="0"/>
        </w:sectPr>
      </w:pPr>
    </w:p>
    <w:p>
      <w:pPr>
        <w:pStyle w:val="2"/>
        <w:ind w:left="0" w:leftChars="0" w:firstLine="0" w:firstLineChars="0"/>
        <w:rPr>
          <w:rFonts w:hint="eastAsia" w:eastAsia="宋体"/>
          <w:color w:val="C00000"/>
          <w:highlight w:val="none"/>
          <w:lang w:eastAsia="zh-CN"/>
        </w:rPr>
      </w:pPr>
      <w:r>
        <w:rPr>
          <w:rFonts w:hint="eastAsia"/>
          <w:color w:val="C00000"/>
          <w:highlight w:val="none"/>
          <w:lang w:val="en-US" w:eastAsia="zh-CN"/>
        </w:rPr>
        <w:t xml:space="preserve">     </w:t>
      </w:r>
      <w:r>
        <w:rPr>
          <w:rFonts w:hint="eastAsia" w:eastAsia="宋体"/>
          <w:color w:val="C00000"/>
          <w:highlight w:val="none"/>
          <w:lang w:eastAsia="zh-CN"/>
        </w:rPr>
        <w:drawing>
          <wp:inline distT="0" distB="0" distL="114300" distR="114300">
            <wp:extent cx="8314690" cy="5167630"/>
            <wp:effectExtent l="4445" t="4445" r="5715" b="9525"/>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pStyle w:val="2"/>
        <w:ind w:left="0" w:leftChars="0" w:firstLine="0" w:firstLineChars="0"/>
        <w:rPr>
          <w:color w:val="C00000"/>
          <w:highlight w:val="none"/>
        </w:rPr>
        <w:sectPr>
          <w:pgSz w:w="16838" w:h="11906" w:orient="landscape"/>
          <w:pgMar w:top="1800" w:right="1440" w:bottom="1800" w:left="1440" w:header="851" w:footer="992" w:gutter="0"/>
          <w:pgNumType w:fmt="decimal"/>
          <w:cols w:space="425" w:num="1"/>
          <w:docGrid w:type="lines" w:linePitch="312" w:charSpace="0"/>
        </w:sect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三、用人单位需求情况</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按用人单位分，企业的用人需求在市场中占主导地位，所占比重高达96.85%，事业及机关单位需求占比为0.58%，其他需求占比2.57%。</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与上季度相比，企业需求人数环比上升了4.03%，事业单位需求人数环比下降了43.2%，其他需求环比上升了1331.82%。</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与去年同期相比，企业需求人数同比上升了24.56%，事业单位需求人数同比上升了914.29%，其他需求同比上升了10.92%。</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从企业经济类型分内资企业占总企业需求的79.56%；在内资企业中，私营企业占比43.31%。个体经营占企业总需求的20.44%。</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与上一季度相比，内资企业需求人数环比下降了3.34%，个体经营需求人数环比上升了47.9%。</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与去年同期相比，内资企业需求人数同比上升了74.87%，个体经营需求人数同比下降了41.25%。</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jc w:val="both"/>
        <w:textAlignment w:val="auto"/>
        <w:rPr>
          <w:rFonts w:hint="eastAsia" w:ascii="仿宋_GB2312" w:hAnsi="仿宋_GB2312" w:eastAsia="仿宋_GB2312" w:cs="仿宋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表4. 按经济类型分组的需求人数</w:t>
      </w:r>
    </w:p>
    <w:tbl>
      <w:tblPr>
        <w:tblStyle w:val="10"/>
        <w:tblW w:w="8446" w:type="dxa"/>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2374"/>
        <w:gridCol w:w="1200"/>
        <w:gridCol w:w="1171"/>
        <w:gridCol w:w="1769"/>
        <w:gridCol w:w="193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900"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经济类型</w:t>
            </w:r>
          </w:p>
        </w:tc>
        <w:tc>
          <w:tcPr>
            <w:tcW w:w="71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 (人)</w:t>
            </w:r>
          </w:p>
        </w:tc>
        <w:tc>
          <w:tcPr>
            <w:tcW w:w="6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 (%)</w:t>
            </w:r>
          </w:p>
        </w:tc>
        <w:tc>
          <w:tcPr>
            <w:tcW w:w="104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11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2" w:name="OLE_LINK13" w:colFirst="1" w:colLast="1"/>
            <w:r>
              <w:rPr>
                <w:rFonts w:hint="eastAsia" w:ascii="Times New Roman" w:hAnsi="Times New Roman" w:eastAsia="仿宋_GB2312" w:cs="Times New Roman"/>
                <w:b/>
                <w:bCs/>
                <w:color w:val="auto"/>
                <w:kern w:val="2"/>
                <w:sz w:val="24"/>
                <w:szCs w:val="24"/>
                <w:highlight w:val="none"/>
                <w:lang w:val="en-US" w:eastAsia="zh-CN" w:bidi="ar-SA"/>
              </w:rPr>
              <w:t>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11,862</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96.85</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4.03</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24.56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其中：内资企业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9,438</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79.56</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-3.34</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74.87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国有企业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268</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2.26</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-76.28</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553.66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集体企业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0.21</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66.67</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股份合作企业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107</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0.90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365.22</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-31.85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联营企业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1,114</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9.39</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有限责任公司</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1,306</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11.01</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67.44</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14.76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82"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股份有限公司</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1,315</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11.09</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34.18</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272.52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私营企业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5,138</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43.31</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-22.63</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50.45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其它企业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165</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1.39</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-15.38</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-43.69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港、澳、台投资企业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外商投资企业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     个体经营</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2,424</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20.44</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47.90</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-41.25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3" w:name="OLE_LINK1" w:colFirst="2" w:colLast="2"/>
            <w:r>
              <w:rPr>
                <w:rFonts w:hint="eastAsia" w:ascii="Times New Roman" w:hAnsi="Times New Roman" w:eastAsia="仿宋_GB2312" w:cs="Times New Roman"/>
                <w:b/>
                <w:bCs/>
                <w:color w:val="auto"/>
                <w:kern w:val="2"/>
                <w:sz w:val="24"/>
                <w:szCs w:val="24"/>
                <w:highlight w:val="none"/>
                <w:lang w:val="en-US" w:eastAsia="zh-CN" w:bidi="ar-SA"/>
              </w:rPr>
              <w:t>事业</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71</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0.58</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-43.20</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914.29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机关</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0.00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其他</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315</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2.57</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1331.82</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10.92</w:t>
            </w:r>
          </w:p>
        </w:tc>
      </w:tr>
      <w:bookmarkEnd w:id="3"/>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67" w:hRule="atLeast"/>
          <w:tblCellSpacing w:w="0" w:type="dxa"/>
          <w:jc w:val="center"/>
        </w:trPr>
        <w:tc>
          <w:tcPr>
            <w:tcW w:w="1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20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12,248</w:t>
            </w:r>
          </w:p>
        </w:tc>
        <w:tc>
          <w:tcPr>
            <w:tcW w:w="117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176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6.04</w:t>
            </w:r>
          </w:p>
        </w:tc>
        <w:tc>
          <w:tcPr>
            <w:tcW w:w="193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24.47</w:t>
            </w:r>
          </w:p>
        </w:tc>
      </w:tr>
      <w:bookmarkEnd w:id="2"/>
    </w:tbl>
    <w:p>
      <w:pPr>
        <w:pStyle w:val="9"/>
        <w:spacing w:line="300" w:lineRule="atLeast"/>
        <w:jc w:val="both"/>
        <w:rPr>
          <w:rFonts w:hint="eastAsia"/>
          <w:color w:val="C00000"/>
          <w:sz w:val="28"/>
          <w:szCs w:val="28"/>
          <w:highlight w:val="none"/>
        </w:rPr>
      </w:pPr>
      <w:r>
        <w:rPr>
          <w:rFonts w:hint="eastAsia"/>
          <w:b/>
          <w:bCs/>
          <w:color w:val="C00000"/>
          <w:sz w:val="28"/>
          <w:szCs w:val="28"/>
          <w:highlight w:val="none"/>
          <w:lang w:eastAsia="zh-CN"/>
        </w:rPr>
        <w:drawing>
          <wp:anchor distT="0" distB="0" distL="114300" distR="114300" simplePos="0" relativeHeight="251661312" behindDoc="1" locked="0" layoutInCell="1" allowOverlap="1">
            <wp:simplePos x="0" y="0"/>
            <wp:positionH relativeFrom="column">
              <wp:posOffset>248920</wp:posOffset>
            </wp:positionH>
            <wp:positionV relativeFrom="paragraph">
              <wp:posOffset>4151630</wp:posOffset>
            </wp:positionV>
            <wp:extent cx="5046980" cy="3830955"/>
            <wp:effectExtent l="4445" t="4445" r="15875" b="12700"/>
            <wp:wrapTight wrapText="bothSides">
              <wp:wrapPolygon>
                <wp:start x="-19" y="-25"/>
                <wp:lineTo x="-19" y="21564"/>
                <wp:lineTo x="21505" y="21564"/>
                <wp:lineTo x="21505" y="-25"/>
                <wp:lineTo x="-19" y="-25"/>
              </wp:wrapPolygon>
            </wp:wrapTight>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rPr>
          <w:rFonts w:hint="eastAsia"/>
          <w:b/>
          <w:bCs/>
          <w:color w:val="C00000"/>
          <w:sz w:val="28"/>
          <w:szCs w:val="28"/>
          <w:highlight w:val="none"/>
          <w:lang w:eastAsia="zh-CN"/>
        </w:rPr>
        <w:drawing>
          <wp:anchor distT="0" distB="0" distL="114300" distR="114300" simplePos="0" relativeHeight="251660288" behindDoc="0" locked="0" layoutInCell="1" allowOverlap="1">
            <wp:simplePos x="0" y="0"/>
            <wp:positionH relativeFrom="column">
              <wp:posOffset>280670</wp:posOffset>
            </wp:positionH>
            <wp:positionV relativeFrom="paragraph">
              <wp:posOffset>-1905</wp:posOffset>
            </wp:positionV>
            <wp:extent cx="4983480" cy="3957955"/>
            <wp:effectExtent l="5080" t="4445" r="21590" b="19050"/>
            <wp:wrapSquare wrapText="bothSides"/>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pStyle w:val="9"/>
        <w:spacing w:line="300" w:lineRule="atLeast"/>
        <w:jc w:val="center"/>
        <w:rPr>
          <w:rFonts w:hint="eastAsia"/>
          <w:color w:val="C00000"/>
          <w:sz w:val="28"/>
          <w:szCs w:val="28"/>
          <w:highlight w:val="none"/>
        </w:rPr>
        <w:sectPr>
          <w:pgSz w:w="11906" w:h="16838"/>
          <w:pgMar w:top="2098" w:right="1474" w:bottom="2041" w:left="1587" w:header="851" w:footer="992" w:gutter="0"/>
          <w:pgNumType w:fmt="decimal"/>
          <w:cols w:space="425" w:num="1"/>
          <w:docGrid w:type="lines" w:linePitch="312" w:charSpace="0"/>
        </w:sect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default"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eastAsia="zh-CN"/>
        </w:rPr>
        <w:t>四</w:t>
      </w:r>
      <w:r>
        <w:rPr>
          <w:rFonts w:hint="eastAsia" w:ascii="黑体" w:hAnsi="黑体" w:eastAsia="黑体" w:cs="黑体"/>
          <w:b w:val="0"/>
          <w:bCs w:val="0"/>
          <w:color w:val="auto"/>
          <w:sz w:val="32"/>
          <w:szCs w:val="32"/>
          <w:highlight w:val="none"/>
          <w:lang w:val="en-US" w:eastAsia="zh-CN"/>
        </w:rPr>
        <w:t>、</w:t>
      </w:r>
      <w:r>
        <w:rPr>
          <w:rFonts w:hint="eastAsia" w:ascii="黑体" w:hAnsi="黑体" w:eastAsia="黑体" w:cs="黑体"/>
          <w:b w:val="0"/>
          <w:bCs w:val="0"/>
          <w:color w:val="auto"/>
          <w:sz w:val="32"/>
          <w:szCs w:val="32"/>
          <w:highlight w:val="none"/>
          <w:lang w:eastAsia="zh-CN"/>
        </w:rPr>
        <w:t>按职业供求情况分析</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按职业分组需求情况看，社会生产服务和生活服务人员占比23.04%，办事人员和有关人员占比21.86%，生产制造及有关人员占比19.55%，专业技术人员占比8.29%，农林牧渔业生产及辅助人员占比2.69%，单位负责人占比2.64%，其他占比21.94%。</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按职业分组求职情况看，办事人员和有关人员占比23.75%，社会生产服务和生活服务人员占比19.34%，生产制造及有关人员占比11.34%，专业技术人员占比9.32%，农林牧渔业生产及辅助人员占比2.62%，单位负责人占比2.54%，其他占比23.1%。</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yellow"/>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从职业分组需求看，办事人员和有关人员，社会生产服务和生活服务人员的需求人数分别环比下降了14.93%，8.61%，其余均有所上升。与去年同期相比，专业技术人员，社会生产服务和生活服务人员的需求人数分别同比减少了49.88%，4.73%，其余均有所上升。</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中，与上一季度相比，生产制造及有关人员的求职人数环比下降33.09%，其余均有所上升。与去年同期相比，专业技术人员，社会生产服务和生活服务人员，生产制造及有关人员求职人数分别同比下降8.93%，0.29%，2.26%，其余均有所上升。</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eastAsia" w:ascii="Times New Roman" w:hAnsi="Times New Roman" w:eastAsia="仿宋_GB2312" w:cs="Times New Roman"/>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eastAsia" w:ascii="Times New Roman" w:hAnsi="Times New Roman" w:eastAsia="仿宋_GB2312" w:cs="Times New Roman"/>
          <w:color w:val="C00000"/>
          <w:kern w:val="2"/>
          <w:sz w:val="32"/>
          <w:szCs w:val="32"/>
          <w:highlight w:val="none"/>
          <w:lang w:val="en-US" w:eastAsia="zh-CN" w:bidi="ar-SA"/>
        </w:rPr>
        <w:sectPr>
          <w:pgSz w:w="11906" w:h="16838"/>
          <w:pgMar w:top="2098" w:right="1474" w:bottom="2041" w:left="1587" w:header="851" w:footer="992" w:gutter="0"/>
          <w:pgNumType w:fmt="decimal"/>
          <w:cols w:space="425" w:num="1"/>
          <w:docGrid w:type="lines" w:linePitch="312" w:charSpace="0"/>
        </w:sect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表5. 按职业分组的供求人数</w:t>
      </w:r>
    </w:p>
    <w:tbl>
      <w:tblPr>
        <w:tblStyle w:val="10"/>
        <w:tblW w:w="4997"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2594"/>
        <w:gridCol w:w="863"/>
        <w:gridCol w:w="905"/>
        <w:gridCol w:w="1102"/>
        <w:gridCol w:w="1278"/>
        <w:gridCol w:w="853"/>
        <w:gridCol w:w="937"/>
        <w:gridCol w:w="1102"/>
        <w:gridCol w:w="1286"/>
        <w:gridCol w:w="850"/>
        <w:gridCol w:w="1046"/>
        <w:gridCol w:w="1160"/>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blCellSpacing w:w="0" w:type="dxa"/>
          <w:jc w:val="center"/>
        </w:trPr>
        <w:tc>
          <w:tcPr>
            <w:tcW w:w="928"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职业类别</w:t>
            </w:r>
          </w:p>
        </w:tc>
        <w:tc>
          <w:tcPr>
            <w:tcW w:w="4071" w:type="pct"/>
            <w:gridSpan w:val="11"/>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劳动力供求人数比较</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560" w:hRule="atLeast"/>
          <w:tblCellSpacing w:w="0" w:type="dxa"/>
          <w:jc w:val="center"/>
        </w:trPr>
        <w:tc>
          <w:tcPr>
            <w:tcW w:w="928" w:type="pct"/>
            <w:vMerge w:val="continue"/>
            <w:tcBorders>
              <w:top w:val="outset" w:color="auto" w:sz="6" w:space="0"/>
              <w:left w:val="outset" w:color="auto" w:sz="6" w:space="0"/>
              <w:bottom w:val="outset" w:color="auto" w:sz="6" w:space="0"/>
              <w:right w:val="outset" w:color="auto" w:sz="6" w:space="0"/>
            </w:tcBorders>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30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需求人数(人)</w:t>
            </w:r>
          </w:p>
        </w:tc>
        <w:tc>
          <w:tcPr>
            <w:tcW w:w="3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需求比重 (%)</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45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c>
          <w:tcPr>
            <w:tcW w:w="3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 人数(人)</w:t>
            </w: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求职比重 (%)</w:t>
            </w:r>
          </w:p>
        </w:tc>
        <w:tc>
          <w:tcPr>
            <w:tcW w:w="39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4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与去年同期相比求职变化（%)</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 倍率</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 度相比 供求变化</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与去年同期相比供求变化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4" w:name="OLE_LINK16" w:colFirst="9" w:colLast="9"/>
            <w:bookmarkStart w:id="5" w:name="OLE_LINK14" w:colFirst="1" w:colLast="1"/>
            <w:bookmarkStart w:id="6" w:name="OLE_LINK15" w:colFirst="5" w:colLast="5"/>
            <w:r>
              <w:rPr>
                <w:rFonts w:hint="eastAsia" w:ascii="Times New Roman" w:hAnsi="Times New Roman" w:eastAsia="仿宋_GB2312" w:cs="Times New Roman"/>
                <w:b/>
                <w:bCs/>
                <w:color w:val="auto"/>
                <w:kern w:val="2"/>
                <w:sz w:val="24"/>
                <w:szCs w:val="24"/>
                <w:highlight w:val="none"/>
                <w:lang w:val="en-US" w:eastAsia="zh-CN" w:bidi="ar-SA"/>
              </w:rPr>
              <w:t>单位负责人</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323</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2.64</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707.50</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319.48</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222</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2.54</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2366.67</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184.62</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1.34</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-1.87</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-3.57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专业技术人员</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1,015</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8.29</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5.62</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-49.88</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816</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9.32</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28.10</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-8.93</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1.16</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-0.18</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-11.08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办事人员和有关人员</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2,678</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21.86</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-14.93</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29.37</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2,079</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23.75</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14.11</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83.66</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1.20</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-0.31</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-10.61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spacing w:val="1"/>
                <w:w w:val="76"/>
                <w:kern w:val="0"/>
                <w:sz w:val="24"/>
                <w:szCs w:val="24"/>
                <w:highlight w:val="none"/>
                <w:fitText w:val="2400" w:id="2006327536"/>
                <w:lang w:val="en-US" w:eastAsia="zh-CN" w:bidi="ar-SA"/>
              </w:rPr>
              <w:t>社会生产服务和生活服务人</w:t>
            </w:r>
            <w:r>
              <w:rPr>
                <w:rFonts w:hint="eastAsia" w:ascii="Times New Roman" w:hAnsi="Times New Roman" w:eastAsia="仿宋_GB2312" w:cs="Times New Roman"/>
                <w:b/>
                <w:bCs/>
                <w:color w:val="auto"/>
                <w:spacing w:val="-3"/>
                <w:w w:val="76"/>
                <w:kern w:val="0"/>
                <w:sz w:val="24"/>
                <w:szCs w:val="24"/>
                <w:highlight w:val="none"/>
                <w:fitText w:val="2400" w:id="2006327536"/>
                <w:lang w:val="en-US" w:eastAsia="zh-CN" w:bidi="ar-SA"/>
              </w:rPr>
              <w:t>员</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2,822</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23.04</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-8.61</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-4.73</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1,693</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19.34</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18.81</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-0.29</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1.52</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-0.31</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-7.66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spacing w:val="0"/>
                <w:w w:val="83"/>
                <w:kern w:val="0"/>
                <w:sz w:val="24"/>
                <w:szCs w:val="24"/>
                <w:highlight w:val="none"/>
                <w:fitText w:val="2400" w:id="-1151379540"/>
                <w:lang w:val="en-US" w:eastAsia="zh-CN" w:bidi="ar-SA"/>
              </w:rPr>
              <w:t>农林牧渔业生产及辅助人员</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329</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2.69</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257.61</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196.40</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229</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2.62</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2190.00</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78.91</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1.33</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-3.81</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生产制造及有关人员</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2,394</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19.55</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24.11</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48.97</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993</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11.34</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-33.09</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-2.26</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2.12</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0.95</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-8.47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其他</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2,687</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21.94</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17.23</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171.96</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2,022</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23.10</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134.84</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268.98</w:t>
            </w:r>
          </w:p>
        </w:tc>
        <w:tc>
          <w:tcPr>
            <w:tcW w:w="85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1.24</w:t>
            </w:r>
          </w:p>
        </w:tc>
        <w:tc>
          <w:tcPr>
            <w:tcW w:w="104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-0.93</w:t>
            </w:r>
          </w:p>
        </w:tc>
        <w:tc>
          <w:tcPr>
            <w:tcW w:w="116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-11.14</w:t>
            </w:r>
          </w:p>
        </w:tc>
      </w:tr>
      <w:bookmarkEnd w:id="4"/>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1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无要求</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700</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8.00</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-29.08</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360.53</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40" w:hRule="atLeast"/>
          <w:tblCellSpacing w:w="0" w:type="dxa"/>
          <w:jc w:val="center"/>
        </w:trPr>
        <w:tc>
          <w:tcPr>
            <w:tcW w:w="92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86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12,248</w:t>
            </w:r>
          </w:p>
        </w:tc>
        <w:tc>
          <w:tcPr>
            <w:tcW w:w="905"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u w:val="none"/>
                <w:lang w:val="en-US" w:eastAsia="zh-CN" w:bidi="ar"/>
              </w:rPr>
              <w:t>100</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6.04</w:t>
            </w:r>
          </w:p>
        </w:tc>
        <w:tc>
          <w:tcPr>
            <w:tcW w:w="127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24.47</w:t>
            </w:r>
          </w:p>
        </w:tc>
        <w:tc>
          <w:tcPr>
            <w:tcW w:w="85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8,754</w:t>
            </w:r>
          </w:p>
        </w:tc>
        <w:tc>
          <w:tcPr>
            <w:tcW w:w="93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10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21.00</w:t>
            </w:r>
          </w:p>
        </w:tc>
        <w:tc>
          <w:tcPr>
            <w:tcW w:w="12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54.99</w:t>
            </w:r>
          </w:p>
        </w:tc>
        <w:tc>
          <w:tcPr>
            <w:tcW w:w="30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7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5"/>
      <w:bookmarkEnd w:id="6"/>
    </w:tbl>
    <w:p>
      <w:pPr>
        <w:pStyle w:val="2"/>
        <w:ind w:left="0" w:leftChars="0" w:firstLine="0" w:firstLineChars="0"/>
        <w:rPr>
          <w:rFonts w:hint="eastAsia" w:eastAsia="宋体"/>
          <w:color w:val="auto"/>
          <w:sz w:val="22"/>
          <w:szCs w:val="22"/>
          <w:highlight w:val="none"/>
          <w:lang w:eastAsia="zh-CN"/>
        </w:rPr>
      </w:pPr>
    </w:p>
    <w:p>
      <w:pPr>
        <w:pStyle w:val="2"/>
        <w:ind w:left="0" w:leftChars="0" w:firstLine="0" w:firstLineChars="0"/>
        <w:rPr>
          <w:rFonts w:hint="eastAsia" w:eastAsia="宋体"/>
          <w:color w:val="C00000"/>
          <w:sz w:val="22"/>
          <w:szCs w:val="22"/>
          <w:highlight w:val="none"/>
          <w:lang w:eastAsia="zh-CN"/>
        </w:rPr>
      </w:pPr>
      <w:r>
        <w:rPr>
          <w:rFonts w:hint="eastAsia"/>
          <w:color w:val="C00000"/>
          <w:sz w:val="22"/>
          <w:szCs w:val="22"/>
          <w:highlight w:val="none"/>
          <w:lang w:val="en-US" w:eastAsia="zh-CN"/>
        </w:rPr>
        <w:t xml:space="preserve">  </w:t>
      </w:r>
      <w:r>
        <w:rPr>
          <w:rFonts w:hint="eastAsia" w:eastAsia="宋体"/>
          <w:color w:val="C00000"/>
          <w:sz w:val="22"/>
          <w:szCs w:val="22"/>
          <w:highlight w:val="none"/>
          <w:lang w:eastAsia="zh-CN"/>
        </w:rPr>
        <w:drawing>
          <wp:inline distT="0" distB="0" distL="114300" distR="114300">
            <wp:extent cx="8515350" cy="4865370"/>
            <wp:effectExtent l="4445" t="4445" r="14605" b="698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2"/>
        <w:ind w:left="0" w:leftChars="0" w:firstLine="0" w:firstLineChars="0"/>
        <w:rPr>
          <w:rFonts w:hint="eastAsia" w:eastAsia="宋体"/>
          <w:color w:val="C00000"/>
          <w:sz w:val="22"/>
          <w:szCs w:val="22"/>
          <w:highlight w:val="none"/>
          <w:lang w:eastAsia="zh-CN"/>
        </w:rPr>
      </w:pPr>
    </w:p>
    <w:p>
      <w:pPr>
        <w:pStyle w:val="2"/>
        <w:ind w:left="0" w:leftChars="0" w:firstLine="0" w:firstLineChars="0"/>
        <w:rPr>
          <w:rFonts w:hint="eastAsia" w:eastAsia="宋体"/>
          <w:color w:val="C00000"/>
          <w:sz w:val="22"/>
          <w:szCs w:val="22"/>
          <w:highlight w:val="none"/>
          <w:lang w:eastAsia="zh-CN"/>
        </w:rPr>
        <w:sectPr>
          <w:pgSz w:w="16838" w:h="11906" w:orient="landscape"/>
          <w:pgMar w:top="1800" w:right="1474" w:bottom="1800" w:left="1440" w:header="851" w:footer="992" w:gutter="0"/>
          <w:pgNumType w:fmt="decimal"/>
          <w:cols w:space="425" w:num="1"/>
          <w:docGrid w:type="lines" w:linePitch="312" w:charSpace="0"/>
        </w:sect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eastAsia="zh-CN"/>
        </w:rPr>
        <w:t>五</w:t>
      </w:r>
      <w:r>
        <w:rPr>
          <w:rFonts w:hint="eastAsia" w:ascii="黑体" w:hAnsi="黑体" w:eastAsia="黑体" w:cs="黑体"/>
          <w:b w:val="0"/>
          <w:bCs w:val="0"/>
          <w:color w:val="auto"/>
          <w:sz w:val="32"/>
          <w:szCs w:val="32"/>
          <w:highlight w:val="none"/>
          <w:lang w:val="en-US" w:eastAsia="zh-CN"/>
        </w:rPr>
        <w:t>、</w:t>
      </w:r>
      <w:r>
        <w:rPr>
          <w:rFonts w:hint="eastAsia" w:ascii="黑体" w:hAnsi="黑体" w:eastAsia="黑体" w:cs="黑体"/>
          <w:b w:val="0"/>
          <w:bCs w:val="0"/>
          <w:color w:val="auto"/>
          <w:sz w:val="32"/>
          <w:szCs w:val="32"/>
          <w:highlight w:val="none"/>
          <w:lang w:eastAsia="zh-CN"/>
        </w:rPr>
        <w:t>需求大于、小于求职缺口最大的前十个职业分析</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当前，我盟结构性就业矛盾仍较为突出。从2024年第四季度我盟各地公共就业服务机构统计数据可以看出，劳动力出现短缺的前十个岗位依次是其他金属冶炼和压延加工人员，露天采矿工，快递员，井下采矿工，国际快递业务师，兽医，邮件分拣员，保洁员，餐厅服务员，其他住宿和餐饮服务人员。</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color w:val="C00000"/>
          <w:sz w:val="22"/>
          <w:szCs w:val="22"/>
          <w:highlight w:val="none"/>
        </w:rPr>
      </w:pPr>
      <w:r>
        <w:rPr>
          <w:rFonts w:hint="eastAsia" w:ascii="仿宋_GB2312" w:hAnsi="仿宋_GB2312" w:eastAsia="仿宋_GB2312" w:cs="仿宋_GB2312"/>
          <w:color w:val="auto"/>
          <w:kern w:val="2"/>
          <w:sz w:val="32"/>
          <w:szCs w:val="32"/>
          <w:highlight w:val="none"/>
          <w:lang w:val="en-US" w:eastAsia="zh-CN" w:bidi="ar-SA"/>
        </w:rPr>
        <w:t>同时，我盟各地劳动力市场出现劳动力富余的前十个岗位依次是其他专业技术人员，装卸搬运工，其他行政办事及辅助人员，营销员，会计专业人员，小学教师，乳品加工工，企业人力资源管理师，行政办事员，其他社会生产服务和生活服务人员。</w:t>
      </w: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2"/>
        <w:rPr>
          <w:rFonts w:hint="eastAsia"/>
          <w:color w:val="C00000"/>
          <w:sz w:val="22"/>
          <w:szCs w:val="22"/>
          <w:highlight w:val="none"/>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表6.需求大于求职缺口最大的前十个职业（职业小类）</w:t>
      </w:r>
    </w:p>
    <w:tbl>
      <w:tblPr>
        <w:tblStyle w:val="10"/>
        <w:tblpPr w:leftFromText="180" w:rightFromText="180" w:vertAnchor="text" w:horzAnchor="page" w:tblpX="1663" w:tblpY="598"/>
        <w:tblOverlap w:val="never"/>
        <w:tblW w:w="4927"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904"/>
        <w:gridCol w:w="1273"/>
        <w:gridCol w:w="1303"/>
        <w:gridCol w:w="1147"/>
        <w:gridCol w:w="1148"/>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173" w:hRule="atLeast"/>
          <w:tblCellSpacing w:w="0" w:type="dxa"/>
        </w:trPr>
        <w:tc>
          <w:tcPr>
            <w:tcW w:w="222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项目</w:t>
            </w:r>
          </w:p>
        </w:tc>
        <w:tc>
          <w:tcPr>
            <w:tcW w:w="7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w:t>
            </w:r>
          </w:p>
        </w:tc>
        <w:tc>
          <w:tcPr>
            <w:tcW w:w="7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w:t>
            </w:r>
          </w:p>
        </w:tc>
        <w:tc>
          <w:tcPr>
            <w:tcW w:w="6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缺口数</w:t>
            </w:r>
          </w:p>
        </w:tc>
        <w:tc>
          <w:tcPr>
            <w:tcW w:w="65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其他金属冶炼和压延加工人员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750</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410</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340</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露天采矿工</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123</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63</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快递员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250</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190</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井下采矿工</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49</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43</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8.17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国际快递业务师</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126</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84</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42</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兽医</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78</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45</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33</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1.73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邮件分拣员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70</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保洁员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120</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90</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餐厅服务员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45</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25</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9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其他住宿和餐饮服务人员</w:t>
            </w:r>
          </w:p>
        </w:tc>
        <w:tc>
          <w:tcPr>
            <w:tcW w:w="127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99</w:t>
            </w:r>
          </w:p>
        </w:tc>
        <w:tc>
          <w:tcPr>
            <w:tcW w:w="130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84</w:t>
            </w:r>
          </w:p>
        </w:tc>
        <w:tc>
          <w:tcPr>
            <w:tcW w:w="114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114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1.18</w:t>
            </w:r>
          </w:p>
        </w:tc>
      </w:tr>
    </w:tbl>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表7.需求小于求职缺口最大的前十个职业（职业小类）</w:t>
      </w:r>
    </w:p>
    <w:tbl>
      <w:tblPr>
        <w:tblStyle w:val="10"/>
        <w:tblpPr w:leftFromText="180" w:rightFromText="180" w:vertAnchor="text" w:horzAnchor="page" w:tblpX="1888" w:tblpY="598"/>
        <w:tblOverlap w:val="never"/>
        <w:tblW w:w="4729"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144"/>
        <w:gridCol w:w="1377"/>
        <w:gridCol w:w="1336"/>
        <w:gridCol w:w="1244"/>
        <w:gridCol w:w="1321"/>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173" w:hRule="atLeast"/>
          <w:tblCellSpacing w:w="0" w:type="dxa"/>
        </w:trPr>
        <w:tc>
          <w:tcPr>
            <w:tcW w:w="186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项目</w:t>
            </w:r>
          </w:p>
        </w:tc>
        <w:tc>
          <w:tcPr>
            <w:tcW w:w="81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w:t>
            </w:r>
          </w:p>
        </w:tc>
        <w:tc>
          <w:tcPr>
            <w:tcW w:w="79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w:t>
            </w:r>
          </w:p>
        </w:tc>
        <w:tc>
          <w:tcPr>
            <w:tcW w:w="73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缺口数</w:t>
            </w:r>
          </w:p>
        </w:tc>
        <w:tc>
          <w:tcPr>
            <w:tcW w:w="78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其他专业技术人员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175</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293</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118</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装卸搬运工</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240</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0.80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其他行政办事及辅助人员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74</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44</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营销员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41</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82</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41</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会计专业人员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40</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77</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37</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小学教师</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i w:val="0"/>
                <w:iCs w:val="0"/>
                <w:color w:val="auto"/>
                <w:sz w:val="24"/>
                <w:szCs w:val="24"/>
                <w:highlight w:val="none"/>
                <w:u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乳品加工工</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企业人力资源管理师</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42</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80"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行政办事员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51</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708" w:hRule="atLeast"/>
          <w:tblCellSpacing w:w="0" w:type="dxa"/>
        </w:trPr>
        <w:tc>
          <w:tcPr>
            <w:tcW w:w="31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left"/>
              <w:textAlignment w:val="center"/>
              <w:rPr>
                <w:rFonts w:hint="eastAsia" w:ascii="仿宋_GB2312" w:hAnsi="仿宋_GB2312" w:eastAsia="仿宋_GB2312" w:cs="仿宋_GB2312"/>
                <w:b/>
                <w:bCs/>
                <w:color w:val="auto"/>
                <w:kern w:val="2"/>
                <w:sz w:val="24"/>
                <w:szCs w:val="24"/>
                <w:highlight w:val="none"/>
                <w:lang w:val="en-US" w:eastAsia="zh-CN" w:bidi="ar-SA"/>
              </w:rPr>
            </w:pPr>
            <w:r>
              <w:rPr>
                <w:rFonts w:hint="eastAsia" w:ascii="仿宋_GB2312" w:hAnsi="仿宋_GB2312" w:eastAsia="仿宋_GB2312" w:cs="仿宋_GB2312"/>
                <w:b/>
                <w:bCs/>
                <w:i w:val="0"/>
                <w:iCs w:val="0"/>
                <w:color w:val="000000"/>
                <w:kern w:val="0"/>
                <w:sz w:val="24"/>
                <w:szCs w:val="24"/>
                <w:u w:val="none"/>
                <w:lang w:val="en-US" w:eastAsia="zh-CN" w:bidi="ar"/>
              </w:rPr>
              <w:t>其他社会生产服务和生活服务人员</w:t>
            </w:r>
          </w:p>
        </w:tc>
        <w:tc>
          <w:tcPr>
            <w:tcW w:w="137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w:t>
            </w:r>
          </w:p>
        </w:tc>
        <w:tc>
          <w:tcPr>
            <w:tcW w:w="133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w:t>
            </w:r>
          </w:p>
        </w:tc>
        <w:tc>
          <w:tcPr>
            <w:tcW w:w="124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w:t>
            </w:r>
          </w:p>
        </w:tc>
        <w:tc>
          <w:tcPr>
            <w:tcW w:w="132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b w:val="0"/>
                <w:bCs w:val="0"/>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0.60</w:t>
            </w:r>
          </w:p>
        </w:tc>
      </w:tr>
    </w:tbl>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spacing w:line="300" w:lineRule="atLeast"/>
        <w:jc w:val="center"/>
        <w:rPr>
          <w:rFonts w:hint="eastAsia"/>
          <w:color w:val="C00000"/>
          <w:sz w:val="22"/>
          <w:szCs w:val="22"/>
          <w:highlight w:val="none"/>
        </w:rPr>
      </w:pPr>
      <w:r>
        <w:rPr>
          <w:rFonts w:hint="eastAsia"/>
          <w:color w:val="C00000"/>
          <w:sz w:val="22"/>
          <w:szCs w:val="22"/>
          <w:highlight w:val="none"/>
        </w:rPr>
        <w:t xml:space="preserve"> </w:t>
      </w:r>
    </w:p>
    <w:p>
      <w:pPr>
        <w:pStyle w:val="9"/>
        <w:spacing w:line="300" w:lineRule="atLeast"/>
        <w:jc w:val="center"/>
        <w:rPr>
          <w:rFonts w:hint="eastAsia"/>
          <w:color w:val="C00000"/>
          <w:sz w:val="22"/>
          <w:szCs w:val="22"/>
          <w:highlight w:val="none"/>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六、求职人员分类</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求职者按类别区分，失业人员占比29.18%，新成长失业青年占比24.96%，其中应届高校毕业生占比38.63%。外地户籍求职人员占比20.15%，本市农村求职人员占比9.34%，在业人员和退休人员占比分别为14.71%、1.66%。</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与上一季度相比，退休人员环比上升229.55%，外地户籍求职人员环比上升148.80%，新成长失业青年环比上升137.24%，本市农村求职人员环比上升42.76%，在业人员环比上升10.09%，失业人员环比下降33.11%。</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与去年同期相比，在业人员同比上升3803.03%，外地户籍求职人员同比上升417.30%，退休人员同比上升95.95%，本市农村求职人员同比上升67.97%，新成长失业青年同比上升19.20%，失业人员同比下降10.48%。</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640" w:firstLineChars="200"/>
        <w:textAlignment w:val="auto"/>
        <w:rPr>
          <w:rFonts w:hint="default" w:ascii="Times New Roman" w:hAnsi="Times New Roman" w:eastAsia="仿宋_GB2312" w:cs="Times New Roman"/>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color w:val="auto"/>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表8. 按求职人员类别分组的求职人数</w:t>
      </w:r>
    </w:p>
    <w:tbl>
      <w:tblPr>
        <w:tblStyle w:val="10"/>
        <w:tblpPr w:leftFromText="180" w:rightFromText="180" w:vertAnchor="text" w:horzAnchor="page" w:tblpX="1560" w:tblpY="917"/>
        <w:tblOverlap w:val="never"/>
        <w:tblW w:w="5006" w:type="pct"/>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014"/>
        <w:gridCol w:w="1356"/>
        <w:gridCol w:w="1276"/>
        <w:gridCol w:w="1518"/>
        <w:gridCol w:w="175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585"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求职人员类别</w:t>
            </w:r>
          </w:p>
        </w:tc>
        <w:tc>
          <w:tcPr>
            <w:tcW w:w="76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71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w:t>
            </w:r>
          </w:p>
        </w:tc>
        <w:tc>
          <w:tcPr>
            <w:tcW w:w="85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9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与去年同期相比求职变化(%)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7" w:name="OLE_LINK17" w:colFirst="1" w:colLast="1"/>
            <w:r>
              <w:rPr>
                <w:rFonts w:hint="eastAsia" w:ascii="Times New Roman" w:hAnsi="Times New Roman" w:eastAsia="仿宋_GB2312" w:cs="Times New Roman"/>
                <w:b/>
                <w:bCs/>
                <w:color w:val="auto"/>
                <w:kern w:val="2"/>
                <w:sz w:val="24"/>
                <w:szCs w:val="24"/>
                <w:highlight w:val="none"/>
                <w:lang w:val="en-US" w:eastAsia="zh-CN" w:bidi="ar-SA"/>
              </w:rPr>
              <w:t>新成长失业青年 </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2,185</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24.96</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137.24</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19.20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firstLine="481" w:firstLineChars="200"/>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其中：应届高校毕业生</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844</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38.63</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88.81</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140.46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失业人员</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2,554</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29.18</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-33.11</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-10.48</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在业人员</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1,288</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14.71</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10.09</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3803.03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退休人员</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145</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1.66</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229.55</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95.95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在学人员</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0.00</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本市农村求职人员</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818</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9.34</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42.76</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67.97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78"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外地户籍求职人员</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1,764</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20.15</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148.80</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417.30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935" w:hRule="atLeast"/>
          <w:tblCellSpacing w:w="0" w:type="dxa"/>
        </w:trPr>
        <w:tc>
          <w:tcPr>
            <w:tcW w:w="16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35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8,754</w:t>
            </w:r>
          </w:p>
        </w:tc>
        <w:tc>
          <w:tcPr>
            <w:tcW w:w="127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51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21.00</w:t>
            </w:r>
          </w:p>
        </w:tc>
        <w:tc>
          <w:tcPr>
            <w:tcW w:w="175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54.99</w:t>
            </w:r>
          </w:p>
        </w:tc>
      </w:tr>
      <w:bookmarkEnd w:id="7"/>
    </w:tbl>
    <w:p>
      <w:pPr>
        <w:pStyle w:val="9"/>
        <w:spacing w:line="300" w:lineRule="atLeast"/>
        <w:jc w:val="center"/>
        <w:rPr>
          <w:rFonts w:hint="eastAsia"/>
          <w:color w:val="C00000"/>
          <w:sz w:val="22"/>
          <w:szCs w:val="22"/>
          <w:highlight w:val="none"/>
          <w:lang w:eastAsia="zh-CN"/>
        </w:rPr>
        <w:sectPr>
          <w:pgSz w:w="11906" w:h="16838"/>
          <w:pgMar w:top="2098" w:right="1474" w:bottom="2041" w:left="1587" w:header="851" w:footer="992" w:gutter="0"/>
          <w:pgNumType w:fmt="decimal"/>
          <w:cols w:space="425" w:num="1"/>
          <w:docGrid w:type="lines" w:linePitch="312" w:charSpace="0"/>
        </w:sectPr>
      </w:pPr>
    </w:p>
    <w:p>
      <w:pPr>
        <w:pStyle w:val="9"/>
        <w:spacing w:line="300" w:lineRule="atLeast"/>
        <w:jc w:val="center"/>
        <w:rPr>
          <w:rFonts w:hint="eastAsia"/>
          <w:color w:val="C00000"/>
          <w:sz w:val="22"/>
          <w:szCs w:val="22"/>
          <w:highlight w:val="none"/>
          <w:lang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color w:val="C00000"/>
          <w:sz w:val="22"/>
          <w:szCs w:val="22"/>
          <w:highlight w:val="none"/>
          <w:lang w:eastAsia="zh-CN"/>
        </w:rPr>
        <w:drawing>
          <wp:inline distT="0" distB="0" distL="114300" distR="114300">
            <wp:extent cx="8119745" cy="5481955"/>
            <wp:effectExtent l="4445" t="5080" r="10160" b="1841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eastAsia="zh-CN"/>
        </w:rPr>
      </w:pPr>
      <w:r>
        <w:rPr>
          <w:rFonts w:hint="eastAsia" w:ascii="黑体" w:hAnsi="黑体" w:eastAsia="黑体" w:cs="黑体"/>
          <w:b w:val="0"/>
          <w:bCs w:val="0"/>
          <w:color w:val="auto"/>
          <w:sz w:val="32"/>
          <w:szCs w:val="32"/>
          <w:highlight w:val="none"/>
          <w:lang w:eastAsia="zh-CN"/>
        </w:rPr>
        <w:t>七、招聘、应聘条件分析</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（一）性别。</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本季度男性求职者4694人，占比53.62%，女性求职者4060人，占比46.38%。</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与上一季度相比，男性求职者增加了579人，环比上升14.07%，女性求职者增加了940人，环比上升了30.13%。</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与去年同期相比，男性求职者增加了2072人，同比上升79.02%，女性求职者增加了1034人，同比上升34.17%。</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C00000"/>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表9. 按性别分组的供求人数</w:t>
      </w:r>
    </w:p>
    <w:tbl>
      <w:tblPr>
        <w:tblStyle w:val="10"/>
        <w:tblW w:w="4906"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753"/>
        <w:gridCol w:w="1610"/>
        <w:gridCol w:w="1617"/>
        <w:gridCol w:w="1886"/>
        <w:gridCol w:w="1872"/>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397" w:hRule="atLeast"/>
          <w:tblCellSpacing w:w="0" w:type="dxa"/>
          <w:jc w:val="center"/>
        </w:trPr>
        <w:tc>
          <w:tcPr>
            <w:tcW w:w="100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求职人员性别</w:t>
            </w:r>
          </w:p>
        </w:tc>
        <w:tc>
          <w:tcPr>
            <w:tcW w:w="92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9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所占比重(%)</w:t>
            </w:r>
          </w:p>
        </w:tc>
        <w:tc>
          <w:tcPr>
            <w:tcW w:w="107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107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 求职变化(%)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799" w:hRule="atLeast"/>
          <w:tblCellSpacing w:w="0" w:type="dxa"/>
          <w:jc w:val="center"/>
        </w:trPr>
        <w:tc>
          <w:tcPr>
            <w:tcW w:w="100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highlight w:val="none"/>
                <w:lang w:val="en-US" w:eastAsia="zh-CN" w:bidi="ar-SA"/>
              </w:rPr>
            </w:pPr>
            <w:bookmarkStart w:id="8" w:name="OLE_LINK24" w:colFirst="1" w:colLast="1"/>
            <w:r>
              <w:rPr>
                <w:rFonts w:hint="eastAsia" w:ascii="Times New Roman" w:hAnsi="Times New Roman" w:eastAsia="仿宋_GB2312" w:cs="Times New Roman"/>
                <w:color w:val="auto"/>
                <w:kern w:val="2"/>
                <w:sz w:val="24"/>
                <w:szCs w:val="24"/>
                <w:highlight w:val="none"/>
                <w:lang w:val="en-US" w:eastAsia="zh-CN" w:bidi="ar-SA"/>
              </w:rPr>
              <w:t>男</w:t>
            </w:r>
          </w:p>
        </w:tc>
        <w:tc>
          <w:tcPr>
            <w:tcW w:w="16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4,694</w:t>
            </w:r>
          </w:p>
        </w:tc>
        <w:tc>
          <w:tcPr>
            <w:tcW w:w="161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53.62</w:t>
            </w:r>
          </w:p>
        </w:tc>
        <w:tc>
          <w:tcPr>
            <w:tcW w:w="18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14.07</w:t>
            </w:r>
          </w:p>
        </w:tc>
        <w:tc>
          <w:tcPr>
            <w:tcW w:w="187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79.02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799" w:hRule="atLeast"/>
          <w:tblCellSpacing w:w="0" w:type="dxa"/>
          <w:jc w:val="center"/>
        </w:trPr>
        <w:tc>
          <w:tcPr>
            <w:tcW w:w="100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女</w:t>
            </w:r>
          </w:p>
        </w:tc>
        <w:tc>
          <w:tcPr>
            <w:tcW w:w="16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4,060</w:t>
            </w:r>
          </w:p>
        </w:tc>
        <w:tc>
          <w:tcPr>
            <w:tcW w:w="161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46.38</w:t>
            </w:r>
          </w:p>
        </w:tc>
        <w:tc>
          <w:tcPr>
            <w:tcW w:w="18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30.13</w:t>
            </w:r>
          </w:p>
        </w:tc>
        <w:tc>
          <w:tcPr>
            <w:tcW w:w="187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34.17</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815" w:hRule="atLeast"/>
          <w:tblCellSpacing w:w="0" w:type="dxa"/>
          <w:jc w:val="center"/>
        </w:trPr>
        <w:tc>
          <w:tcPr>
            <w:tcW w:w="100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highlight w:val="none"/>
                <w:lang w:val="en-US" w:eastAsia="zh-CN" w:bidi="ar-SA"/>
              </w:rPr>
            </w:pPr>
            <w:r>
              <w:rPr>
                <w:rFonts w:hint="eastAsia" w:ascii="Times New Roman" w:hAnsi="Times New Roman" w:eastAsia="仿宋_GB2312" w:cs="Times New Roman"/>
                <w:color w:val="auto"/>
                <w:kern w:val="2"/>
                <w:sz w:val="24"/>
                <w:szCs w:val="24"/>
                <w:highlight w:val="none"/>
                <w:lang w:val="en-US" w:eastAsia="zh-CN" w:bidi="ar-SA"/>
              </w:rPr>
              <w:t>合计</w:t>
            </w:r>
          </w:p>
        </w:tc>
        <w:tc>
          <w:tcPr>
            <w:tcW w:w="161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8,754</w:t>
            </w:r>
          </w:p>
        </w:tc>
        <w:tc>
          <w:tcPr>
            <w:tcW w:w="161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100.00</w:t>
            </w:r>
          </w:p>
        </w:tc>
        <w:tc>
          <w:tcPr>
            <w:tcW w:w="188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21.00</w:t>
            </w:r>
          </w:p>
        </w:tc>
        <w:tc>
          <w:tcPr>
            <w:tcW w:w="187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54.99</w:t>
            </w:r>
          </w:p>
        </w:tc>
      </w:tr>
      <w:bookmarkEnd w:id="8"/>
    </w:tbl>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ind w:left="0" w:leftChars="0" w:firstLine="0" w:firstLineChars="0"/>
        <w:jc w:val="center"/>
        <w:textAlignment w:val="auto"/>
        <w:rPr>
          <w:rFonts w:hint="eastAsia" w:ascii="Times New Roman" w:hAnsi="Times New Roman" w:eastAsia="仿宋_GB2312" w:cs="Times New Roman"/>
          <w:color w:val="auto"/>
          <w:kern w:val="2"/>
          <w:sz w:val="24"/>
          <w:szCs w:val="24"/>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color w:val="C00000"/>
          <w:sz w:val="22"/>
          <w:szCs w:val="22"/>
          <w:highlight w:val="none"/>
        </w:rPr>
        <w:sectPr>
          <w:pgSz w:w="11906" w:h="16838"/>
          <w:pgMar w:top="2098" w:right="1474" w:bottom="2041" w:left="1587" w:header="851" w:footer="992" w:gutter="0"/>
          <w:pgNumType w:fmt="decimal"/>
          <w:cols w:space="425" w:num="1"/>
          <w:docGrid w:type="lines" w:linePitch="312" w:charSpace="0"/>
        </w:sect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440" w:firstLineChars="200"/>
        <w:textAlignment w:val="auto"/>
        <w:rPr>
          <w:rFonts w:hint="eastAsia" w:ascii="楷体_GB2312" w:hAnsi="楷体_GB2312" w:eastAsia="楷体_GB2312" w:cs="楷体_GB2312"/>
          <w:color w:val="C00000"/>
          <w:kern w:val="2"/>
          <w:sz w:val="32"/>
          <w:szCs w:val="32"/>
          <w:highlight w:val="none"/>
          <w:lang w:val="en-US" w:eastAsia="zh-CN" w:bidi="ar-SA"/>
        </w:rPr>
      </w:pPr>
      <w:r>
        <w:rPr>
          <w:rFonts w:hint="eastAsia" w:eastAsia="宋体"/>
          <w:color w:val="C00000"/>
          <w:sz w:val="22"/>
          <w:szCs w:val="22"/>
          <w:highlight w:val="none"/>
          <w:lang w:eastAsia="zh-CN"/>
        </w:rPr>
        <w:drawing>
          <wp:anchor distT="0" distB="0" distL="114300" distR="114300" simplePos="0" relativeHeight="251662336" behindDoc="0" locked="0" layoutInCell="1" allowOverlap="1">
            <wp:simplePos x="0" y="0"/>
            <wp:positionH relativeFrom="column">
              <wp:posOffset>78740</wp:posOffset>
            </wp:positionH>
            <wp:positionV relativeFrom="paragraph">
              <wp:posOffset>100330</wp:posOffset>
            </wp:positionV>
            <wp:extent cx="5416550" cy="3618230"/>
            <wp:effectExtent l="4445" t="4445" r="8255" b="15875"/>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textAlignment w:val="auto"/>
        <w:rPr>
          <w:rFonts w:hint="eastAsia" w:ascii="楷体_GB2312" w:hAnsi="楷体_GB2312" w:eastAsia="楷体_GB2312" w:cs="楷体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C00000"/>
          <w:kern w:val="2"/>
          <w:sz w:val="32"/>
          <w:szCs w:val="32"/>
          <w:highlight w:val="none"/>
          <w:lang w:val="en-US" w:eastAsia="zh-CN" w:bidi="ar-SA"/>
        </w:r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（二）年龄。</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用人单位需求用人年龄在16-24岁人员占11.32%，25-34岁人员占比28.21%，35-44岁人员占27.12%，45岁以上人员占9.1%，对年龄无要求的占24.26%。</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与上一季度相比，需求年龄在16-24岁的环比上升了71.96%，在25-34岁的环比下降了2.54%，在35-44岁的环比下降了10.14%，45岁以上的环比上升了63.1%，对年龄无要求的环比上升了5.39%。</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与去年同期相比，需求年龄在16-24岁的同比下降了39%，在25-34岁的同比下降了15.17%，在35-44岁的同比上升了75.3%，45岁以上的同比上升了132.57%，对年龄无要求的同比上升了165.03%。</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求职者的年龄在16-24岁人员占17.15%，25-34岁的占比32.86%，35-44岁人员占29.02%，45岁以上的占比20.97%。</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与上一季度相比，求职年龄在16-24岁的环比上升了148.92%，在25-34岁的环比上升了44.28%，在35-44岁的环比上升了8.41%，45岁以上的环比下降了20%。</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与去年同期相比，求职年龄在16-24岁的同比上升了4.38%，在25-34岁的同比上升了34.13%，在35-44岁的同比上升了83.53%，45岁以上的同比上升了169.6%。</w:t>
      </w:r>
    </w:p>
    <w:p>
      <w:pPr>
        <w:pStyle w:val="9"/>
        <w:keepNext w:val="0"/>
        <w:keepLines w:val="0"/>
        <w:pageBreakBefore w:val="0"/>
        <w:widowControl/>
        <w:kinsoku/>
        <w:wordWrap/>
        <w:overflowPunct/>
        <w:topLinePunct w:val="0"/>
        <w:autoSpaceDE/>
        <w:autoSpaceDN/>
        <w:bidi w:val="0"/>
        <w:adjustRightInd/>
        <w:snapToGrid/>
        <w:spacing w:beforeAutospacing="0" w:afterAutospacing="0" w:line="560" w:lineRule="exact"/>
        <w:ind w:firstLine="640" w:firstLineChars="200"/>
        <w:jc w:val="center"/>
        <w:textAlignment w:val="auto"/>
        <w:rPr>
          <w:rFonts w:hint="eastAsia" w:ascii="仿宋_GB2312" w:hAnsi="仿宋_GB2312" w:eastAsia="仿宋_GB2312" w:cs="仿宋_GB2312"/>
          <w:color w:val="C00000"/>
          <w:sz w:val="32"/>
          <w:szCs w:val="32"/>
          <w:highlight w:val="none"/>
        </w:rPr>
        <w:sectPr>
          <w:pgSz w:w="11906" w:h="16838"/>
          <w:pgMar w:top="2098" w:right="1474" w:bottom="2041" w:left="1587" w:header="851" w:footer="992" w:gutter="0"/>
          <w:pgNumType w:fmt="decimal"/>
          <w:cols w:space="425" w:num="1"/>
          <w:docGrid w:type="lines" w:linePitch="312" w:charSpace="0"/>
        </w:sect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表10. 按年龄分组的供求人数</w:t>
      </w:r>
    </w:p>
    <w:tbl>
      <w:tblPr>
        <w:tblStyle w:val="10"/>
        <w:tblW w:w="4998"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1527"/>
        <w:gridCol w:w="1140"/>
        <w:gridCol w:w="1188"/>
        <w:gridCol w:w="1123"/>
        <w:gridCol w:w="1123"/>
        <w:gridCol w:w="1140"/>
        <w:gridCol w:w="1188"/>
        <w:gridCol w:w="1123"/>
        <w:gridCol w:w="1123"/>
        <w:gridCol w:w="1224"/>
        <w:gridCol w:w="1019"/>
        <w:gridCol w:w="1151"/>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75" w:hRule="atLeast"/>
          <w:tblCellSpacing w:w="0" w:type="dxa"/>
          <w:jc w:val="center"/>
        </w:trPr>
        <w:tc>
          <w:tcPr>
            <w:tcW w:w="543"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年龄 　</w:t>
            </w:r>
          </w:p>
        </w:tc>
        <w:tc>
          <w:tcPr>
            <w:tcW w:w="4456" w:type="pct"/>
            <w:gridSpan w:val="11"/>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劳动力供求人数比较</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2372" w:hRule="atLeast"/>
          <w:tblCellSpacing w:w="0" w:type="dxa"/>
          <w:jc w:val="center"/>
        </w:trPr>
        <w:tc>
          <w:tcPr>
            <w:tcW w:w="543" w:type="pct"/>
            <w:vMerge w:val="continue"/>
            <w:tcBorders>
              <w:top w:val="outset" w:color="auto" w:sz="6" w:space="0"/>
              <w:left w:val="outset" w:color="auto" w:sz="6" w:space="0"/>
              <w:bottom w:val="outset" w:color="auto" w:sz="6" w:space="0"/>
              <w:right w:val="outset" w:color="auto" w:sz="6" w:space="0"/>
            </w:tcBorders>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 (人)</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需求比重(%)</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c>
          <w:tcPr>
            <w:tcW w:w="40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 (人)</w:t>
            </w:r>
          </w:p>
        </w:tc>
        <w:tc>
          <w:tcPr>
            <w:tcW w:w="42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求职比重(%)</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399"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与去年同期相比求职变化(%)</w:t>
            </w:r>
          </w:p>
        </w:tc>
        <w:tc>
          <w:tcPr>
            <w:tcW w:w="4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c>
          <w:tcPr>
            <w:tcW w:w="36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与上季度相比供求变化</w:t>
            </w:r>
          </w:p>
        </w:tc>
        <w:tc>
          <w:tcPr>
            <w:tcW w:w="40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与去年同期相比供求变化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9" w:name="OLE_LINK4" w:colFirst="5" w:colLast="6"/>
            <w:bookmarkStart w:id="10" w:name="OLE_LINK3" w:colFirst="2" w:colLast="2"/>
            <w:r>
              <w:rPr>
                <w:rFonts w:hint="eastAsia" w:ascii="Times New Roman" w:hAnsi="Times New Roman" w:eastAsia="仿宋_GB2312" w:cs="Times New Roman"/>
                <w:b/>
                <w:bCs/>
                <w:color w:val="auto"/>
                <w:kern w:val="2"/>
                <w:sz w:val="24"/>
                <w:szCs w:val="24"/>
                <w:highlight w:val="none"/>
                <w:lang w:val="en-US" w:eastAsia="zh-CN" w:bidi="ar-SA"/>
              </w:rPr>
              <w:t>16-24岁</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1,386</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11.32</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71.96</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-39.00</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1,501</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17.15</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148.92</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4.38</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1.26</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-0.47</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-0.74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25-34岁</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3,455</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28.21</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-2.54</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-15.17</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2,877</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32.86</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44.28</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34.13</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1.54</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-0.63</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51"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35-44岁</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3,322</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27.12</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-10.14</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75.30</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2,540</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29.02</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8.41</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83.53</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1.65</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-0.32</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0.24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45岁以上</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1,114</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9.10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63.10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132.57</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1,836</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20.97</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-20.00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169.60</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0.95</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0.26</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-0.1</w:t>
            </w:r>
          </w:p>
        </w:tc>
      </w:tr>
      <w:bookmarkEnd w:id="9"/>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36"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无要求</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2,971</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24.26</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5.39</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165.03</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r>
      <w:bookmarkEnd w:id="10"/>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675" w:hRule="atLeast"/>
          <w:tblCellSpacing w:w="0" w:type="dxa"/>
          <w:jc w:val="center"/>
        </w:trPr>
        <w:tc>
          <w:tcPr>
            <w:tcW w:w="54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12,248</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6.04</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24.47</w:t>
            </w:r>
          </w:p>
        </w:tc>
        <w:tc>
          <w:tcPr>
            <w:tcW w:w="114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8,754</w:t>
            </w:r>
          </w:p>
        </w:tc>
        <w:tc>
          <w:tcPr>
            <w:tcW w:w="1188"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21.00</w:t>
            </w:r>
          </w:p>
        </w:tc>
        <w:tc>
          <w:tcPr>
            <w:tcW w:w="112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54.99</w:t>
            </w:r>
          </w:p>
        </w:tc>
        <w:tc>
          <w:tcPr>
            <w:tcW w:w="122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1.40</w:t>
            </w:r>
          </w:p>
        </w:tc>
        <w:tc>
          <w:tcPr>
            <w:tcW w:w="101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-0.2</w:t>
            </w:r>
          </w:p>
        </w:tc>
        <w:tc>
          <w:tcPr>
            <w:tcW w:w="1151"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-0.17</w:t>
            </w:r>
          </w:p>
        </w:tc>
      </w:tr>
    </w:tbl>
    <w:p>
      <w:pPr>
        <w:pStyle w:val="9"/>
        <w:spacing w:line="300" w:lineRule="atLeast"/>
        <w:jc w:val="center"/>
        <w:rPr>
          <w:rFonts w:hint="eastAsia" w:eastAsia="宋体"/>
          <w:color w:val="C00000"/>
          <w:sz w:val="22"/>
          <w:szCs w:val="22"/>
          <w:highlight w:val="none"/>
          <w:lang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eastAsia="宋体"/>
          <w:color w:val="C00000"/>
          <w:sz w:val="22"/>
          <w:szCs w:val="22"/>
          <w:highlight w:val="none"/>
          <w:lang w:eastAsia="zh-CN"/>
        </w:rPr>
        <w:drawing>
          <wp:inline distT="0" distB="0" distL="114300" distR="114300">
            <wp:extent cx="8021955" cy="5262245"/>
            <wp:effectExtent l="4445" t="5080" r="1270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（三）文化程度。</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用人单位对需求的文化程度在初中及以下、高中的占比为12.03%和16.29%，要求学历为大专、本科的分别占岗位总数22.03%和13.28%，无学历要求的占36.37%；</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用人单位对文化程度要求在大专、本科和无学历要求的分别环比下降9.1%，10.56%和6.97%，其余需求均有不同程度的上升。与去年同期相比，要求初中及以下、本科学历和无要求的分别同比上升21.43%、37.76%和213.07%，其余文化程度需求均有所下降。</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求职者文化程度为初中及以下的占比21.86%，高中的占比为25.5%，大专的占比31.05%，本科及硕士以上的分别占比21.58%和0.01%。</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与上一季度相比，高中和硕士以上学历分别环比下降5.46%和87.5%，其余文化程度求职者均有所上升。与去年同期相比，求职者为初中及以下、高中、大专和本科学历分别同比上升了127.32%、6.74%、42.3%和134.66%。</w:t>
      </w:r>
    </w:p>
    <w:p>
      <w:pPr>
        <w:pStyle w:val="9"/>
        <w:spacing w:line="300" w:lineRule="atLeast"/>
        <w:jc w:val="center"/>
        <w:rPr>
          <w:rFonts w:hint="eastAsia"/>
          <w:color w:val="auto"/>
          <w:sz w:val="22"/>
          <w:szCs w:val="22"/>
          <w:highlight w:val="none"/>
        </w:rPr>
      </w:pPr>
      <w:r>
        <w:rPr>
          <w:rFonts w:hint="eastAsia"/>
          <w:color w:val="auto"/>
          <w:sz w:val="22"/>
          <w:szCs w:val="22"/>
          <w:highlight w:val="none"/>
        </w:rPr>
        <w:t>　</w:t>
      </w:r>
    </w:p>
    <w:p>
      <w:pPr>
        <w:pStyle w:val="9"/>
        <w:keepNext w:val="0"/>
        <w:keepLines w:val="0"/>
        <w:pageBreakBefore w:val="0"/>
        <w:widowControl/>
        <w:kinsoku/>
        <w:wordWrap/>
        <w:overflowPunct/>
        <w:topLinePunct w:val="0"/>
        <w:autoSpaceDE/>
        <w:autoSpaceDN/>
        <w:bidi w:val="0"/>
        <w:adjustRightInd/>
        <w:snapToGrid/>
        <w:spacing w:line="360" w:lineRule="auto"/>
        <w:ind w:firstLine="440" w:firstLineChars="200"/>
        <w:textAlignment w:val="auto"/>
        <w:rPr>
          <w:rFonts w:hint="eastAsia"/>
          <w:color w:val="C00000"/>
          <w:sz w:val="22"/>
          <w:szCs w:val="22"/>
          <w:highlight w:val="none"/>
        </w:rPr>
        <w:sectPr>
          <w:pgSz w:w="11906" w:h="16838"/>
          <w:pgMar w:top="2098" w:right="1474" w:bottom="2041" w:left="1587" w:header="851" w:footer="992" w:gutter="0"/>
          <w:pgNumType w:fmt="decimal"/>
          <w:cols w:space="425" w:num="1"/>
          <w:docGrid w:type="lines" w:linePitch="312" w:charSpace="0"/>
        </w:sect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表11. 按文化程度分组的供求人数</w:t>
      </w:r>
    </w:p>
    <w:tbl>
      <w:tblPr>
        <w:tblStyle w:val="10"/>
        <w:tblW w:w="4997"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2732"/>
        <w:gridCol w:w="943"/>
        <w:gridCol w:w="974"/>
        <w:gridCol w:w="1157"/>
        <w:gridCol w:w="1216"/>
        <w:gridCol w:w="867"/>
        <w:gridCol w:w="962"/>
        <w:gridCol w:w="1159"/>
        <w:gridCol w:w="1370"/>
        <w:gridCol w:w="704"/>
        <w:gridCol w:w="962"/>
        <w:gridCol w:w="962"/>
        <w:gridCol w:w="59"/>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550" w:hRule="atLeast"/>
          <w:tblCellSpacing w:w="0" w:type="dxa"/>
          <w:jc w:val="center"/>
        </w:trPr>
        <w:tc>
          <w:tcPr>
            <w:tcW w:w="971"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文化程度</w:t>
            </w:r>
          </w:p>
        </w:tc>
        <w:tc>
          <w:tcPr>
            <w:tcW w:w="4028" w:type="pct"/>
            <w:gridSpan w:val="12"/>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劳动力供求人数比较</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2041" w:hRule="atLeast"/>
          <w:tblCellSpacing w:w="0" w:type="dxa"/>
          <w:jc w:val="center"/>
        </w:trPr>
        <w:tc>
          <w:tcPr>
            <w:tcW w:w="971" w:type="pct"/>
            <w:vMerge w:val="continue"/>
            <w:tcBorders>
              <w:top w:val="outset" w:color="auto" w:sz="6" w:space="0"/>
              <w:left w:val="outset" w:color="auto" w:sz="6" w:space="0"/>
              <w:bottom w:val="outset" w:color="auto" w:sz="6" w:space="0"/>
              <w:right w:val="outset" w:color="auto" w:sz="6" w:space="0"/>
            </w:tcBorders>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33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需求人数(人)</w:t>
            </w:r>
          </w:p>
        </w:tc>
        <w:tc>
          <w:tcPr>
            <w:tcW w:w="34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需求比重(%)</w:t>
            </w:r>
          </w:p>
        </w:tc>
        <w:tc>
          <w:tcPr>
            <w:tcW w:w="41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与上季度相比需求变化(%)</w:t>
            </w:r>
          </w:p>
        </w:tc>
        <w:tc>
          <w:tcPr>
            <w:tcW w:w="43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与去年同期相比需求变化(%)</w:t>
            </w:r>
          </w:p>
        </w:tc>
        <w:tc>
          <w:tcPr>
            <w:tcW w:w="30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求职比重(%)</w:t>
            </w:r>
          </w:p>
        </w:tc>
        <w:tc>
          <w:tcPr>
            <w:tcW w:w="41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与上季度相比求职变化(%)</w:t>
            </w:r>
          </w:p>
        </w:tc>
        <w:tc>
          <w:tcPr>
            <w:tcW w:w="487"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与去年同期相比求职变化(%)</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求人倍率</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与上季度相比供求变化</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 同期相比供求变化</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11" w:name="OLE_LINK6" w:colFirst="5" w:colLast="5"/>
            <w:bookmarkStart w:id="12" w:name="OLE_LINK8" w:colFirst="6" w:colLast="6"/>
            <w:bookmarkStart w:id="13" w:name="OLE_LINK26" w:colFirst="5" w:colLast="6"/>
            <w:bookmarkStart w:id="14" w:name="OLE_LINK23" w:colFirst="9" w:colLast="9"/>
            <w:bookmarkStart w:id="15" w:name="OLE_LINK25" w:colFirst="1" w:colLast="2"/>
            <w:bookmarkStart w:id="16" w:name="OLE_LINK7" w:colFirst="2" w:colLast="2"/>
            <w:bookmarkStart w:id="17" w:name="OLE_LINK5" w:colFirst="1" w:colLast="1"/>
            <w:bookmarkStart w:id="18" w:name="OLE_LINK22" w:colFirst="1" w:colLast="1"/>
            <w:r>
              <w:rPr>
                <w:rFonts w:hint="eastAsia" w:ascii="Times New Roman" w:hAnsi="Times New Roman" w:eastAsia="仿宋_GB2312" w:cs="Times New Roman"/>
                <w:b/>
                <w:bCs/>
                <w:color w:val="auto"/>
                <w:kern w:val="2"/>
                <w:sz w:val="24"/>
                <w:szCs w:val="24"/>
                <w:highlight w:val="none"/>
                <w:lang w:val="en-US" w:eastAsia="zh-CN" w:bidi="ar-SA"/>
              </w:rPr>
              <w:t>初中及以下</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1,473</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12.03</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413.24</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21.43</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1,914</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21.86</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12.92</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127.32</w:t>
            </w:r>
          </w:p>
        </w:tc>
        <w:tc>
          <w:tcPr>
            <w:tcW w:w="7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1.28</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0.45</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-0.41</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高中</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1,995</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16.29</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19.68</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-31.65</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2,232</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25.50</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-5.46</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6.74</w:t>
            </w:r>
          </w:p>
        </w:tc>
        <w:tc>
          <w:tcPr>
            <w:tcW w:w="7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1.40</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0.03</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68"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其中：职高、技校、中专</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719</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36.04</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-16.97</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-57.81</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620</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27.78</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-2.05</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-32.02</w:t>
            </w:r>
          </w:p>
        </w:tc>
        <w:tc>
          <w:tcPr>
            <w:tcW w:w="7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1.82</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-0.83</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-0.83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大专</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2,698</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22.03</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-9.10</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-12.23</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2,718</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31.05</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58.21</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42.30</w:t>
            </w:r>
          </w:p>
        </w:tc>
        <w:tc>
          <w:tcPr>
            <w:tcW w:w="7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1.50</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-0.89</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大学</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1,627</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13.28</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-10.56</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37.76</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1,889</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21.58</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30.01</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134.66</w:t>
            </w:r>
          </w:p>
        </w:tc>
        <w:tc>
          <w:tcPr>
            <w:tcW w:w="7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1.37</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-0.54</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-1.12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硕士以上</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0.00</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0.01</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-87.50</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70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0.45</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-2.71</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11"/>
      <w:bookmarkEnd w:id="12"/>
      <w:bookmarkEnd w:id="13"/>
      <w:bookmarkEnd w:id="14"/>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22"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both"/>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无要求</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4,455</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36.37</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-6.97</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213.07</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15"/>
      <w:bookmarkEnd w:id="16"/>
      <w:bookmarkEnd w:id="17"/>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gridAfter w:val="1"/>
          <w:wAfter w:w="15" w:type="pct"/>
          <w:trHeight w:val="550" w:hRule="atLeast"/>
          <w:tblCellSpacing w:w="0" w:type="dxa"/>
          <w:jc w:val="center"/>
        </w:trPr>
        <w:tc>
          <w:tcPr>
            <w:tcW w:w="971"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943"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12,248</w:t>
            </w:r>
          </w:p>
        </w:tc>
        <w:tc>
          <w:tcPr>
            <w:tcW w:w="974"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15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6.04</w:t>
            </w:r>
          </w:p>
        </w:tc>
        <w:tc>
          <w:tcPr>
            <w:tcW w:w="1216"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24.47</w:t>
            </w:r>
          </w:p>
        </w:tc>
        <w:tc>
          <w:tcPr>
            <w:tcW w:w="867"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8,754</w:t>
            </w:r>
          </w:p>
        </w:tc>
        <w:tc>
          <w:tcPr>
            <w:tcW w:w="962"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1159"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21.00</w:t>
            </w:r>
          </w:p>
        </w:tc>
        <w:tc>
          <w:tcPr>
            <w:tcW w:w="1370" w:type="dxa"/>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54.99</w:t>
            </w:r>
          </w:p>
        </w:tc>
        <w:tc>
          <w:tcPr>
            <w:tcW w:w="25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4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18"/>
    </w:tbl>
    <w:p>
      <w:pPr>
        <w:pStyle w:val="9"/>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宋体"/>
          <w:color w:val="C00000"/>
          <w:sz w:val="22"/>
          <w:szCs w:val="22"/>
          <w:highlight w:val="none"/>
          <w:lang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color w:val="C00000"/>
          <w:sz w:val="22"/>
          <w:szCs w:val="22"/>
          <w:highlight w:val="none"/>
          <w:lang w:val="en-US" w:eastAsia="zh-CN"/>
        </w:rPr>
        <w:t xml:space="preserve">    </w:t>
      </w:r>
      <w:r>
        <w:rPr>
          <w:rFonts w:hint="eastAsia" w:eastAsia="宋体"/>
          <w:color w:val="C00000"/>
          <w:sz w:val="22"/>
          <w:szCs w:val="22"/>
          <w:highlight w:val="none"/>
          <w:lang w:eastAsia="zh-CN"/>
        </w:rPr>
        <w:drawing>
          <wp:inline distT="0" distB="0" distL="114300" distR="114300">
            <wp:extent cx="8438515" cy="5502275"/>
            <wp:effectExtent l="4445" t="4445" r="15240" b="17780"/>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（四）技术等级或职称。</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用人单位对技术等级无要求的占66.25%，要求初级专业技术职务和职业资格五级的占比为16.36%和13.12%，中级专业技术职务和职业资格四级的占比为2.28%和1.49%；职业资格三级和二级的占比为0.45%、0.05%。</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一季度相比，对技术等级无要求的减少了1147人，环比下降12.39%，需求初级专业技术职务增加了1187人，环比上升145.29%，需求中级专业技术职务的减少了278人，环比下降49.91%。职业资格五级需求人数增加了958人，环比上升147.61%，职业资格四级需求人数增加了9人，环比上升5.17%。职业资格三级需求人数增加了42人，环比上升323.08%，职业资格二级需求人数增加了2人，环比上升50%。</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对技术等级无要求的增加了5480人，同比上升208.05%，需求初级专业技术职务、中级专业技术职务的人数分别减少了1586人和2056人，同比下降44.18%和88.05%，职业资格五级、三级、二级需求人数分别增加了812人、26人、2人，同比上升了102.14%、89.66%和50%，职业资格四级需求人数减少了206人，同比下降52.96%，职业资格一级需求人数减少2人。</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求职者无技术等级或职称的占比58.96%，初级专业技术职务和职业资格五级的占比为15.82%和17.55%，中级专业技术职务和职业资格四级的占比为1.51%和5.09%；职业资格二、三级的占比为0.48%、0.59%。</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上季度相比，求职者为初级专业技术职务的增加了831人，环比上升了150%，为职业资格五级的增加了945人，环比上升159.9%，为中级专业技术职务的减少了1人，环比下降0.75%，为职业资格四级的增加了331人，环比上升287.83%，为职业资格三级的增加了47人，环比上升940%，无技术等级或职称的减少了634人，环比下降了10.94%。</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与去年同期相比，无技术等级或职称的增加了1790人，同比上升53.1%，职业资格五级、四级、三级、二级的求职者分别增加了1137人、372人、45人、5人，同比上升284.96%、502.7%、642.86%、13.51%，初级专业技术职务增加了511人，同比上升58.47%，中级专业技术职务减少了725人，同比下降84.6%，高级专业技术职务减少了29人。</w:t>
      </w:r>
    </w:p>
    <w:p>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textAlignment w:val="auto"/>
        <w:rPr>
          <w:rFonts w:hint="eastAsia" w:ascii="仿宋_GB2312" w:hAnsi="仿宋_GB2312" w:eastAsia="仿宋_GB2312" w:cs="仿宋_GB2312"/>
          <w:color w:val="C00000"/>
          <w:sz w:val="32"/>
          <w:szCs w:val="32"/>
          <w:highlight w:val="none"/>
          <w:lang w:val="en-US" w:eastAsia="zh-CN"/>
        </w:rPr>
        <w:sectPr>
          <w:pgSz w:w="11906" w:h="16838"/>
          <w:pgMar w:top="2098" w:right="1474" w:bottom="2041" w:left="1587" w:header="851" w:footer="992" w:gutter="0"/>
          <w:pgNumType w:fmt="decimal"/>
          <w:cols w:space="425" w:num="1"/>
          <w:docGrid w:type="lines" w:linePitch="312" w:charSpace="0"/>
        </w:sectPr>
      </w:pP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color w:val="auto"/>
          <w:kern w:val="2"/>
          <w:sz w:val="28"/>
          <w:szCs w:val="28"/>
          <w:highlight w:val="none"/>
          <w:lang w:val="en-US" w:eastAsia="zh-CN" w:bidi="ar-SA"/>
        </w:rPr>
      </w:pPr>
      <w:r>
        <w:rPr>
          <w:rFonts w:hint="eastAsia" w:ascii="Times New Roman" w:hAnsi="Times New Roman" w:eastAsia="仿宋_GB2312" w:cs="Times New Roman"/>
          <w:color w:val="auto"/>
          <w:kern w:val="2"/>
          <w:sz w:val="28"/>
          <w:szCs w:val="28"/>
          <w:highlight w:val="none"/>
          <w:lang w:val="en-US" w:eastAsia="zh-CN" w:bidi="ar-SA"/>
        </w:rPr>
        <w:t>表12. 按技术等级分组的供求人数</w:t>
      </w:r>
    </w:p>
    <w:tbl>
      <w:tblPr>
        <w:tblStyle w:val="10"/>
        <w:tblW w:w="4997" w:type="pct"/>
        <w:jc w:val="center"/>
        <w:tblCellSpacing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108" w:type="dxa"/>
          <w:bottom w:w="0" w:type="dxa"/>
          <w:right w:w="108" w:type="dxa"/>
        </w:tblCellMar>
      </w:tblPr>
      <w:tblGrid>
        <w:gridCol w:w="3045"/>
        <w:gridCol w:w="993"/>
        <w:gridCol w:w="993"/>
        <w:gridCol w:w="993"/>
        <w:gridCol w:w="1097"/>
        <w:gridCol w:w="900"/>
        <w:gridCol w:w="993"/>
        <w:gridCol w:w="1002"/>
        <w:gridCol w:w="1114"/>
        <w:gridCol w:w="884"/>
        <w:gridCol w:w="915"/>
        <w:gridCol w:w="1138"/>
      </w:tblGrid>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vMerge w:val="restar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技术等级</w:t>
            </w:r>
          </w:p>
        </w:tc>
        <w:tc>
          <w:tcPr>
            <w:tcW w:w="3917" w:type="pct"/>
            <w:gridSpan w:val="11"/>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劳动力供求人数比较</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1254" w:hRule="atLeast"/>
          <w:tblCellSpacing w:w="0" w:type="dxa"/>
          <w:jc w:val="center"/>
        </w:trPr>
        <w:tc>
          <w:tcPr>
            <w:tcW w:w="1082" w:type="pct"/>
            <w:vMerge w:val="continue"/>
            <w:tcBorders>
              <w:top w:val="outset" w:color="auto" w:sz="6" w:space="0"/>
              <w:left w:val="outset" w:color="auto" w:sz="6" w:space="0"/>
              <w:bottom w:val="outset" w:color="auto" w:sz="6" w:space="0"/>
              <w:right w:val="outset" w:color="auto" w:sz="6" w:space="0"/>
            </w:tcBorders>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需求人数(人)</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需求比重(%)</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求职人数(人)</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求职比重(%)</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24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与去年同期相比(%)</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求人</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倍率</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与上季度相比</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与去年 同期相比</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bookmarkStart w:id="19" w:name="OLE_LINK29" w:colFirst="9" w:colLast="9"/>
            <w:bookmarkStart w:id="20" w:name="OLE_LINK10" w:colFirst="5" w:colLast="5"/>
            <w:bookmarkStart w:id="21" w:name="OLE_LINK11" w:colFirst="6" w:colLast="6"/>
            <w:bookmarkStart w:id="22" w:name="OLE_LINK9" w:colFirst="1" w:colLast="1"/>
            <w:bookmarkStart w:id="23" w:name="OLE_LINK27" w:colFirst="1" w:colLast="1"/>
            <w:bookmarkStart w:id="24" w:name="OLE_LINK28" w:colFirst="5" w:colLast="5"/>
            <w:r>
              <w:rPr>
                <w:rFonts w:hint="eastAsia" w:ascii="Times New Roman" w:hAnsi="Times New Roman" w:eastAsia="仿宋_GB2312" w:cs="Times New Roman"/>
                <w:b/>
                <w:bCs/>
                <w:color w:val="auto"/>
                <w:kern w:val="2"/>
                <w:sz w:val="24"/>
                <w:szCs w:val="24"/>
                <w:highlight w:val="none"/>
                <w:lang w:val="en-US" w:eastAsia="zh-CN" w:bidi="ar-SA"/>
              </w:rPr>
              <w:t>职业资格五级(初级技能)</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1,607</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13.12</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147.61</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102.14</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1,536</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17.55</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159.90</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284.96</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1.97</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-0.41</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0.46</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职业资格四级(中级技能)</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183</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1.49</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5.17</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-52.96</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446</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5.09</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287.83</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502.70</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1.34</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-1.45</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-4.43</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职业资格三级(高级技能)</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55</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0.45</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323.08</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89.66</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52</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0.59</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940.00</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642.86</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1.98</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-1.92</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-2.69</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职业资格二级(技师)</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0.05</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50.00</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50.00</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42</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0.48</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13.51</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1.07</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-0.30</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0.45</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职业资格一级(高级技师)</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0.00</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0.00</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0.00</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初级专业技术职务</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2,004</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16.36</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145.29</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-44.18</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1,385</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15.82</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150.00</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58.47</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2.37</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-0.39</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-0.14</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中级专业技术职务</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279</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2.28</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-49.91</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-88.05</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132</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1.51</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-0.75</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-84.60</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3.04</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-2.43</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-0.2</w:t>
            </w:r>
          </w:p>
        </w:tc>
      </w:tr>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高级专业技术职务</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0.00</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0.00</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0.00</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-2.65</w:t>
            </w:r>
          </w:p>
        </w:tc>
      </w:tr>
      <w:bookmarkEnd w:id="19"/>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无技术等级或职称</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5,161</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58.96</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-10.94</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53.10</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0.93</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-0.35</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0.42</w:t>
            </w:r>
          </w:p>
        </w:tc>
      </w:tr>
      <w:bookmarkEnd w:id="20"/>
      <w:bookmarkEnd w:id="21"/>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left"/>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无要求</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8,114</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66.25</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-12.39</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208.05</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jc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494949"/>
                <w:kern w:val="0"/>
                <w:sz w:val="24"/>
                <w:szCs w:val="24"/>
                <w:u w:val="none"/>
                <w:lang w:val="en-US" w:eastAsia="zh-CN" w:bidi="ar"/>
              </w:rPr>
              <w:t>——</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22"/>
      <w:tr>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108" w:type="dxa"/>
            <w:bottom w:w="0" w:type="dxa"/>
            <w:right w:w="108" w:type="dxa"/>
          </w:tblCellMar>
        </w:tblPrEx>
        <w:trPr>
          <w:trHeight w:val="454" w:hRule="atLeast"/>
          <w:tblCellSpacing w:w="0" w:type="dxa"/>
          <w:jc w:val="center"/>
        </w:trPr>
        <w:tc>
          <w:tcPr>
            <w:tcW w:w="1082"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eastAsia" w:ascii="Times New Roman" w:hAnsi="Times New Roman" w:eastAsia="仿宋_GB2312" w:cs="Times New Roman"/>
                <w:b/>
                <w:bCs/>
                <w:color w:val="auto"/>
                <w:kern w:val="2"/>
                <w:sz w:val="24"/>
                <w:szCs w:val="24"/>
                <w:highlight w:val="none"/>
                <w:lang w:val="en-US" w:eastAsia="zh-CN" w:bidi="ar-SA"/>
              </w:rPr>
            </w:pPr>
            <w:r>
              <w:rPr>
                <w:rFonts w:hint="eastAsia" w:ascii="Times New Roman" w:hAnsi="Times New Roman" w:eastAsia="仿宋_GB2312" w:cs="Times New Roman"/>
                <w:b/>
                <w:bCs/>
                <w:color w:val="auto"/>
                <w:kern w:val="2"/>
                <w:sz w:val="24"/>
                <w:szCs w:val="24"/>
                <w:highlight w:val="none"/>
                <w:lang w:val="en-US" w:eastAsia="zh-CN" w:bidi="ar-SA"/>
              </w:rPr>
              <w:t>合计</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12,248</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6.04</w:t>
            </w:r>
          </w:p>
        </w:tc>
        <w:tc>
          <w:tcPr>
            <w:tcW w:w="39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24.47</w:t>
            </w:r>
          </w:p>
        </w:tc>
        <w:tc>
          <w:tcPr>
            <w:tcW w:w="320"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8,754</w:t>
            </w:r>
          </w:p>
        </w:tc>
        <w:tc>
          <w:tcPr>
            <w:tcW w:w="353"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100</w:t>
            </w:r>
          </w:p>
        </w:tc>
        <w:tc>
          <w:tcPr>
            <w:tcW w:w="35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21.00</w:t>
            </w:r>
          </w:p>
        </w:tc>
        <w:tc>
          <w:tcPr>
            <w:tcW w:w="396"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000000"/>
                <w:kern w:val="0"/>
                <w:sz w:val="24"/>
                <w:szCs w:val="24"/>
                <w:u w:val="none"/>
                <w:lang w:val="en-US" w:eastAsia="zh-CN" w:bidi="ar"/>
              </w:rPr>
              <w:t>54.99</w:t>
            </w:r>
          </w:p>
        </w:tc>
        <w:tc>
          <w:tcPr>
            <w:tcW w:w="314"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宋体" w:cs="Times New Roman"/>
                <w:i w:val="0"/>
                <w:iCs w:val="0"/>
                <w:color w:val="auto"/>
                <w:kern w:val="0"/>
                <w:sz w:val="24"/>
                <w:szCs w:val="24"/>
                <w:highlight w:val="none"/>
                <w:u w:val="none"/>
                <w:lang w:val="en-US" w:eastAsia="zh-CN" w:bidi="ar"/>
              </w:rPr>
              <w:t>——</w:t>
            </w:r>
          </w:p>
        </w:tc>
        <w:tc>
          <w:tcPr>
            <w:tcW w:w="325"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c>
          <w:tcPr>
            <w:tcW w:w="398" w:type="pct"/>
            <w:tcBorders>
              <w:top w:val="outset" w:color="auto" w:sz="6" w:space="0"/>
              <w:left w:val="outset" w:color="auto" w:sz="6" w:space="0"/>
              <w:bottom w:val="outset" w:color="auto" w:sz="6" w:space="0"/>
              <w:right w:val="outset" w:color="auto" w:sz="6" w:space="0"/>
            </w:tcBorders>
            <w:tcMar>
              <w:top w:w="15" w:type="dxa"/>
              <w:left w:w="15" w:type="dxa"/>
              <w:bottom w:w="15" w:type="dxa"/>
              <w:right w:w="15" w:type="dxa"/>
            </w:tcMar>
            <w:vAlign w:val="center"/>
          </w:tcPr>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eastAsia="仿宋_GB2312" w:cs="Times New Roman"/>
                <w:color w:val="auto"/>
                <w:kern w:val="2"/>
                <w:sz w:val="24"/>
                <w:szCs w:val="24"/>
                <w:highlight w:val="none"/>
                <w:lang w:val="en-US" w:eastAsia="zh-CN" w:bidi="ar-SA"/>
              </w:rPr>
            </w:pPr>
            <w:r>
              <w:rPr>
                <w:rFonts w:hint="default" w:ascii="Times New Roman" w:hAnsi="Times New Roman" w:eastAsia="仿宋_GB2312" w:cs="Times New Roman"/>
                <w:color w:val="auto"/>
                <w:kern w:val="2"/>
                <w:sz w:val="24"/>
                <w:szCs w:val="24"/>
                <w:highlight w:val="none"/>
                <w:lang w:val="en-US" w:eastAsia="zh-CN" w:bidi="ar-SA"/>
              </w:rPr>
              <w:t>——</w:t>
            </w:r>
          </w:p>
        </w:tc>
      </w:tr>
      <w:bookmarkEnd w:id="23"/>
      <w:bookmarkEnd w:id="24"/>
    </w:tbl>
    <w:p>
      <w:pPr>
        <w:pStyle w:val="9"/>
        <w:keepNext w:val="0"/>
        <w:keepLines w:val="0"/>
        <w:pageBreakBefore w:val="0"/>
        <w:widowControl/>
        <w:kinsoku/>
        <w:wordWrap/>
        <w:overflowPunct/>
        <w:topLinePunct w:val="0"/>
        <w:autoSpaceDE/>
        <w:autoSpaceDN/>
        <w:bidi w:val="0"/>
        <w:adjustRightInd/>
        <w:snapToGrid/>
        <w:spacing w:before="0" w:beforeAutospacing="0" w:after="0" w:afterAutospacing="0" w:line="360" w:lineRule="auto"/>
        <w:ind w:left="-1200" w:leftChars="-500" w:firstLine="560" w:firstLineChars="200"/>
        <w:textAlignment w:val="auto"/>
        <w:rPr>
          <w:rFonts w:hint="eastAsia"/>
          <w:color w:val="C00000"/>
          <w:sz w:val="28"/>
          <w:szCs w:val="28"/>
          <w:highlight w:val="none"/>
          <w:lang w:val="en-US" w:eastAsia="zh-CN"/>
        </w:rPr>
        <w:sectPr>
          <w:pgSz w:w="16838" w:h="11906" w:orient="landscape"/>
          <w:pgMar w:top="1800" w:right="1383" w:bottom="1800" w:left="1440" w:header="851" w:footer="992" w:gutter="0"/>
          <w:pgNumType w:fmt="decimal"/>
          <w:cols w:space="425" w:num="1"/>
          <w:docGrid w:type="lines" w:linePitch="312" w:charSpace="0"/>
        </w:sectPr>
      </w:pPr>
      <w:r>
        <w:rPr>
          <w:rFonts w:hint="eastAsia"/>
          <w:color w:val="C00000"/>
          <w:sz w:val="28"/>
          <w:szCs w:val="28"/>
          <w:highlight w:val="none"/>
          <w:lang w:val="en-US" w:eastAsia="zh-CN"/>
        </w:rPr>
        <w:drawing>
          <wp:anchor distT="0" distB="0" distL="114300" distR="114300" simplePos="0" relativeHeight="251663360" behindDoc="1" locked="0" layoutInCell="1" allowOverlap="1">
            <wp:simplePos x="0" y="0"/>
            <wp:positionH relativeFrom="column">
              <wp:posOffset>-31750</wp:posOffset>
            </wp:positionH>
            <wp:positionV relativeFrom="paragraph">
              <wp:posOffset>-16510</wp:posOffset>
            </wp:positionV>
            <wp:extent cx="8945880" cy="5274945"/>
            <wp:effectExtent l="4445" t="4445" r="22225" b="16510"/>
            <wp:wrapTight wrapText="bothSides">
              <wp:wrapPolygon>
                <wp:start x="-11" y="-18"/>
                <wp:lineTo x="-11" y="21512"/>
                <wp:lineTo x="21562" y="21512"/>
                <wp:lineTo x="21562" y="-18"/>
                <wp:lineTo x="-11" y="-18"/>
              </wp:wrapPolygon>
            </wp:wrapTight>
            <wp:docPr id="15" name="图表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hint="eastAsia"/>
          <w:color w:val="C00000"/>
          <w:sz w:val="28"/>
          <w:szCs w:val="28"/>
          <w:highlight w:val="none"/>
          <w:lang w:val="en-US" w:eastAsia="zh-CN"/>
        </w:rPr>
        <w:t xml:space="preserve">   </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leftChars="0" w:firstLine="640" w:firstLineChars="200"/>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八、分析总结、存在问题及下一步工作措施</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（一）分析总结。</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一是我盟人力资源市场2024年第四季度统计用人单位需求人数略大于求职人数，求人倍率1.40，市场供求总体保持平稳。</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是从产业结构需求角度看，以服务业为代表的第三产业和以制造业为代表的第二产业在吸纳就业中占主导，特别是第三产业最为明显。从行业需求看，居民服务和其他服务业，住宿和餐饮业，批发和零售业仍是我盟主要的用工需求种类。</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三是从用人单位经济类型看，企业用人需求仍占主体地位，所占比重达96.85%，以企业需求为主的总体格局基本保持不变；从各类职业的需求状况看，办事人员和有关人员、社会生产服务和生活服务人员、生产制造及有关人员是第三季度用人需求的主体，合计占全部用人需求的64.45%，从求职情况看，求职人员相对集中的职业和用人需求之间基本保持一致，办事人员和有关人员、社会生产服务和生活服务人员、生产制造及有关人员所占求职人员的54.43%。</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color w:val="C00000"/>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四是我盟失业人员占本季度求职人数比重较大，占比29.18%；求职者年龄在25-34岁、35-44岁和45岁以上的偏多，占比分别为32.86%，29.02%和20.97%；男性求职者较多，占比53.62%；求职者中初中及以下，高中，大专，本科文化程度占比较均匀，拥有硕士以上文凭的求职者比重仅为0.01%。</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b w:val="0"/>
          <w:bCs w:val="0"/>
          <w:color w:val="auto"/>
          <w:kern w:val="2"/>
          <w:sz w:val="32"/>
          <w:szCs w:val="32"/>
          <w:highlight w:val="none"/>
          <w:lang w:val="en-US" w:eastAsia="zh-CN" w:bidi="ar-SA"/>
        </w:rPr>
      </w:pPr>
      <w:r>
        <w:rPr>
          <w:rFonts w:hint="eastAsia" w:ascii="楷体_GB2312" w:hAnsi="楷体_GB2312" w:eastAsia="楷体_GB2312" w:cs="楷体_GB2312"/>
          <w:b w:val="0"/>
          <w:bCs w:val="0"/>
          <w:color w:val="auto"/>
          <w:kern w:val="2"/>
          <w:sz w:val="32"/>
          <w:szCs w:val="32"/>
          <w:highlight w:val="none"/>
          <w:lang w:val="en-US" w:eastAsia="zh-CN" w:bidi="ar-SA"/>
        </w:rPr>
        <w:t>（二）存在问题。</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1.求人倍率约为1.4，市场用工需求略大于劳动供给，但部分企业出现技工短缺、熟练工短缺、新型人才短缺的现象，例如精益工程师、地质工程师等岗位经常招不到人，而一部分失业人员和低技能劳动者缺少专业技能，很难找到工作。高校毕业生等青年群体对薪酬水平、工作环境等预期要求较高，热衷于考研、考公务员和事业编，不愿从事与专业不匹配、条件艰苦的工作，导致就业难与招工难并存。</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2.用人单位对于技术等级方面的要求在逐渐提高，进入市场求职者的整体素质虽在逐步提高，但整体水平仍然偏低，我盟求职人员的技术等级还不能满足市场需求，存在结构性就业矛盾。</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（三）下一步工作措施。</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1.聚焦高校毕业生、农牧区富余劳动力、就业困难人员等重点群体，实施好岗前培训、技能提升培训、转岗培训等，全面提高其职业素质和就业技能水平，弥补企业岗位缺口，实现技能和岗位的无缝对接，缓解就业结构性矛盾。</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2.继续加强与重点企业的联系，获取招聘信息，在就业部门官方平台发布相关招聘信息，拓宽高校毕业生等重点群体的信息来源渠道。</w:t>
      </w:r>
    </w:p>
    <w:p>
      <w:pPr>
        <w:pStyle w:val="9"/>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3.进一步深化跨区域劳务协作，完善劳务输出、输入协作机制，加强工作对接，举办跨区域招聘会，召开工作联系会议，常态化开展业务交流和就业创业服务合作，积极推动跨区域劳务协作工作落实落细，促进我盟就业创业工作高质量发展</w:t>
      </w:r>
      <w:r>
        <w:rPr>
          <w:rFonts w:hint="eastAsia" w:ascii="仿宋_GB2312" w:hAnsi="仿宋_GB2312" w:eastAsia="仿宋_GB2312" w:cs="仿宋_GB2312"/>
          <w:color w:val="auto"/>
          <w:sz w:val="32"/>
          <w:szCs w:val="32"/>
          <w:highlight w:val="none"/>
          <w:lang w:val="en-US" w:eastAsia="zh-CN"/>
        </w:rPr>
        <w:t>。</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baseline"/>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4.依托自治区智慧服务平台，建设全盟统一的线上供需对接平台，畅通线上供需对接渠道。</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baseline"/>
        <w:rPr>
          <w:rFonts w:hint="eastAsia" w:ascii="仿宋_GB2312" w:hAnsi="仿宋_GB2312" w:eastAsia="仿宋_GB2312" w:cs="仿宋_GB2312"/>
          <w:color w:val="auto"/>
          <w:sz w:val="32"/>
          <w:szCs w:val="32"/>
          <w:highlight w:val="none"/>
          <w:lang w:val="en-US" w:eastAsia="zh-CN"/>
        </w:rPr>
      </w:pP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jc w:val="left"/>
        <w:textAlignment w:val="baseline"/>
        <w:rPr>
          <w:rFonts w:hint="eastAsia" w:ascii="仿宋_GB2312" w:hAnsi="仿宋_GB2312" w:eastAsia="仿宋_GB2312" w:cs="仿宋_GB2312"/>
          <w:color w:val="auto"/>
          <w:sz w:val="32"/>
          <w:szCs w:val="32"/>
          <w:highlight w:val="none"/>
          <w:lang w:val="en-US" w:eastAsia="zh-CN"/>
        </w:rPr>
      </w:pPr>
    </w:p>
    <w:p>
      <w:pPr>
        <w:pStyle w:val="9"/>
        <w:keepNext w:val="0"/>
        <w:keepLines w:val="0"/>
        <w:pageBreakBefore w:val="0"/>
        <w:widowControl/>
        <w:numPr>
          <w:ilvl w:val="0"/>
          <w:numId w:val="0"/>
        </w:numPr>
        <w:kinsoku/>
        <w:wordWrap w:val="0"/>
        <w:overflowPunct/>
        <w:topLinePunct w:val="0"/>
        <w:autoSpaceDE/>
        <w:autoSpaceDN/>
        <w:bidi w:val="0"/>
        <w:adjustRightInd/>
        <w:snapToGrid/>
        <w:spacing w:before="0" w:beforeAutospacing="0" w:after="0" w:afterAutospacing="0" w:line="560" w:lineRule="exact"/>
        <w:ind w:firstLine="640" w:firstLineChars="200"/>
        <w:jc w:val="right"/>
        <w:textAlignment w:val="auto"/>
        <w:rPr>
          <w:rFonts w:hint="default" w:ascii="Times New Roman" w:hAnsi="Times New Roman" w:eastAsia="仿宋_GB2312" w:cs="Times New Roman"/>
          <w:color w:val="auto"/>
          <w:kern w:val="2"/>
          <w:sz w:val="32"/>
          <w:szCs w:val="32"/>
          <w:highlight w:val="none"/>
          <w:lang w:val="en-US" w:eastAsia="zh-CN" w:bidi="ar-SA"/>
        </w:rPr>
      </w:pPr>
      <w:r>
        <w:rPr>
          <w:rFonts w:hint="eastAsia" w:ascii="Times New Roman" w:hAnsi="Times New Roman" w:eastAsia="仿宋_GB2312" w:cs="Times New Roman"/>
          <w:color w:val="auto"/>
          <w:kern w:val="2"/>
          <w:sz w:val="32"/>
          <w:szCs w:val="32"/>
          <w:highlight w:val="none"/>
          <w:lang w:val="en-US" w:eastAsia="zh-CN" w:bidi="ar-SA"/>
        </w:rPr>
        <w:t xml:space="preserve"> 锡林郭勒盟就业服务中心  </w:t>
      </w:r>
    </w:p>
    <w:p>
      <w:pPr>
        <w:pStyle w:val="9"/>
        <w:keepNext w:val="0"/>
        <w:keepLines w:val="0"/>
        <w:pageBreakBefore w:val="0"/>
        <w:widowControl/>
        <w:numPr>
          <w:ilvl w:val="0"/>
          <w:numId w:val="0"/>
        </w:numPr>
        <w:kinsoku/>
        <w:wordWrap w:val="0"/>
        <w:overflowPunct/>
        <w:topLinePunct w:val="0"/>
        <w:autoSpaceDE/>
        <w:autoSpaceDN/>
        <w:bidi w:val="0"/>
        <w:adjustRightInd/>
        <w:snapToGrid/>
        <w:spacing w:before="0" w:beforeAutospacing="0" w:after="0" w:afterAutospacing="0" w:line="560" w:lineRule="exact"/>
        <w:ind w:firstLine="640" w:firstLineChars="200"/>
        <w:jc w:val="right"/>
        <w:textAlignment w:val="auto"/>
        <w:rPr>
          <w:color w:val="C00000"/>
          <w:highlight w:val="none"/>
        </w:rPr>
      </w:pPr>
      <w:r>
        <w:rPr>
          <w:rFonts w:hint="eastAsia" w:ascii="Times New Roman" w:hAnsi="Times New Roman" w:eastAsia="仿宋_GB2312" w:cs="Times New Roman"/>
          <w:color w:val="auto"/>
          <w:kern w:val="2"/>
          <w:sz w:val="32"/>
          <w:szCs w:val="32"/>
          <w:highlight w:val="none"/>
          <w:lang w:val="en-US" w:eastAsia="zh-CN" w:bidi="ar-SA"/>
        </w:rPr>
        <w:t xml:space="preserve">2025年1月31日    </w:t>
      </w:r>
      <w:r>
        <w:rPr>
          <w:rFonts w:hint="eastAsia" w:ascii="Times New Roman" w:hAnsi="Times New Roman" w:eastAsia="仿宋_GB2312" w:cs="Times New Roman"/>
          <w:color w:val="C00000"/>
          <w:kern w:val="2"/>
          <w:sz w:val="32"/>
          <w:szCs w:val="32"/>
          <w:highlight w:val="none"/>
          <w:lang w:val="en-US" w:eastAsia="zh-CN" w:bidi="ar-SA"/>
        </w:rPr>
        <w:t xml:space="preserve"> </w:t>
      </w:r>
    </w:p>
    <w:sectPr>
      <w:pgSz w:w="11906" w:h="16838"/>
      <w:pgMar w:top="2098" w:right="1474" w:bottom="2041"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decorative"/>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EFF" w:usb1="C000785B" w:usb2="00000009" w:usb3="00000000" w:csb0="400001FF" w:csb1="FFFF0000"/>
  </w:font>
  <w:font w:name="Cambria">
    <w:altName w:val="FreeSerif"/>
    <w:panose1 w:val="02040503050406030204"/>
    <w:charset w:val="00"/>
    <w:family w:val="roman"/>
    <w:pitch w:val="default"/>
    <w:sig w:usb0="00000000" w:usb1="00000000" w:usb2="00000000" w:usb3="00000000" w:csb0="2000019F" w:csb1="00000000"/>
  </w:font>
  <w:font w:name="FreeSerif">
    <w:panose1 w:val="02020603050405020304"/>
    <w:charset w:val="00"/>
    <w:family w:val="auto"/>
    <w:pitch w:val="default"/>
    <w:sig w:usb0="E59FAFFF" w:usb1="C200FDFF" w:usb2="43501B29" w:usb3="04000043" w:csb0="600101FF" w:csb1="FFFF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Menk Qagan Tig">
    <w:altName w:val="C059"/>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eastAsia="宋体"/>
                              <w:sz w:val="21"/>
                              <w:szCs w:val="21"/>
                              <w:lang w:val="en-US" w:eastAsia="zh-CN"/>
                            </w:rPr>
                          </w:pPr>
                          <w:r>
                            <w:rPr>
                              <w:rFonts w:hint="eastAsia"/>
                              <w:sz w:val="21"/>
                              <w:szCs w:val="21"/>
                              <w:lang w:eastAsia="zh-CN"/>
                            </w:rPr>
                            <w:t>—</w:t>
                          </w:r>
                          <w:r>
                            <w:rPr>
                              <w:rFonts w:hint="eastAsia"/>
                              <w:sz w:val="21"/>
                              <w:szCs w:val="21"/>
                              <w:lang w:val="en-US" w:eastAsia="zh-CN"/>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rFonts w:hint="eastAsia"/>
                              <w:sz w:val="21"/>
                              <w:szCs w:val="21"/>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Hl7XOMQIAAGE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">
              <v:fill on="f" focussize="0,0"/>
              <v:stroke on="f" weight="0.5pt"/>
              <v:imagedata o:title=""/>
              <o:lock v:ext="edit" aspectratio="f"/>
              <v:textbox inset="0mm,0mm,0mm,0mm" style="mso-fit-shape-to-text:t;">
                <w:txbxContent>
                  <w:p>
                    <w:pPr>
                      <w:pStyle w:val="7"/>
                      <w:rPr>
                        <w:rFonts w:hint="eastAsia" w:eastAsia="宋体"/>
                        <w:sz w:val="21"/>
                        <w:szCs w:val="21"/>
                        <w:lang w:val="en-US" w:eastAsia="zh-CN"/>
                      </w:rPr>
                    </w:pPr>
                    <w:r>
                      <w:rPr>
                        <w:rFonts w:hint="eastAsia"/>
                        <w:sz w:val="21"/>
                        <w:szCs w:val="21"/>
                        <w:lang w:eastAsia="zh-CN"/>
                      </w:rPr>
                      <w:t>—</w:t>
                    </w:r>
                    <w:r>
                      <w:rPr>
                        <w:rFonts w:hint="eastAsia"/>
                        <w:sz w:val="21"/>
                        <w:szCs w:val="21"/>
                        <w:lang w:val="en-US" w:eastAsia="zh-CN"/>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rFonts w:hint="eastAsia"/>
                        <w:sz w:val="21"/>
                        <w:szCs w:val="21"/>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6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JiMmE2NzAwZDE5ODI5MTVlZTczMTkyYmU5NDZhNGMifQ=="/>
  </w:docVars>
  <w:rsids>
    <w:rsidRoot w:val="00000000"/>
    <w:rsid w:val="01786D21"/>
    <w:rsid w:val="02023712"/>
    <w:rsid w:val="029244E7"/>
    <w:rsid w:val="02BEAFAE"/>
    <w:rsid w:val="02F90D26"/>
    <w:rsid w:val="03950CEB"/>
    <w:rsid w:val="03D830B7"/>
    <w:rsid w:val="03E87ED9"/>
    <w:rsid w:val="03F6868C"/>
    <w:rsid w:val="03FF0AF6"/>
    <w:rsid w:val="05E6807D"/>
    <w:rsid w:val="064A20F9"/>
    <w:rsid w:val="06E60AFD"/>
    <w:rsid w:val="07852E9F"/>
    <w:rsid w:val="091D7025"/>
    <w:rsid w:val="0AD80D5D"/>
    <w:rsid w:val="0B99E491"/>
    <w:rsid w:val="0BEEB4DB"/>
    <w:rsid w:val="0BF24D73"/>
    <w:rsid w:val="0C0D424F"/>
    <w:rsid w:val="0CBF5AE0"/>
    <w:rsid w:val="0D0A7F12"/>
    <w:rsid w:val="0F0E4A6B"/>
    <w:rsid w:val="0F4DC3D2"/>
    <w:rsid w:val="0F7F26FB"/>
    <w:rsid w:val="0F941BF3"/>
    <w:rsid w:val="0F9D0A29"/>
    <w:rsid w:val="0F9FC6FF"/>
    <w:rsid w:val="0FFFBF2E"/>
    <w:rsid w:val="10772163"/>
    <w:rsid w:val="108B0A9D"/>
    <w:rsid w:val="118E2FDF"/>
    <w:rsid w:val="11A51273"/>
    <w:rsid w:val="11DE2A6E"/>
    <w:rsid w:val="12AC38F3"/>
    <w:rsid w:val="133F9C77"/>
    <w:rsid w:val="135F6148"/>
    <w:rsid w:val="13AF4621"/>
    <w:rsid w:val="140F3BE3"/>
    <w:rsid w:val="144910C6"/>
    <w:rsid w:val="147D6C97"/>
    <w:rsid w:val="1484668F"/>
    <w:rsid w:val="14BE02FD"/>
    <w:rsid w:val="14DCC8E6"/>
    <w:rsid w:val="151744A1"/>
    <w:rsid w:val="156BB16A"/>
    <w:rsid w:val="16BFD029"/>
    <w:rsid w:val="176F1054"/>
    <w:rsid w:val="17A61451"/>
    <w:rsid w:val="17B70BFE"/>
    <w:rsid w:val="17D8FD25"/>
    <w:rsid w:val="17FF9D18"/>
    <w:rsid w:val="17FFD5DF"/>
    <w:rsid w:val="18047D2E"/>
    <w:rsid w:val="198943B9"/>
    <w:rsid w:val="19898200"/>
    <w:rsid w:val="19A32E6F"/>
    <w:rsid w:val="1AAFB6A0"/>
    <w:rsid w:val="1AF0E69D"/>
    <w:rsid w:val="1B777030"/>
    <w:rsid w:val="1BC65FB1"/>
    <w:rsid w:val="1BED86CD"/>
    <w:rsid w:val="1BFA5F24"/>
    <w:rsid w:val="1C5A2FE5"/>
    <w:rsid w:val="1CFF2800"/>
    <w:rsid w:val="1D7591D7"/>
    <w:rsid w:val="1DF568E9"/>
    <w:rsid w:val="1DFF1017"/>
    <w:rsid w:val="1DFF3E77"/>
    <w:rsid w:val="1DFFDD1F"/>
    <w:rsid w:val="1E341ACC"/>
    <w:rsid w:val="1E7F7E18"/>
    <w:rsid w:val="1EDF76C8"/>
    <w:rsid w:val="1EFF140F"/>
    <w:rsid w:val="1F7D78E1"/>
    <w:rsid w:val="1FAB2D67"/>
    <w:rsid w:val="1FB7ACA9"/>
    <w:rsid w:val="1FBD443F"/>
    <w:rsid w:val="1FCFB44B"/>
    <w:rsid w:val="1FD31441"/>
    <w:rsid w:val="1FDD1958"/>
    <w:rsid w:val="1FEF3001"/>
    <w:rsid w:val="1FF43405"/>
    <w:rsid w:val="1FFB2FA4"/>
    <w:rsid w:val="1FFFCAB0"/>
    <w:rsid w:val="207C996A"/>
    <w:rsid w:val="2137E471"/>
    <w:rsid w:val="21B1B628"/>
    <w:rsid w:val="21BF65BC"/>
    <w:rsid w:val="21FF2C96"/>
    <w:rsid w:val="21FF5DCE"/>
    <w:rsid w:val="220E736E"/>
    <w:rsid w:val="227F7854"/>
    <w:rsid w:val="23420DEC"/>
    <w:rsid w:val="23ED2AA4"/>
    <w:rsid w:val="23FE7AC8"/>
    <w:rsid w:val="247A9147"/>
    <w:rsid w:val="2536529E"/>
    <w:rsid w:val="25833998"/>
    <w:rsid w:val="25A97F22"/>
    <w:rsid w:val="25BE4F18"/>
    <w:rsid w:val="26150DA4"/>
    <w:rsid w:val="26BF3DC2"/>
    <w:rsid w:val="2767C6E7"/>
    <w:rsid w:val="27C98FAA"/>
    <w:rsid w:val="27CDDD06"/>
    <w:rsid w:val="27D9CD06"/>
    <w:rsid w:val="27DF65C1"/>
    <w:rsid w:val="27E75710"/>
    <w:rsid w:val="27FB6703"/>
    <w:rsid w:val="280776A2"/>
    <w:rsid w:val="283471D2"/>
    <w:rsid w:val="289F84E5"/>
    <w:rsid w:val="28EA16F9"/>
    <w:rsid w:val="28F543AE"/>
    <w:rsid w:val="297FD732"/>
    <w:rsid w:val="29EF9086"/>
    <w:rsid w:val="2AFF6917"/>
    <w:rsid w:val="2B108ACB"/>
    <w:rsid w:val="2B674404"/>
    <w:rsid w:val="2B9393BD"/>
    <w:rsid w:val="2BA9407C"/>
    <w:rsid w:val="2BBDBDF3"/>
    <w:rsid w:val="2BDF184B"/>
    <w:rsid w:val="2BDF6639"/>
    <w:rsid w:val="2BFBEB91"/>
    <w:rsid w:val="2BFE30FD"/>
    <w:rsid w:val="2BFFDD52"/>
    <w:rsid w:val="2C739323"/>
    <w:rsid w:val="2CEB2939"/>
    <w:rsid w:val="2D3D711C"/>
    <w:rsid w:val="2D5EAA75"/>
    <w:rsid w:val="2D7F4CE3"/>
    <w:rsid w:val="2DEA4B8C"/>
    <w:rsid w:val="2DF91D1E"/>
    <w:rsid w:val="2DFE6AD9"/>
    <w:rsid w:val="2DFED86F"/>
    <w:rsid w:val="2DFEE3E0"/>
    <w:rsid w:val="2DFF2940"/>
    <w:rsid w:val="2DFF4D09"/>
    <w:rsid w:val="2E7F3346"/>
    <w:rsid w:val="2ED5E09D"/>
    <w:rsid w:val="2ED76515"/>
    <w:rsid w:val="2EDF8003"/>
    <w:rsid w:val="2EFFE395"/>
    <w:rsid w:val="2F555BA2"/>
    <w:rsid w:val="2F5EEF83"/>
    <w:rsid w:val="2F62F3BF"/>
    <w:rsid w:val="2F7A4091"/>
    <w:rsid w:val="2F7A9D82"/>
    <w:rsid w:val="2F7FB0D0"/>
    <w:rsid w:val="2F7FDD34"/>
    <w:rsid w:val="2F8DE38C"/>
    <w:rsid w:val="2FB5E646"/>
    <w:rsid w:val="2FBD4B65"/>
    <w:rsid w:val="2FBF626D"/>
    <w:rsid w:val="2FBFE846"/>
    <w:rsid w:val="2FEBEBD5"/>
    <w:rsid w:val="2FFB1837"/>
    <w:rsid w:val="2FFB42DE"/>
    <w:rsid w:val="2FFF848C"/>
    <w:rsid w:val="307F2F66"/>
    <w:rsid w:val="333FD77E"/>
    <w:rsid w:val="33A749B4"/>
    <w:rsid w:val="33AEF35B"/>
    <w:rsid w:val="33D840FB"/>
    <w:rsid w:val="33DFBAA3"/>
    <w:rsid w:val="33FE8FAD"/>
    <w:rsid w:val="33FF5DBB"/>
    <w:rsid w:val="34BA96BB"/>
    <w:rsid w:val="352B8572"/>
    <w:rsid w:val="3578C8AF"/>
    <w:rsid w:val="357F753F"/>
    <w:rsid w:val="357FB598"/>
    <w:rsid w:val="3597557A"/>
    <w:rsid w:val="35A766EE"/>
    <w:rsid w:val="363B825E"/>
    <w:rsid w:val="367F66D0"/>
    <w:rsid w:val="36BD569A"/>
    <w:rsid w:val="36D4FA1E"/>
    <w:rsid w:val="36D788FC"/>
    <w:rsid w:val="36F70C69"/>
    <w:rsid w:val="36F7CB60"/>
    <w:rsid w:val="374846E6"/>
    <w:rsid w:val="375DCB62"/>
    <w:rsid w:val="3767A2E1"/>
    <w:rsid w:val="376D8200"/>
    <w:rsid w:val="376D8C71"/>
    <w:rsid w:val="37701C0B"/>
    <w:rsid w:val="377B9744"/>
    <w:rsid w:val="377C474C"/>
    <w:rsid w:val="377E142D"/>
    <w:rsid w:val="379B7C58"/>
    <w:rsid w:val="37AEF5B8"/>
    <w:rsid w:val="37DBEADC"/>
    <w:rsid w:val="37DD0153"/>
    <w:rsid w:val="37DEDB67"/>
    <w:rsid w:val="37DFF585"/>
    <w:rsid w:val="37E3481A"/>
    <w:rsid w:val="37E3EBB0"/>
    <w:rsid w:val="37E7ABCD"/>
    <w:rsid w:val="37EFEF69"/>
    <w:rsid w:val="37F7432D"/>
    <w:rsid w:val="37F845CA"/>
    <w:rsid w:val="37FD47D7"/>
    <w:rsid w:val="37FFC4FA"/>
    <w:rsid w:val="382D5401"/>
    <w:rsid w:val="385FC2EB"/>
    <w:rsid w:val="38E30B05"/>
    <w:rsid w:val="38F78056"/>
    <w:rsid w:val="3968368D"/>
    <w:rsid w:val="397D0039"/>
    <w:rsid w:val="39DF9B6C"/>
    <w:rsid w:val="39EF0E85"/>
    <w:rsid w:val="39FB655B"/>
    <w:rsid w:val="39FFD655"/>
    <w:rsid w:val="3A0B4AF4"/>
    <w:rsid w:val="3A561988"/>
    <w:rsid w:val="3A847A19"/>
    <w:rsid w:val="3AAD0BD5"/>
    <w:rsid w:val="3ABED55B"/>
    <w:rsid w:val="3ABF932D"/>
    <w:rsid w:val="3AFCCC8F"/>
    <w:rsid w:val="3AFF0233"/>
    <w:rsid w:val="3B33806D"/>
    <w:rsid w:val="3B4F5D7E"/>
    <w:rsid w:val="3B5748BD"/>
    <w:rsid w:val="3B6D6F1B"/>
    <w:rsid w:val="3B7E98C7"/>
    <w:rsid w:val="3B7F6525"/>
    <w:rsid w:val="3BAD0950"/>
    <w:rsid w:val="3BBF5553"/>
    <w:rsid w:val="3BBFDD6F"/>
    <w:rsid w:val="3BDB08A9"/>
    <w:rsid w:val="3BDCDF40"/>
    <w:rsid w:val="3BE4B945"/>
    <w:rsid w:val="3BEE8568"/>
    <w:rsid w:val="3BF2BEF7"/>
    <w:rsid w:val="3BFC1FDC"/>
    <w:rsid w:val="3C39193B"/>
    <w:rsid w:val="3C539AA6"/>
    <w:rsid w:val="3C9796C2"/>
    <w:rsid w:val="3CD2013A"/>
    <w:rsid w:val="3CDB8D78"/>
    <w:rsid w:val="3CF3FF44"/>
    <w:rsid w:val="3CFD4504"/>
    <w:rsid w:val="3CFF05A1"/>
    <w:rsid w:val="3D597D51"/>
    <w:rsid w:val="3D5D7840"/>
    <w:rsid w:val="3D632A8A"/>
    <w:rsid w:val="3D692724"/>
    <w:rsid w:val="3D978667"/>
    <w:rsid w:val="3D984C94"/>
    <w:rsid w:val="3DB00C79"/>
    <w:rsid w:val="3DBACE9F"/>
    <w:rsid w:val="3DBF510F"/>
    <w:rsid w:val="3DC5F414"/>
    <w:rsid w:val="3DCCC8C6"/>
    <w:rsid w:val="3DD7C233"/>
    <w:rsid w:val="3DD7C272"/>
    <w:rsid w:val="3DD9E156"/>
    <w:rsid w:val="3DDFAB8A"/>
    <w:rsid w:val="3DE541D6"/>
    <w:rsid w:val="3DE76293"/>
    <w:rsid w:val="3DF55696"/>
    <w:rsid w:val="3DF6F78C"/>
    <w:rsid w:val="3DF9D206"/>
    <w:rsid w:val="3DFB7A11"/>
    <w:rsid w:val="3DFE806E"/>
    <w:rsid w:val="3E1FBC67"/>
    <w:rsid w:val="3E2F986A"/>
    <w:rsid w:val="3E7F44B1"/>
    <w:rsid w:val="3E7FECEF"/>
    <w:rsid w:val="3E894E20"/>
    <w:rsid w:val="3E934E39"/>
    <w:rsid w:val="3E97A4D2"/>
    <w:rsid w:val="3EAF0446"/>
    <w:rsid w:val="3EDE17E6"/>
    <w:rsid w:val="3EDF56C1"/>
    <w:rsid w:val="3EDFF0AF"/>
    <w:rsid w:val="3EEA354A"/>
    <w:rsid w:val="3EEF652D"/>
    <w:rsid w:val="3EF7960E"/>
    <w:rsid w:val="3EF91315"/>
    <w:rsid w:val="3EFAAE70"/>
    <w:rsid w:val="3EFAE533"/>
    <w:rsid w:val="3EFDD5B2"/>
    <w:rsid w:val="3EFE033F"/>
    <w:rsid w:val="3EFE3E07"/>
    <w:rsid w:val="3EFF644D"/>
    <w:rsid w:val="3EFF9330"/>
    <w:rsid w:val="3F1EE8F8"/>
    <w:rsid w:val="3F1FFFD9"/>
    <w:rsid w:val="3F458B64"/>
    <w:rsid w:val="3F77BFC7"/>
    <w:rsid w:val="3F7D3462"/>
    <w:rsid w:val="3F7D86C0"/>
    <w:rsid w:val="3F7E90BF"/>
    <w:rsid w:val="3F98FA67"/>
    <w:rsid w:val="3F9BE5CD"/>
    <w:rsid w:val="3F9BFE6E"/>
    <w:rsid w:val="3F9FFAA2"/>
    <w:rsid w:val="3FA6C064"/>
    <w:rsid w:val="3FAC2967"/>
    <w:rsid w:val="3FAF0CCF"/>
    <w:rsid w:val="3FAF42CF"/>
    <w:rsid w:val="3FB7902A"/>
    <w:rsid w:val="3FBAADD9"/>
    <w:rsid w:val="3FBB4B4B"/>
    <w:rsid w:val="3FBF51DA"/>
    <w:rsid w:val="3FBFB972"/>
    <w:rsid w:val="3FCDCF89"/>
    <w:rsid w:val="3FCEFA7F"/>
    <w:rsid w:val="3FD55BBA"/>
    <w:rsid w:val="3FD77333"/>
    <w:rsid w:val="3FDB6BA2"/>
    <w:rsid w:val="3FDDEE15"/>
    <w:rsid w:val="3FDE1DD7"/>
    <w:rsid w:val="3FDF380B"/>
    <w:rsid w:val="3FDF7753"/>
    <w:rsid w:val="3FE9491B"/>
    <w:rsid w:val="3FEE5E21"/>
    <w:rsid w:val="3FEED6F8"/>
    <w:rsid w:val="3FEF4A1E"/>
    <w:rsid w:val="3FEF4EC4"/>
    <w:rsid w:val="3FEF9A3F"/>
    <w:rsid w:val="3FEFE7BE"/>
    <w:rsid w:val="3FF10F17"/>
    <w:rsid w:val="3FF796E3"/>
    <w:rsid w:val="3FF7B725"/>
    <w:rsid w:val="3FF7BE3C"/>
    <w:rsid w:val="3FFB32CA"/>
    <w:rsid w:val="3FFC2A89"/>
    <w:rsid w:val="3FFC9A81"/>
    <w:rsid w:val="3FFCC64F"/>
    <w:rsid w:val="3FFD4E48"/>
    <w:rsid w:val="3FFDCD4A"/>
    <w:rsid w:val="3FFF1EE6"/>
    <w:rsid w:val="3FFF20E9"/>
    <w:rsid w:val="3FFF55A9"/>
    <w:rsid w:val="3FFF5DE1"/>
    <w:rsid w:val="3FFF986E"/>
    <w:rsid w:val="3FFFA88B"/>
    <w:rsid w:val="3FFFDC58"/>
    <w:rsid w:val="3FFFDD23"/>
    <w:rsid w:val="3FFFF834"/>
    <w:rsid w:val="409965D9"/>
    <w:rsid w:val="41BFB041"/>
    <w:rsid w:val="41EA21C1"/>
    <w:rsid w:val="42EB26BD"/>
    <w:rsid w:val="430D296A"/>
    <w:rsid w:val="434937D5"/>
    <w:rsid w:val="43DB904A"/>
    <w:rsid w:val="43F65C10"/>
    <w:rsid w:val="43FB130C"/>
    <w:rsid w:val="444A66E7"/>
    <w:rsid w:val="448D14BE"/>
    <w:rsid w:val="44B6296D"/>
    <w:rsid w:val="457E8FFF"/>
    <w:rsid w:val="45DBFF4A"/>
    <w:rsid w:val="45FF6783"/>
    <w:rsid w:val="46054DFB"/>
    <w:rsid w:val="46797C10"/>
    <w:rsid w:val="46E6F588"/>
    <w:rsid w:val="4713FB51"/>
    <w:rsid w:val="475C9B02"/>
    <w:rsid w:val="477AD6C6"/>
    <w:rsid w:val="477E5107"/>
    <w:rsid w:val="47BF9EB9"/>
    <w:rsid w:val="485B0E7B"/>
    <w:rsid w:val="4890786F"/>
    <w:rsid w:val="48F3115A"/>
    <w:rsid w:val="49A735B5"/>
    <w:rsid w:val="49DD1BED"/>
    <w:rsid w:val="49FF7642"/>
    <w:rsid w:val="49FF7A06"/>
    <w:rsid w:val="4AD3CB5D"/>
    <w:rsid w:val="4AFF3B03"/>
    <w:rsid w:val="4B1E9DBF"/>
    <w:rsid w:val="4BB7ABF0"/>
    <w:rsid w:val="4BDF61C9"/>
    <w:rsid w:val="4BE271E4"/>
    <w:rsid w:val="4BEF11E5"/>
    <w:rsid w:val="4BEFD907"/>
    <w:rsid w:val="4BF7447B"/>
    <w:rsid w:val="4C9776FA"/>
    <w:rsid w:val="4CEFA33B"/>
    <w:rsid w:val="4CFC9836"/>
    <w:rsid w:val="4D2F2768"/>
    <w:rsid w:val="4D77837C"/>
    <w:rsid w:val="4DA6E3C3"/>
    <w:rsid w:val="4DB12E6B"/>
    <w:rsid w:val="4E14AD9F"/>
    <w:rsid w:val="4E357A98"/>
    <w:rsid w:val="4E6F9C56"/>
    <w:rsid w:val="4EBFC92A"/>
    <w:rsid w:val="4EF7CE28"/>
    <w:rsid w:val="4EFF83EF"/>
    <w:rsid w:val="4F7F9C0D"/>
    <w:rsid w:val="4F8F7991"/>
    <w:rsid w:val="4FAF400F"/>
    <w:rsid w:val="4FBD40E3"/>
    <w:rsid w:val="4FBF08BA"/>
    <w:rsid w:val="4FBF4208"/>
    <w:rsid w:val="4FCB90EF"/>
    <w:rsid w:val="4FCF945A"/>
    <w:rsid w:val="4FDD19F0"/>
    <w:rsid w:val="4FDDB920"/>
    <w:rsid w:val="4FEEB7F1"/>
    <w:rsid w:val="4FFB95FA"/>
    <w:rsid w:val="4FFD1F12"/>
    <w:rsid w:val="4FFE5956"/>
    <w:rsid w:val="4FFF05B3"/>
    <w:rsid w:val="4FFF76B5"/>
    <w:rsid w:val="50A54F03"/>
    <w:rsid w:val="50FF3A61"/>
    <w:rsid w:val="51121B8D"/>
    <w:rsid w:val="52D9DBA5"/>
    <w:rsid w:val="52FE885F"/>
    <w:rsid w:val="531D3806"/>
    <w:rsid w:val="532E4AEE"/>
    <w:rsid w:val="5396D188"/>
    <w:rsid w:val="539B0561"/>
    <w:rsid w:val="547B0304"/>
    <w:rsid w:val="54BF14AE"/>
    <w:rsid w:val="54FD157F"/>
    <w:rsid w:val="5597FC01"/>
    <w:rsid w:val="55DBBB0D"/>
    <w:rsid w:val="55F6AACD"/>
    <w:rsid w:val="567B5ECE"/>
    <w:rsid w:val="56BFE0D3"/>
    <w:rsid w:val="56DD60D5"/>
    <w:rsid w:val="56DF7B81"/>
    <w:rsid w:val="56E63C48"/>
    <w:rsid w:val="56EFEB4E"/>
    <w:rsid w:val="56FD68A1"/>
    <w:rsid w:val="56FF74DB"/>
    <w:rsid w:val="5783B9D1"/>
    <w:rsid w:val="57884094"/>
    <w:rsid w:val="57AE5F17"/>
    <w:rsid w:val="57B7A23E"/>
    <w:rsid w:val="57BE08B5"/>
    <w:rsid w:val="57BF541F"/>
    <w:rsid w:val="57EF8FF7"/>
    <w:rsid w:val="57F425DF"/>
    <w:rsid w:val="57F83034"/>
    <w:rsid w:val="57FEC546"/>
    <w:rsid w:val="57FECD13"/>
    <w:rsid w:val="57FEE493"/>
    <w:rsid w:val="57FF7054"/>
    <w:rsid w:val="57FF7D3F"/>
    <w:rsid w:val="58FFE0C3"/>
    <w:rsid w:val="5943CC59"/>
    <w:rsid w:val="596F635A"/>
    <w:rsid w:val="599347D4"/>
    <w:rsid w:val="59CEFBA3"/>
    <w:rsid w:val="59DF8E58"/>
    <w:rsid w:val="59FEAA12"/>
    <w:rsid w:val="59FFB2BA"/>
    <w:rsid w:val="5A315A59"/>
    <w:rsid w:val="5A7B2317"/>
    <w:rsid w:val="5ABF947C"/>
    <w:rsid w:val="5ACFB1CD"/>
    <w:rsid w:val="5AF5F637"/>
    <w:rsid w:val="5AFFB3F2"/>
    <w:rsid w:val="5AFFDFF8"/>
    <w:rsid w:val="5B5F7040"/>
    <w:rsid w:val="5B7DFBAB"/>
    <w:rsid w:val="5B7F139B"/>
    <w:rsid w:val="5B9F2932"/>
    <w:rsid w:val="5BDE3BDE"/>
    <w:rsid w:val="5BDEBD16"/>
    <w:rsid w:val="5BDF81F3"/>
    <w:rsid w:val="5BE373AF"/>
    <w:rsid w:val="5BEB2403"/>
    <w:rsid w:val="5BEC46A7"/>
    <w:rsid w:val="5BEDAC51"/>
    <w:rsid w:val="5BEEBBAC"/>
    <w:rsid w:val="5BF5F962"/>
    <w:rsid w:val="5BF76266"/>
    <w:rsid w:val="5BF78D4D"/>
    <w:rsid w:val="5BF9BE6A"/>
    <w:rsid w:val="5BFF54A7"/>
    <w:rsid w:val="5BFFEEC2"/>
    <w:rsid w:val="5C7D95A9"/>
    <w:rsid w:val="5CCEC33B"/>
    <w:rsid w:val="5CFF43F2"/>
    <w:rsid w:val="5D1A02CE"/>
    <w:rsid w:val="5D37D625"/>
    <w:rsid w:val="5D3FCB5A"/>
    <w:rsid w:val="5D6BC720"/>
    <w:rsid w:val="5D6FAFE0"/>
    <w:rsid w:val="5DAE1E94"/>
    <w:rsid w:val="5DDE8BC0"/>
    <w:rsid w:val="5DDFFC84"/>
    <w:rsid w:val="5DEE1EE2"/>
    <w:rsid w:val="5DEF1C11"/>
    <w:rsid w:val="5DFAB6C0"/>
    <w:rsid w:val="5DFF0B14"/>
    <w:rsid w:val="5DFF7485"/>
    <w:rsid w:val="5DFF941D"/>
    <w:rsid w:val="5E1707A7"/>
    <w:rsid w:val="5E3F4A3B"/>
    <w:rsid w:val="5E4D03F0"/>
    <w:rsid w:val="5E5E2634"/>
    <w:rsid w:val="5E5FF49E"/>
    <w:rsid w:val="5E6F58AB"/>
    <w:rsid w:val="5E6F59C2"/>
    <w:rsid w:val="5E74AC1B"/>
    <w:rsid w:val="5E7CBC15"/>
    <w:rsid w:val="5E7F57B7"/>
    <w:rsid w:val="5E7F60BF"/>
    <w:rsid w:val="5E7F7EE1"/>
    <w:rsid w:val="5E9FA032"/>
    <w:rsid w:val="5EB302F3"/>
    <w:rsid w:val="5EBD6A0B"/>
    <w:rsid w:val="5EBDEBA0"/>
    <w:rsid w:val="5ECD8428"/>
    <w:rsid w:val="5EDB0263"/>
    <w:rsid w:val="5EDD6A8A"/>
    <w:rsid w:val="5EE39B94"/>
    <w:rsid w:val="5EEB4787"/>
    <w:rsid w:val="5EEE4921"/>
    <w:rsid w:val="5EEEEC40"/>
    <w:rsid w:val="5EFA0709"/>
    <w:rsid w:val="5EFA6192"/>
    <w:rsid w:val="5EFB217E"/>
    <w:rsid w:val="5EFE74B3"/>
    <w:rsid w:val="5F0FA239"/>
    <w:rsid w:val="5F16CADA"/>
    <w:rsid w:val="5F3D8952"/>
    <w:rsid w:val="5F3F692D"/>
    <w:rsid w:val="5F57E89B"/>
    <w:rsid w:val="5F6C92A7"/>
    <w:rsid w:val="5F6DA5AA"/>
    <w:rsid w:val="5F6E1DC7"/>
    <w:rsid w:val="5F6EAC48"/>
    <w:rsid w:val="5F773F23"/>
    <w:rsid w:val="5F774EA6"/>
    <w:rsid w:val="5F7BD1B9"/>
    <w:rsid w:val="5F7D3D0E"/>
    <w:rsid w:val="5F7F38F2"/>
    <w:rsid w:val="5F7F5174"/>
    <w:rsid w:val="5F7FB1C8"/>
    <w:rsid w:val="5F7FC2E7"/>
    <w:rsid w:val="5F7FD779"/>
    <w:rsid w:val="5F7FEFDF"/>
    <w:rsid w:val="5F9B5AEA"/>
    <w:rsid w:val="5F9F4F3B"/>
    <w:rsid w:val="5F9F9B91"/>
    <w:rsid w:val="5FACC553"/>
    <w:rsid w:val="5FADF34C"/>
    <w:rsid w:val="5FB6AB88"/>
    <w:rsid w:val="5FB6C5DB"/>
    <w:rsid w:val="5FBB1253"/>
    <w:rsid w:val="5FBFF17B"/>
    <w:rsid w:val="5FD24F5E"/>
    <w:rsid w:val="5FDA0954"/>
    <w:rsid w:val="5FDB9D85"/>
    <w:rsid w:val="5FDDD632"/>
    <w:rsid w:val="5FDE1D68"/>
    <w:rsid w:val="5FDF1279"/>
    <w:rsid w:val="5FDF980A"/>
    <w:rsid w:val="5FE7015F"/>
    <w:rsid w:val="5FE7C020"/>
    <w:rsid w:val="5FEDA7E9"/>
    <w:rsid w:val="5FEDE153"/>
    <w:rsid w:val="5FEF64A5"/>
    <w:rsid w:val="5FEFB47C"/>
    <w:rsid w:val="5FEFFAC1"/>
    <w:rsid w:val="5FF3098A"/>
    <w:rsid w:val="5FF4471E"/>
    <w:rsid w:val="5FF69DDD"/>
    <w:rsid w:val="5FF7813E"/>
    <w:rsid w:val="5FF7B417"/>
    <w:rsid w:val="5FF95039"/>
    <w:rsid w:val="5FF9D41C"/>
    <w:rsid w:val="5FFA8B03"/>
    <w:rsid w:val="5FFAEAD2"/>
    <w:rsid w:val="5FFB8E8E"/>
    <w:rsid w:val="5FFD5280"/>
    <w:rsid w:val="5FFD8744"/>
    <w:rsid w:val="5FFF1726"/>
    <w:rsid w:val="5FFF23EF"/>
    <w:rsid w:val="5FFFA413"/>
    <w:rsid w:val="5FFFA4F4"/>
    <w:rsid w:val="5FFFB15F"/>
    <w:rsid w:val="60605BDE"/>
    <w:rsid w:val="60F05534"/>
    <w:rsid w:val="617AB883"/>
    <w:rsid w:val="61F3ADAF"/>
    <w:rsid w:val="621DBB4C"/>
    <w:rsid w:val="627F0D6F"/>
    <w:rsid w:val="62C1E625"/>
    <w:rsid w:val="63585935"/>
    <w:rsid w:val="63F10EF5"/>
    <w:rsid w:val="63FE201A"/>
    <w:rsid w:val="653DC735"/>
    <w:rsid w:val="65CB4C23"/>
    <w:rsid w:val="65D43C31"/>
    <w:rsid w:val="65FACF48"/>
    <w:rsid w:val="663FCE40"/>
    <w:rsid w:val="66770D01"/>
    <w:rsid w:val="667B5C01"/>
    <w:rsid w:val="66EE54A6"/>
    <w:rsid w:val="66F6D498"/>
    <w:rsid w:val="67371475"/>
    <w:rsid w:val="673B8016"/>
    <w:rsid w:val="675FEAC1"/>
    <w:rsid w:val="67614814"/>
    <w:rsid w:val="67629631"/>
    <w:rsid w:val="67677168"/>
    <w:rsid w:val="676CFD9C"/>
    <w:rsid w:val="676F073E"/>
    <w:rsid w:val="677778F4"/>
    <w:rsid w:val="679E0A22"/>
    <w:rsid w:val="67AF89CB"/>
    <w:rsid w:val="67DB8A25"/>
    <w:rsid w:val="67DFE020"/>
    <w:rsid w:val="67F07263"/>
    <w:rsid w:val="67F286A2"/>
    <w:rsid w:val="67F7B79D"/>
    <w:rsid w:val="67FD4951"/>
    <w:rsid w:val="67FD7F30"/>
    <w:rsid w:val="67FEC313"/>
    <w:rsid w:val="67FF95E1"/>
    <w:rsid w:val="67FFFE48"/>
    <w:rsid w:val="689C2BA5"/>
    <w:rsid w:val="68DF5842"/>
    <w:rsid w:val="68FF6E02"/>
    <w:rsid w:val="69476490"/>
    <w:rsid w:val="696DBEAE"/>
    <w:rsid w:val="69E45C13"/>
    <w:rsid w:val="6A3550C7"/>
    <w:rsid w:val="6A56EC92"/>
    <w:rsid w:val="6A5D0BA7"/>
    <w:rsid w:val="6A6EDEF1"/>
    <w:rsid w:val="6A7F073C"/>
    <w:rsid w:val="6AB448D3"/>
    <w:rsid w:val="6AF6B313"/>
    <w:rsid w:val="6AFA1386"/>
    <w:rsid w:val="6AFFB41C"/>
    <w:rsid w:val="6B3322CF"/>
    <w:rsid w:val="6B7FE349"/>
    <w:rsid w:val="6BA7212C"/>
    <w:rsid w:val="6BB7C593"/>
    <w:rsid w:val="6BBFE6F8"/>
    <w:rsid w:val="6BC688D6"/>
    <w:rsid w:val="6BCD5975"/>
    <w:rsid w:val="6BCFA7CE"/>
    <w:rsid w:val="6BDB7ACE"/>
    <w:rsid w:val="6BDD04B7"/>
    <w:rsid w:val="6BDD6FBE"/>
    <w:rsid w:val="6BE78262"/>
    <w:rsid w:val="6BF68197"/>
    <w:rsid w:val="6BF716BE"/>
    <w:rsid w:val="6BFB7801"/>
    <w:rsid w:val="6BFB832F"/>
    <w:rsid w:val="6C4FD6BE"/>
    <w:rsid w:val="6C9F0654"/>
    <w:rsid w:val="6CCE8B05"/>
    <w:rsid w:val="6CE36943"/>
    <w:rsid w:val="6CFE5EA4"/>
    <w:rsid w:val="6CFFBC84"/>
    <w:rsid w:val="6CFFC487"/>
    <w:rsid w:val="6D4B08AD"/>
    <w:rsid w:val="6D4F5F4F"/>
    <w:rsid w:val="6D65FE75"/>
    <w:rsid w:val="6D6D13A5"/>
    <w:rsid w:val="6D6D3C63"/>
    <w:rsid w:val="6D6F513F"/>
    <w:rsid w:val="6D7BF44F"/>
    <w:rsid w:val="6D7E2F39"/>
    <w:rsid w:val="6DBFB3A7"/>
    <w:rsid w:val="6DC70503"/>
    <w:rsid w:val="6DEE1591"/>
    <w:rsid w:val="6DEF3456"/>
    <w:rsid w:val="6DFD8766"/>
    <w:rsid w:val="6DFF454D"/>
    <w:rsid w:val="6DFF8EB3"/>
    <w:rsid w:val="6DFFC0CC"/>
    <w:rsid w:val="6DFFD752"/>
    <w:rsid w:val="6DFFFD32"/>
    <w:rsid w:val="6E32F419"/>
    <w:rsid w:val="6E3F5937"/>
    <w:rsid w:val="6E6D2921"/>
    <w:rsid w:val="6E7E103D"/>
    <w:rsid w:val="6E7F83A2"/>
    <w:rsid w:val="6E9BCD5A"/>
    <w:rsid w:val="6EBAC43E"/>
    <w:rsid w:val="6EDF072D"/>
    <w:rsid w:val="6EE43620"/>
    <w:rsid w:val="6EEE0F84"/>
    <w:rsid w:val="6EEF0DF4"/>
    <w:rsid w:val="6EEF332F"/>
    <w:rsid w:val="6EF5BE98"/>
    <w:rsid w:val="6EF99A2D"/>
    <w:rsid w:val="6EFB4953"/>
    <w:rsid w:val="6EFBF7F9"/>
    <w:rsid w:val="6EFC8AD0"/>
    <w:rsid w:val="6EFD52F7"/>
    <w:rsid w:val="6EFDE49A"/>
    <w:rsid w:val="6EFE6385"/>
    <w:rsid w:val="6EFEE4F1"/>
    <w:rsid w:val="6F1F4FFF"/>
    <w:rsid w:val="6F37249F"/>
    <w:rsid w:val="6F3AB460"/>
    <w:rsid w:val="6F50986C"/>
    <w:rsid w:val="6F5F03EE"/>
    <w:rsid w:val="6F6A956C"/>
    <w:rsid w:val="6F6B0CEF"/>
    <w:rsid w:val="6F6C2CA3"/>
    <w:rsid w:val="6F6D7BF1"/>
    <w:rsid w:val="6F775E4E"/>
    <w:rsid w:val="6F777177"/>
    <w:rsid w:val="6F7DC450"/>
    <w:rsid w:val="6F7F86FE"/>
    <w:rsid w:val="6F8F7F32"/>
    <w:rsid w:val="6F966787"/>
    <w:rsid w:val="6FA9048E"/>
    <w:rsid w:val="6FAFEFF6"/>
    <w:rsid w:val="6FB5AD3B"/>
    <w:rsid w:val="6FB9D801"/>
    <w:rsid w:val="6FBA0EA7"/>
    <w:rsid w:val="6FBA48A6"/>
    <w:rsid w:val="6FBA6136"/>
    <w:rsid w:val="6FBB37FA"/>
    <w:rsid w:val="6FBC68D5"/>
    <w:rsid w:val="6FBC9274"/>
    <w:rsid w:val="6FBE2057"/>
    <w:rsid w:val="6FBF7663"/>
    <w:rsid w:val="6FBF9BE2"/>
    <w:rsid w:val="6FCE0815"/>
    <w:rsid w:val="6FCFF8FE"/>
    <w:rsid w:val="6FD35AD8"/>
    <w:rsid w:val="6FDF074C"/>
    <w:rsid w:val="6FDF0C9A"/>
    <w:rsid w:val="6FDF9D5C"/>
    <w:rsid w:val="6FE77073"/>
    <w:rsid w:val="6FEE58B9"/>
    <w:rsid w:val="6FF3B392"/>
    <w:rsid w:val="6FF4E4E5"/>
    <w:rsid w:val="6FF618E1"/>
    <w:rsid w:val="6FF6D1A3"/>
    <w:rsid w:val="6FF75C0E"/>
    <w:rsid w:val="6FF77107"/>
    <w:rsid w:val="6FF7B1E6"/>
    <w:rsid w:val="6FF80F80"/>
    <w:rsid w:val="6FF8A44F"/>
    <w:rsid w:val="6FFB8632"/>
    <w:rsid w:val="6FFBBA6B"/>
    <w:rsid w:val="6FFC67E3"/>
    <w:rsid w:val="6FFDC149"/>
    <w:rsid w:val="6FFE12D9"/>
    <w:rsid w:val="6FFE219F"/>
    <w:rsid w:val="6FFE7963"/>
    <w:rsid w:val="6FFEDC9C"/>
    <w:rsid w:val="6FFEE758"/>
    <w:rsid w:val="6FFF1DDA"/>
    <w:rsid w:val="707B10C2"/>
    <w:rsid w:val="70EFB073"/>
    <w:rsid w:val="71ABB373"/>
    <w:rsid w:val="71DA07F5"/>
    <w:rsid w:val="71EF4074"/>
    <w:rsid w:val="720D7E09"/>
    <w:rsid w:val="7272CFD0"/>
    <w:rsid w:val="72AD5562"/>
    <w:rsid w:val="72DC12EB"/>
    <w:rsid w:val="72FD6F36"/>
    <w:rsid w:val="73664FC9"/>
    <w:rsid w:val="73795F78"/>
    <w:rsid w:val="738E178B"/>
    <w:rsid w:val="73CC907C"/>
    <w:rsid w:val="73CF486A"/>
    <w:rsid w:val="73CFB6D1"/>
    <w:rsid w:val="73DF74D5"/>
    <w:rsid w:val="73EF4AAB"/>
    <w:rsid w:val="73EF7E03"/>
    <w:rsid w:val="73F959B5"/>
    <w:rsid w:val="73FF1641"/>
    <w:rsid w:val="73FF6EA4"/>
    <w:rsid w:val="73FF9ED7"/>
    <w:rsid w:val="74157AA4"/>
    <w:rsid w:val="7469E6B0"/>
    <w:rsid w:val="74B14248"/>
    <w:rsid w:val="74DF2675"/>
    <w:rsid w:val="74FDF0AE"/>
    <w:rsid w:val="74FF4864"/>
    <w:rsid w:val="7510E195"/>
    <w:rsid w:val="754FAF01"/>
    <w:rsid w:val="7559A8B1"/>
    <w:rsid w:val="756C7827"/>
    <w:rsid w:val="756F2350"/>
    <w:rsid w:val="75753461"/>
    <w:rsid w:val="757B7516"/>
    <w:rsid w:val="757E601D"/>
    <w:rsid w:val="758AF463"/>
    <w:rsid w:val="75AD1FB5"/>
    <w:rsid w:val="75B793E7"/>
    <w:rsid w:val="75BD1B60"/>
    <w:rsid w:val="75BDE50E"/>
    <w:rsid w:val="75BF9581"/>
    <w:rsid w:val="75DF5E5F"/>
    <w:rsid w:val="75DF65A2"/>
    <w:rsid w:val="75EB832C"/>
    <w:rsid w:val="75EF98AE"/>
    <w:rsid w:val="75EFB2AE"/>
    <w:rsid w:val="75FF700C"/>
    <w:rsid w:val="75FFA9E3"/>
    <w:rsid w:val="75FFB9FA"/>
    <w:rsid w:val="767D44CF"/>
    <w:rsid w:val="76ADCE91"/>
    <w:rsid w:val="76BFC027"/>
    <w:rsid w:val="76C7F183"/>
    <w:rsid w:val="76DC0D7A"/>
    <w:rsid w:val="76DFA958"/>
    <w:rsid w:val="76E99DC5"/>
    <w:rsid w:val="76E9C262"/>
    <w:rsid w:val="76F3C0B0"/>
    <w:rsid w:val="76FB3C44"/>
    <w:rsid w:val="76FF3C6C"/>
    <w:rsid w:val="76FF71BF"/>
    <w:rsid w:val="76FFEA06"/>
    <w:rsid w:val="77377B80"/>
    <w:rsid w:val="773B51BC"/>
    <w:rsid w:val="773B75D1"/>
    <w:rsid w:val="773FD9C1"/>
    <w:rsid w:val="77537875"/>
    <w:rsid w:val="775C54B8"/>
    <w:rsid w:val="7763C382"/>
    <w:rsid w:val="776932D2"/>
    <w:rsid w:val="777B05F8"/>
    <w:rsid w:val="777B7160"/>
    <w:rsid w:val="777EAA95"/>
    <w:rsid w:val="777F27E4"/>
    <w:rsid w:val="777F58BB"/>
    <w:rsid w:val="777FA8DB"/>
    <w:rsid w:val="779D6EC2"/>
    <w:rsid w:val="77A21DAA"/>
    <w:rsid w:val="77A3F45F"/>
    <w:rsid w:val="77A8ADF7"/>
    <w:rsid w:val="77AB974C"/>
    <w:rsid w:val="77AF729A"/>
    <w:rsid w:val="77B792D6"/>
    <w:rsid w:val="77BBCC9C"/>
    <w:rsid w:val="77BD974F"/>
    <w:rsid w:val="77BE503C"/>
    <w:rsid w:val="77BFC726"/>
    <w:rsid w:val="77C9F6A7"/>
    <w:rsid w:val="77CF8ED7"/>
    <w:rsid w:val="77D75D4A"/>
    <w:rsid w:val="77D7B44B"/>
    <w:rsid w:val="77DBA0F8"/>
    <w:rsid w:val="77E3EBD7"/>
    <w:rsid w:val="77E9E3E0"/>
    <w:rsid w:val="77ED0565"/>
    <w:rsid w:val="77EE747B"/>
    <w:rsid w:val="77EF7C8A"/>
    <w:rsid w:val="77EFADF9"/>
    <w:rsid w:val="77EFE5AD"/>
    <w:rsid w:val="77F10868"/>
    <w:rsid w:val="77F34BF9"/>
    <w:rsid w:val="77F37F7C"/>
    <w:rsid w:val="77F3DCDF"/>
    <w:rsid w:val="77F51A48"/>
    <w:rsid w:val="77F56EBF"/>
    <w:rsid w:val="77F594EB"/>
    <w:rsid w:val="77F7EC37"/>
    <w:rsid w:val="77FA4757"/>
    <w:rsid w:val="77FA5D10"/>
    <w:rsid w:val="77FB321E"/>
    <w:rsid w:val="77FBB1B2"/>
    <w:rsid w:val="77FD5039"/>
    <w:rsid w:val="77FD6D38"/>
    <w:rsid w:val="77FEC3F5"/>
    <w:rsid w:val="77FF081F"/>
    <w:rsid w:val="77FF62CC"/>
    <w:rsid w:val="77FF6DF9"/>
    <w:rsid w:val="77FFD20D"/>
    <w:rsid w:val="77FFEC36"/>
    <w:rsid w:val="781E4120"/>
    <w:rsid w:val="78931DC3"/>
    <w:rsid w:val="78DF6F00"/>
    <w:rsid w:val="78FFF3EB"/>
    <w:rsid w:val="792FF026"/>
    <w:rsid w:val="793FACE1"/>
    <w:rsid w:val="796E00B8"/>
    <w:rsid w:val="79773A80"/>
    <w:rsid w:val="797DE606"/>
    <w:rsid w:val="797EE5F3"/>
    <w:rsid w:val="797FDC7A"/>
    <w:rsid w:val="798EFC5D"/>
    <w:rsid w:val="799BECDF"/>
    <w:rsid w:val="799DBD8A"/>
    <w:rsid w:val="799FE8E7"/>
    <w:rsid w:val="79AF040C"/>
    <w:rsid w:val="79D7E9D9"/>
    <w:rsid w:val="79D9AC17"/>
    <w:rsid w:val="79EF06DE"/>
    <w:rsid w:val="79FD4CD3"/>
    <w:rsid w:val="79FF6F2E"/>
    <w:rsid w:val="79FFA2B3"/>
    <w:rsid w:val="79FFA3A4"/>
    <w:rsid w:val="79FFCF36"/>
    <w:rsid w:val="79FFE302"/>
    <w:rsid w:val="7A3FE4D2"/>
    <w:rsid w:val="7A74CE49"/>
    <w:rsid w:val="7A775E0B"/>
    <w:rsid w:val="7AB79E41"/>
    <w:rsid w:val="7AB92342"/>
    <w:rsid w:val="7AD60CA1"/>
    <w:rsid w:val="7AFD6259"/>
    <w:rsid w:val="7AFE16D6"/>
    <w:rsid w:val="7AFE4E04"/>
    <w:rsid w:val="7AFF00F9"/>
    <w:rsid w:val="7AFF43BB"/>
    <w:rsid w:val="7AFF8F92"/>
    <w:rsid w:val="7AFFAB3C"/>
    <w:rsid w:val="7B3585DE"/>
    <w:rsid w:val="7B3694E1"/>
    <w:rsid w:val="7B3F9B0A"/>
    <w:rsid w:val="7B3F9D1C"/>
    <w:rsid w:val="7B3FD262"/>
    <w:rsid w:val="7B454CB4"/>
    <w:rsid w:val="7B6E0868"/>
    <w:rsid w:val="7B758164"/>
    <w:rsid w:val="7B7B89DA"/>
    <w:rsid w:val="7B7C4C82"/>
    <w:rsid w:val="7B7F9B44"/>
    <w:rsid w:val="7B9E5751"/>
    <w:rsid w:val="7BA3B6DE"/>
    <w:rsid w:val="7BAE9751"/>
    <w:rsid w:val="7BB66D1D"/>
    <w:rsid w:val="7BBF0CA9"/>
    <w:rsid w:val="7BBF67DC"/>
    <w:rsid w:val="7BBFA5D6"/>
    <w:rsid w:val="7BBFD7D6"/>
    <w:rsid w:val="7BCE9D06"/>
    <w:rsid w:val="7BCFD4F2"/>
    <w:rsid w:val="7BCFE961"/>
    <w:rsid w:val="7BD1B08F"/>
    <w:rsid w:val="7BD49E9F"/>
    <w:rsid w:val="7BD7794D"/>
    <w:rsid w:val="7BD7F9B2"/>
    <w:rsid w:val="7BD7FE3F"/>
    <w:rsid w:val="7BDB6A79"/>
    <w:rsid w:val="7BDF010B"/>
    <w:rsid w:val="7BDF2289"/>
    <w:rsid w:val="7BDF34C4"/>
    <w:rsid w:val="7BDF6323"/>
    <w:rsid w:val="7BDFD096"/>
    <w:rsid w:val="7BDFFC84"/>
    <w:rsid w:val="7BE7D8C1"/>
    <w:rsid w:val="7BE9384A"/>
    <w:rsid w:val="7BEBFF03"/>
    <w:rsid w:val="7BF6F7E2"/>
    <w:rsid w:val="7BF722D0"/>
    <w:rsid w:val="7BF73B45"/>
    <w:rsid w:val="7BF78367"/>
    <w:rsid w:val="7BF79A82"/>
    <w:rsid w:val="7BF7BABB"/>
    <w:rsid w:val="7BFB7279"/>
    <w:rsid w:val="7BFBC889"/>
    <w:rsid w:val="7BFDC53B"/>
    <w:rsid w:val="7BFE8E46"/>
    <w:rsid w:val="7BFF2232"/>
    <w:rsid w:val="7BFF7045"/>
    <w:rsid w:val="7BFF971D"/>
    <w:rsid w:val="7BFFFAEF"/>
    <w:rsid w:val="7C2102A1"/>
    <w:rsid w:val="7C3BE8E5"/>
    <w:rsid w:val="7C6D5F1E"/>
    <w:rsid w:val="7C7B896C"/>
    <w:rsid w:val="7C913AEF"/>
    <w:rsid w:val="7CA7AF05"/>
    <w:rsid w:val="7CBD439D"/>
    <w:rsid w:val="7CDE3381"/>
    <w:rsid w:val="7CEFC204"/>
    <w:rsid w:val="7CF1B350"/>
    <w:rsid w:val="7CF50807"/>
    <w:rsid w:val="7CF9B951"/>
    <w:rsid w:val="7CFB811F"/>
    <w:rsid w:val="7CFDCCBA"/>
    <w:rsid w:val="7CFE9B85"/>
    <w:rsid w:val="7CFF7938"/>
    <w:rsid w:val="7CFF91E1"/>
    <w:rsid w:val="7D3EAA82"/>
    <w:rsid w:val="7D3FEA68"/>
    <w:rsid w:val="7D6BCD70"/>
    <w:rsid w:val="7D732B3C"/>
    <w:rsid w:val="7D7BC045"/>
    <w:rsid w:val="7D7DB67B"/>
    <w:rsid w:val="7D7FF82B"/>
    <w:rsid w:val="7D832370"/>
    <w:rsid w:val="7D86C721"/>
    <w:rsid w:val="7D884CBB"/>
    <w:rsid w:val="7D9D8322"/>
    <w:rsid w:val="7D9FE7FF"/>
    <w:rsid w:val="7DAD5688"/>
    <w:rsid w:val="7DAD7B9B"/>
    <w:rsid w:val="7DB887C5"/>
    <w:rsid w:val="7DBF2E6B"/>
    <w:rsid w:val="7DBF5FC8"/>
    <w:rsid w:val="7DBF6471"/>
    <w:rsid w:val="7DBF7E5C"/>
    <w:rsid w:val="7DBFF652"/>
    <w:rsid w:val="7DC485ED"/>
    <w:rsid w:val="7DCB33B0"/>
    <w:rsid w:val="7DD38334"/>
    <w:rsid w:val="7DD76373"/>
    <w:rsid w:val="7DDB1ED1"/>
    <w:rsid w:val="7DDEF572"/>
    <w:rsid w:val="7DE717F2"/>
    <w:rsid w:val="7DE74588"/>
    <w:rsid w:val="7DEAAA98"/>
    <w:rsid w:val="7DEB1CA7"/>
    <w:rsid w:val="7DEE5F6B"/>
    <w:rsid w:val="7DEF3D75"/>
    <w:rsid w:val="7DEF7588"/>
    <w:rsid w:val="7DEFDAE0"/>
    <w:rsid w:val="7DF3067A"/>
    <w:rsid w:val="7DF3938F"/>
    <w:rsid w:val="7DF676D7"/>
    <w:rsid w:val="7DF677D5"/>
    <w:rsid w:val="7DF67CA5"/>
    <w:rsid w:val="7DF726D8"/>
    <w:rsid w:val="7DF7DC43"/>
    <w:rsid w:val="7DF872A1"/>
    <w:rsid w:val="7DF910D1"/>
    <w:rsid w:val="7DFCC8EC"/>
    <w:rsid w:val="7DFD98CF"/>
    <w:rsid w:val="7DFE0FB0"/>
    <w:rsid w:val="7DFE2CA2"/>
    <w:rsid w:val="7DFE4E8D"/>
    <w:rsid w:val="7DFEA0FA"/>
    <w:rsid w:val="7DFF18DE"/>
    <w:rsid w:val="7DFF5B17"/>
    <w:rsid w:val="7DFF8289"/>
    <w:rsid w:val="7DFF97F9"/>
    <w:rsid w:val="7E1BBF35"/>
    <w:rsid w:val="7E1ECB14"/>
    <w:rsid w:val="7E1F9F47"/>
    <w:rsid w:val="7E3391A6"/>
    <w:rsid w:val="7E3CB4F0"/>
    <w:rsid w:val="7E5FC241"/>
    <w:rsid w:val="7E6DB540"/>
    <w:rsid w:val="7E6FD5D1"/>
    <w:rsid w:val="7E7A8537"/>
    <w:rsid w:val="7E7BB9FF"/>
    <w:rsid w:val="7E7E96CB"/>
    <w:rsid w:val="7E7F45EB"/>
    <w:rsid w:val="7E7FE2B7"/>
    <w:rsid w:val="7E8F5B0E"/>
    <w:rsid w:val="7EAB1E05"/>
    <w:rsid w:val="7EAFDA5D"/>
    <w:rsid w:val="7EB1C43E"/>
    <w:rsid w:val="7EB7369F"/>
    <w:rsid w:val="7EBD5B7F"/>
    <w:rsid w:val="7EBF29D3"/>
    <w:rsid w:val="7EBFED15"/>
    <w:rsid w:val="7EC77AB4"/>
    <w:rsid w:val="7ECB703C"/>
    <w:rsid w:val="7ECC5D7E"/>
    <w:rsid w:val="7EE57F95"/>
    <w:rsid w:val="7EED5392"/>
    <w:rsid w:val="7EED7EAE"/>
    <w:rsid w:val="7EEDFE64"/>
    <w:rsid w:val="7EEE1D83"/>
    <w:rsid w:val="7EEF5221"/>
    <w:rsid w:val="7EF4DA42"/>
    <w:rsid w:val="7EF57C5B"/>
    <w:rsid w:val="7EF60D1E"/>
    <w:rsid w:val="7EF66922"/>
    <w:rsid w:val="7EF7734A"/>
    <w:rsid w:val="7EF7B0A5"/>
    <w:rsid w:val="7EF7F081"/>
    <w:rsid w:val="7EFBA243"/>
    <w:rsid w:val="7EFBD7E8"/>
    <w:rsid w:val="7EFBE8FE"/>
    <w:rsid w:val="7EFCA9CA"/>
    <w:rsid w:val="7EFE38C4"/>
    <w:rsid w:val="7EFE7853"/>
    <w:rsid w:val="7EFF058B"/>
    <w:rsid w:val="7EFF2020"/>
    <w:rsid w:val="7EFF690D"/>
    <w:rsid w:val="7EFFDA17"/>
    <w:rsid w:val="7EFFF8B1"/>
    <w:rsid w:val="7F0778D6"/>
    <w:rsid w:val="7F17BE3B"/>
    <w:rsid w:val="7F251AB5"/>
    <w:rsid w:val="7F2F46A9"/>
    <w:rsid w:val="7F2F6C7F"/>
    <w:rsid w:val="7F33F185"/>
    <w:rsid w:val="7F3B17A1"/>
    <w:rsid w:val="7F3B3C98"/>
    <w:rsid w:val="7F3FD3C4"/>
    <w:rsid w:val="7F3FEC9E"/>
    <w:rsid w:val="7F3FF3EC"/>
    <w:rsid w:val="7F4F9BFE"/>
    <w:rsid w:val="7F529A89"/>
    <w:rsid w:val="7F576177"/>
    <w:rsid w:val="7F591A56"/>
    <w:rsid w:val="7F5BDE8E"/>
    <w:rsid w:val="7F5E73E4"/>
    <w:rsid w:val="7F5F329B"/>
    <w:rsid w:val="7F5F6100"/>
    <w:rsid w:val="7F5F8A79"/>
    <w:rsid w:val="7F5F99D0"/>
    <w:rsid w:val="7F5FF058"/>
    <w:rsid w:val="7F6BE4B8"/>
    <w:rsid w:val="7F6FAE46"/>
    <w:rsid w:val="7F6FE53B"/>
    <w:rsid w:val="7F77006A"/>
    <w:rsid w:val="7F77580B"/>
    <w:rsid w:val="7F779ED7"/>
    <w:rsid w:val="7F77F5FD"/>
    <w:rsid w:val="7F7A01C2"/>
    <w:rsid w:val="7F7A9BA7"/>
    <w:rsid w:val="7F7D9645"/>
    <w:rsid w:val="7F7DC50C"/>
    <w:rsid w:val="7F7DFC70"/>
    <w:rsid w:val="7F7E605F"/>
    <w:rsid w:val="7F7EB9EB"/>
    <w:rsid w:val="7F7F0440"/>
    <w:rsid w:val="7F7F0ADE"/>
    <w:rsid w:val="7F7F5C57"/>
    <w:rsid w:val="7F7FB0B2"/>
    <w:rsid w:val="7F7FFE82"/>
    <w:rsid w:val="7F941DBA"/>
    <w:rsid w:val="7F9BEB82"/>
    <w:rsid w:val="7F9F102F"/>
    <w:rsid w:val="7F9F5B7A"/>
    <w:rsid w:val="7F9F8E55"/>
    <w:rsid w:val="7FA753A3"/>
    <w:rsid w:val="7FA9E617"/>
    <w:rsid w:val="7FADD9E2"/>
    <w:rsid w:val="7FAF130A"/>
    <w:rsid w:val="7FAF21EE"/>
    <w:rsid w:val="7FAF7352"/>
    <w:rsid w:val="7FB35C51"/>
    <w:rsid w:val="7FB397E8"/>
    <w:rsid w:val="7FB6550A"/>
    <w:rsid w:val="7FB73086"/>
    <w:rsid w:val="7FB740EA"/>
    <w:rsid w:val="7FB9A69B"/>
    <w:rsid w:val="7FBA3C8B"/>
    <w:rsid w:val="7FBB51F9"/>
    <w:rsid w:val="7FBBFA67"/>
    <w:rsid w:val="7FBC803C"/>
    <w:rsid w:val="7FBDAF2A"/>
    <w:rsid w:val="7FBDE4E8"/>
    <w:rsid w:val="7FBE413F"/>
    <w:rsid w:val="7FBECEC7"/>
    <w:rsid w:val="7FBF0099"/>
    <w:rsid w:val="7FBF14B3"/>
    <w:rsid w:val="7FBF8458"/>
    <w:rsid w:val="7FBF9E4B"/>
    <w:rsid w:val="7FBFB237"/>
    <w:rsid w:val="7FC70CA2"/>
    <w:rsid w:val="7FCB1E3F"/>
    <w:rsid w:val="7FCE6944"/>
    <w:rsid w:val="7FCF32F7"/>
    <w:rsid w:val="7FCFC2F8"/>
    <w:rsid w:val="7FD6761A"/>
    <w:rsid w:val="7FD6E2D4"/>
    <w:rsid w:val="7FD6F00A"/>
    <w:rsid w:val="7FD744E1"/>
    <w:rsid w:val="7FDB993D"/>
    <w:rsid w:val="7FDC84E6"/>
    <w:rsid w:val="7FDF0239"/>
    <w:rsid w:val="7FDF3F7B"/>
    <w:rsid w:val="7FDF8C3B"/>
    <w:rsid w:val="7FDFC329"/>
    <w:rsid w:val="7FDFF26B"/>
    <w:rsid w:val="7FE34CBD"/>
    <w:rsid w:val="7FE58EBD"/>
    <w:rsid w:val="7FE769C0"/>
    <w:rsid w:val="7FE96130"/>
    <w:rsid w:val="7FEA5796"/>
    <w:rsid w:val="7FEBD86E"/>
    <w:rsid w:val="7FEDB637"/>
    <w:rsid w:val="7FEDC5FF"/>
    <w:rsid w:val="7FEDEFAA"/>
    <w:rsid w:val="7FEE5A61"/>
    <w:rsid w:val="7FEF2126"/>
    <w:rsid w:val="7FEF6167"/>
    <w:rsid w:val="7FEF98E5"/>
    <w:rsid w:val="7FF199C0"/>
    <w:rsid w:val="7FF1BC61"/>
    <w:rsid w:val="7FF3BF59"/>
    <w:rsid w:val="7FF3C383"/>
    <w:rsid w:val="7FF73751"/>
    <w:rsid w:val="7FF739D3"/>
    <w:rsid w:val="7FF7423D"/>
    <w:rsid w:val="7FF7437F"/>
    <w:rsid w:val="7FF761AB"/>
    <w:rsid w:val="7FF777EC"/>
    <w:rsid w:val="7FF7C563"/>
    <w:rsid w:val="7FF7D703"/>
    <w:rsid w:val="7FF7D92A"/>
    <w:rsid w:val="7FF7DD4D"/>
    <w:rsid w:val="7FF7E484"/>
    <w:rsid w:val="7FF7EC25"/>
    <w:rsid w:val="7FFA2522"/>
    <w:rsid w:val="7FFB3230"/>
    <w:rsid w:val="7FFB3366"/>
    <w:rsid w:val="7FFB492C"/>
    <w:rsid w:val="7FFBEEA1"/>
    <w:rsid w:val="7FFC172B"/>
    <w:rsid w:val="7FFD31A7"/>
    <w:rsid w:val="7FFD371A"/>
    <w:rsid w:val="7FFD589E"/>
    <w:rsid w:val="7FFD6C39"/>
    <w:rsid w:val="7FFDF414"/>
    <w:rsid w:val="7FFE1A78"/>
    <w:rsid w:val="7FFE36A1"/>
    <w:rsid w:val="7FFE575A"/>
    <w:rsid w:val="7FFE7106"/>
    <w:rsid w:val="7FFEAE07"/>
    <w:rsid w:val="7FFEC339"/>
    <w:rsid w:val="7FFF1347"/>
    <w:rsid w:val="7FFF148E"/>
    <w:rsid w:val="7FFF1A7B"/>
    <w:rsid w:val="7FFF2019"/>
    <w:rsid w:val="7FFF3C13"/>
    <w:rsid w:val="7FFF41CE"/>
    <w:rsid w:val="7FFF6E14"/>
    <w:rsid w:val="7FFF9C74"/>
    <w:rsid w:val="7FFF9F07"/>
    <w:rsid w:val="7FFFB100"/>
    <w:rsid w:val="7FFFB2B7"/>
    <w:rsid w:val="7FFFB3B3"/>
    <w:rsid w:val="7FFFB530"/>
    <w:rsid w:val="7FFFBF53"/>
    <w:rsid w:val="7FFFC5B2"/>
    <w:rsid w:val="7FFFCFBE"/>
    <w:rsid w:val="7FFFD099"/>
    <w:rsid w:val="7FFFD215"/>
    <w:rsid w:val="7FFFD565"/>
    <w:rsid w:val="7FFFFCAF"/>
    <w:rsid w:val="86DBC896"/>
    <w:rsid w:val="87528AB9"/>
    <w:rsid w:val="87965AC7"/>
    <w:rsid w:val="87C70AE1"/>
    <w:rsid w:val="87F842E1"/>
    <w:rsid w:val="87FF0C77"/>
    <w:rsid w:val="897EF00C"/>
    <w:rsid w:val="8AF714B5"/>
    <w:rsid w:val="8CD9B4DC"/>
    <w:rsid w:val="8DDF4D31"/>
    <w:rsid w:val="8E7EBF74"/>
    <w:rsid w:val="8EB9B504"/>
    <w:rsid w:val="8F11E5CB"/>
    <w:rsid w:val="8FECED80"/>
    <w:rsid w:val="926F41DF"/>
    <w:rsid w:val="936F312D"/>
    <w:rsid w:val="937AE671"/>
    <w:rsid w:val="939F9048"/>
    <w:rsid w:val="93D79E06"/>
    <w:rsid w:val="93E70953"/>
    <w:rsid w:val="93FDC2E2"/>
    <w:rsid w:val="967F6A63"/>
    <w:rsid w:val="96C92BA6"/>
    <w:rsid w:val="96E944EC"/>
    <w:rsid w:val="9735EE70"/>
    <w:rsid w:val="9777985C"/>
    <w:rsid w:val="977E6C7F"/>
    <w:rsid w:val="97BC460A"/>
    <w:rsid w:val="997ED030"/>
    <w:rsid w:val="99FFE09A"/>
    <w:rsid w:val="9AFF10E5"/>
    <w:rsid w:val="9B3F4732"/>
    <w:rsid w:val="9B72DDA2"/>
    <w:rsid w:val="9B75FB5D"/>
    <w:rsid w:val="9B77ACAB"/>
    <w:rsid w:val="9B9DCFDE"/>
    <w:rsid w:val="9BADACC2"/>
    <w:rsid w:val="9BC7D779"/>
    <w:rsid w:val="9BF75902"/>
    <w:rsid w:val="9BFE5192"/>
    <w:rsid w:val="9BFF784A"/>
    <w:rsid w:val="9C3F0454"/>
    <w:rsid w:val="9D3FEAA0"/>
    <w:rsid w:val="9D7EA340"/>
    <w:rsid w:val="9EBEF2CA"/>
    <w:rsid w:val="9ED5CA98"/>
    <w:rsid w:val="9EDD0A18"/>
    <w:rsid w:val="9EE7C9EA"/>
    <w:rsid w:val="9EEDF2D9"/>
    <w:rsid w:val="9EFF44E4"/>
    <w:rsid w:val="9EFF8EC4"/>
    <w:rsid w:val="9EFFF19A"/>
    <w:rsid w:val="9F3FADF6"/>
    <w:rsid w:val="9F770782"/>
    <w:rsid w:val="9FB66D4D"/>
    <w:rsid w:val="9FBDEAF1"/>
    <w:rsid w:val="9FBF82BA"/>
    <w:rsid w:val="9FE9B683"/>
    <w:rsid w:val="9FF92682"/>
    <w:rsid w:val="9FFB8DA9"/>
    <w:rsid w:val="9FFE2BC7"/>
    <w:rsid w:val="9FFE73D7"/>
    <w:rsid w:val="9FFE9DEE"/>
    <w:rsid w:val="A1F81F73"/>
    <w:rsid w:val="A35B3610"/>
    <w:rsid w:val="A4FFE6AF"/>
    <w:rsid w:val="A575FA22"/>
    <w:rsid w:val="A57B112D"/>
    <w:rsid w:val="A6E2FE23"/>
    <w:rsid w:val="A6F91276"/>
    <w:rsid w:val="A76F7381"/>
    <w:rsid w:val="A77E71C3"/>
    <w:rsid w:val="A7F1769A"/>
    <w:rsid w:val="A7F7A61C"/>
    <w:rsid w:val="A9379DC1"/>
    <w:rsid w:val="A95F9522"/>
    <w:rsid w:val="A9B5150E"/>
    <w:rsid w:val="A9DFEDFE"/>
    <w:rsid w:val="A9FBEE47"/>
    <w:rsid w:val="AABBA249"/>
    <w:rsid w:val="AB2F52D8"/>
    <w:rsid w:val="ABBFFAC7"/>
    <w:rsid w:val="ABD79E6B"/>
    <w:rsid w:val="ABDF2ABA"/>
    <w:rsid w:val="ABF9BACD"/>
    <w:rsid w:val="ABFD585D"/>
    <w:rsid w:val="ABFE573B"/>
    <w:rsid w:val="AC5D13AA"/>
    <w:rsid w:val="AD555013"/>
    <w:rsid w:val="AD7CABBB"/>
    <w:rsid w:val="ADAAECBD"/>
    <w:rsid w:val="ADCFBF4F"/>
    <w:rsid w:val="ADDFCBBB"/>
    <w:rsid w:val="ADF58C38"/>
    <w:rsid w:val="ADF78875"/>
    <w:rsid w:val="ADFE3D30"/>
    <w:rsid w:val="AE126E16"/>
    <w:rsid w:val="AE4D4E49"/>
    <w:rsid w:val="AE69F368"/>
    <w:rsid w:val="AE6D0DE5"/>
    <w:rsid w:val="AE6EBB59"/>
    <w:rsid w:val="AEEBD0CF"/>
    <w:rsid w:val="AF3AD085"/>
    <w:rsid w:val="AF771B56"/>
    <w:rsid w:val="AF7BE037"/>
    <w:rsid w:val="AF7F679A"/>
    <w:rsid w:val="AF7F8115"/>
    <w:rsid w:val="AF7FCD75"/>
    <w:rsid w:val="AFA900FA"/>
    <w:rsid w:val="AFAF564E"/>
    <w:rsid w:val="AFBA873B"/>
    <w:rsid w:val="AFBE4873"/>
    <w:rsid w:val="AFBFD761"/>
    <w:rsid w:val="AFD7948E"/>
    <w:rsid w:val="AFDD2B28"/>
    <w:rsid w:val="AFEE7A18"/>
    <w:rsid w:val="AFF30DDD"/>
    <w:rsid w:val="AFF51D40"/>
    <w:rsid w:val="AFF5E228"/>
    <w:rsid w:val="AFF73C1D"/>
    <w:rsid w:val="AFF7CC63"/>
    <w:rsid w:val="AFF91801"/>
    <w:rsid w:val="AFFEFB18"/>
    <w:rsid w:val="B1BB0F7C"/>
    <w:rsid w:val="B1FF8B90"/>
    <w:rsid w:val="B2EFF7F2"/>
    <w:rsid w:val="B2FF1076"/>
    <w:rsid w:val="B377EF62"/>
    <w:rsid w:val="B39DDDAD"/>
    <w:rsid w:val="B3BB74F5"/>
    <w:rsid w:val="B3DE540B"/>
    <w:rsid w:val="B3F71CDF"/>
    <w:rsid w:val="B47FB9C6"/>
    <w:rsid w:val="B4ED9755"/>
    <w:rsid w:val="B57E5CE0"/>
    <w:rsid w:val="B5B8A396"/>
    <w:rsid w:val="B5BD5ADF"/>
    <w:rsid w:val="B5E82066"/>
    <w:rsid w:val="B5FD7A9F"/>
    <w:rsid w:val="B5FF76FE"/>
    <w:rsid w:val="B6BFCF1E"/>
    <w:rsid w:val="B6FE64C0"/>
    <w:rsid w:val="B6FFA38D"/>
    <w:rsid w:val="B73EC9F0"/>
    <w:rsid w:val="B75E9B94"/>
    <w:rsid w:val="B75F7AAB"/>
    <w:rsid w:val="B7770B78"/>
    <w:rsid w:val="B7795174"/>
    <w:rsid w:val="B77F0EC5"/>
    <w:rsid w:val="B7AF1FE5"/>
    <w:rsid w:val="B7B3FDA3"/>
    <w:rsid w:val="B7BE9139"/>
    <w:rsid w:val="B7BF90AD"/>
    <w:rsid w:val="B7BF9550"/>
    <w:rsid w:val="B7BF9F7A"/>
    <w:rsid w:val="B7DF421C"/>
    <w:rsid w:val="B7DF8BED"/>
    <w:rsid w:val="B7DFE42B"/>
    <w:rsid w:val="B7DFE915"/>
    <w:rsid w:val="B7F716D0"/>
    <w:rsid w:val="B7F74623"/>
    <w:rsid w:val="B7FE5DE9"/>
    <w:rsid w:val="B87110A4"/>
    <w:rsid w:val="B8DF6992"/>
    <w:rsid w:val="B8E9DB2A"/>
    <w:rsid w:val="B8F43071"/>
    <w:rsid w:val="B93F9133"/>
    <w:rsid w:val="B9BB6BB7"/>
    <w:rsid w:val="B9E5D73F"/>
    <w:rsid w:val="BA1F9FCB"/>
    <w:rsid w:val="BA7689F2"/>
    <w:rsid w:val="BA7EA676"/>
    <w:rsid w:val="BABBEE81"/>
    <w:rsid w:val="BAE71347"/>
    <w:rsid w:val="BAEFE5B6"/>
    <w:rsid w:val="BAFB7E28"/>
    <w:rsid w:val="BAFDB944"/>
    <w:rsid w:val="BAFF39CC"/>
    <w:rsid w:val="BAFFA788"/>
    <w:rsid w:val="BAFFE9FA"/>
    <w:rsid w:val="BB6BBD17"/>
    <w:rsid w:val="BBBD5440"/>
    <w:rsid w:val="BBBF141C"/>
    <w:rsid w:val="BBBF7F21"/>
    <w:rsid w:val="BBDF07FD"/>
    <w:rsid w:val="BBE6D041"/>
    <w:rsid w:val="BBEE337F"/>
    <w:rsid w:val="BBEF49A5"/>
    <w:rsid w:val="BBFD778A"/>
    <w:rsid w:val="BBFD89DA"/>
    <w:rsid w:val="BBFEBC09"/>
    <w:rsid w:val="BBFF5FAC"/>
    <w:rsid w:val="BBFFD85F"/>
    <w:rsid w:val="BCB7CDA4"/>
    <w:rsid w:val="BCBFD741"/>
    <w:rsid w:val="BCEB4091"/>
    <w:rsid w:val="BCFE3E9D"/>
    <w:rsid w:val="BCFE793D"/>
    <w:rsid w:val="BD07D921"/>
    <w:rsid w:val="BD27AE1B"/>
    <w:rsid w:val="BD6B87B3"/>
    <w:rsid w:val="BD7EFEFD"/>
    <w:rsid w:val="BDAFD23F"/>
    <w:rsid w:val="BDBFF6D2"/>
    <w:rsid w:val="BDED3BEC"/>
    <w:rsid w:val="BDF73C8F"/>
    <w:rsid w:val="BDF7A0AD"/>
    <w:rsid w:val="BDF7F9B2"/>
    <w:rsid w:val="BDF96267"/>
    <w:rsid w:val="BDFD0054"/>
    <w:rsid w:val="BDFF7033"/>
    <w:rsid w:val="BDFFB853"/>
    <w:rsid w:val="BDFFC262"/>
    <w:rsid w:val="BE5F0469"/>
    <w:rsid w:val="BE6F0947"/>
    <w:rsid w:val="BE7EDC71"/>
    <w:rsid w:val="BE7FB7CA"/>
    <w:rsid w:val="BEB9F3E2"/>
    <w:rsid w:val="BEBE2A14"/>
    <w:rsid w:val="BEE3EA30"/>
    <w:rsid w:val="BEE7EB16"/>
    <w:rsid w:val="BEEAAB35"/>
    <w:rsid w:val="BEEB2BA7"/>
    <w:rsid w:val="BEFB2CA2"/>
    <w:rsid w:val="BEFBC191"/>
    <w:rsid w:val="BEFD1108"/>
    <w:rsid w:val="BEFED5A2"/>
    <w:rsid w:val="BF1D1586"/>
    <w:rsid w:val="BF22B30F"/>
    <w:rsid w:val="BF2EAD3E"/>
    <w:rsid w:val="BF2FC71D"/>
    <w:rsid w:val="BF564E10"/>
    <w:rsid w:val="BF6BA9CC"/>
    <w:rsid w:val="BF76A706"/>
    <w:rsid w:val="BF7B2CEA"/>
    <w:rsid w:val="BF7D6A5D"/>
    <w:rsid w:val="BF7E6150"/>
    <w:rsid w:val="BF935B90"/>
    <w:rsid w:val="BF936ED8"/>
    <w:rsid w:val="BF96788B"/>
    <w:rsid w:val="BF9E696C"/>
    <w:rsid w:val="BFAF121E"/>
    <w:rsid w:val="BFB7FCB1"/>
    <w:rsid w:val="BFBF5407"/>
    <w:rsid w:val="BFBF6908"/>
    <w:rsid w:val="BFBFB30E"/>
    <w:rsid w:val="BFBFBBBB"/>
    <w:rsid w:val="BFC7530F"/>
    <w:rsid w:val="BFCD0421"/>
    <w:rsid w:val="BFCE31AD"/>
    <w:rsid w:val="BFD394F6"/>
    <w:rsid w:val="BFD5889A"/>
    <w:rsid w:val="BFD6F24A"/>
    <w:rsid w:val="BFD90057"/>
    <w:rsid w:val="BFDB3AE4"/>
    <w:rsid w:val="BFDCF59A"/>
    <w:rsid w:val="BFDF443D"/>
    <w:rsid w:val="BFDF69C3"/>
    <w:rsid w:val="BFEAE8BF"/>
    <w:rsid w:val="BFEB298A"/>
    <w:rsid w:val="BFEFA0CE"/>
    <w:rsid w:val="BFEFF0F8"/>
    <w:rsid w:val="BFF57D4C"/>
    <w:rsid w:val="BFF64135"/>
    <w:rsid w:val="BFF68A07"/>
    <w:rsid w:val="BFF6D5F4"/>
    <w:rsid w:val="BFF7CE0F"/>
    <w:rsid w:val="BFFBC0F6"/>
    <w:rsid w:val="BFFBE279"/>
    <w:rsid w:val="BFFE95FC"/>
    <w:rsid w:val="BFFEC1A9"/>
    <w:rsid w:val="BFFECA24"/>
    <w:rsid w:val="BFFF0112"/>
    <w:rsid w:val="BFFF8546"/>
    <w:rsid w:val="BFFFDE1A"/>
    <w:rsid w:val="C37B53B6"/>
    <w:rsid w:val="C5DB5B03"/>
    <w:rsid w:val="C6BB522B"/>
    <w:rsid w:val="C6FF5705"/>
    <w:rsid w:val="C7537EEB"/>
    <w:rsid w:val="C7678B2D"/>
    <w:rsid w:val="C7BF231C"/>
    <w:rsid w:val="C7EB608E"/>
    <w:rsid w:val="C7EF2B71"/>
    <w:rsid w:val="C89EC084"/>
    <w:rsid w:val="C8BDE775"/>
    <w:rsid w:val="C97E610F"/>
    <w:rsid w:val="C9FC7D8B"/>
    <w:rsid w:val="C9FF0E54"/>
    <w:rsid w:val="CAFF1D21"/>
    <w:rsid w:val="CAFF8D24"/>
    <w:rsid w:val="CB5EEBD5"/>
    <w:rsid w:val="CB777397"/>
    <w:rsid w:val="CB7B3476"/>
    <w:rsid w:val="CBBFBD84"/>
    <w:rsid w:val="CBF73D86"/>
    <w:rsid w:val="CBF7ADA0"/>
    <w:rsid w:val="CBFEE36A"/>
    <w:rsid w:val="CC2F57FC"/>
    <w:rsid w:val="CCE9EB42"/>
    <w:rsid w:val="CDEF1B71"/>
    <w:rsid w:val="CDF5C2D3"/>
    <w:rsid w:val="CDF78443"/>
    <w:rsid w:val="CE653152"/>
    <w:rsid w:val="CE9DD592"/>
    <w:rsid w:val="CEB19E75"/>
    <w:rsid w:val="CEDD4542"/>
    <w:rsid w:val="CEFBC057"/>
    <w:rsid w:val="CEFC09B6"/>
    <w:rsid w:val="CEFEBA27"/>
    <w:rsid w:val="CEFF6DA0"/>
    <w:rsid w:val="CF07E5AE"/>
    <w:rsid w:val="CF66F1A5"/>
    <w:rsid w:val="CF8F922C"/>
    <w:rsid w:val="CF9E2C49"/>
    <w:rsid w:val="CFB7B727"/>
    <w:rsid w:val="CFBF3142"/>
    <w:rsid w:val="CFD382F5"/>
    <w:rsid w:val="CFDC9072"/>
    <w:rsid w:val="CFE4E922"/>
    <w:rsid w:val="CFF3FF1E"/>
    <w:rsid w:val="CFF57784"/>
    <w:rsid w:val="CFF69935"/>
    <w:rsid w:val="CFF998C2"/>
    <w:rsid w:val="CFFF086E"/>
    <w:rsid w:val="D0FD9C12"/>
    <w:rsid w:val="D16DC452"/>
    <w:rsid w:val="D3A3E9C8"/>
    <w:rsid w:val="D3FBB0AF"/>
    <w:rsid w:val="D3FF6C15"/>
    <w:rsid w:val="D4EA5194"/>
    <w:rsid w:val="D4F30A04"/>
    <w:rsid w:val="D5BF78B2"/>
    <w:rsid w:val="D5F3720A"/>
    <w:rsid w:val="D5F74E12"/>
    <w:rsid w:val="D5F98927"/>
    <w:rsid w:val="D5FD1098"/>
    <w:rsid w:val="D5FF3361"/>
    <w:rsid w:val="D5FFC931"/>
    <w:rsid w:val="D6BB95CE"/>
    <w:rsid w:val="D6BFBD0F"/>
    <w:rsid w:val="D6DDDD88"/>
    <w:rsid w:val="D6DF15B0"/>
    <w:rsid w:val="D6DF4DDA"/>
    <w:rsid w:val="D73D0CBE"/>
    <w:rsid w:val="D74DD947"/>
    <w:rsid w:val="D74E919C"/>
    <w:rsid w:val="D76FE845"/>
    <w:rsid w:val="D77791A3"/>
    <w:rsid w:val="D77B855C"/>
    <w:rsid w:val="D77BDC44"/>
    <w:rsid w:val="D77D2D87"/>
    <w:rsid w:val="D77D5302"/>
    <w:rsid w:val="D77F2CE7"/>
    <w:rsid w:val="D7B6AD4D"/>
    <w:rsid w:val="D7BF061E"/>
    <w:rsid w:val="D7DA3AE6"/>
    <w:rsid w:val="D7DBE6F8"/>
    <w:rsid w:val="D7F1ABE5"/>
    <w:rsid w:val="D7F1B2AB"/>
    <w:rsid w:val="D7F73B01"/>
    <w:rsid w:val="D7F968AF"/>
    <w:rsid w:val="D7FDD6E9"/>
    <w:rsid w:val="D7FEE909"/>
    <w:rsid w:val="D7FEF3E0"/>
    <w:rsid w:val="D7FFA5BF"/>
    <w:rsid w:val="D8BF202C"/>
    <w:rsid w:val="D9514514"/>
    <w:rsid w:val="D9BF376F"/>
    <w:rsid w:val="D9EAD53A"/>
    <w:rsid w:val="D9EED941"/>
    <w:rsid w:val="D9F345C8"/>
    <w:rsid w:val="D9F731DC"/>
    <w:rsid w:val="D9FD3BA4"/>
    <w:rsid w:val="D9FF1472"/>
    <w:rsid w:val="DA58680E"/>
    <w:rsid w:val="DA7DB752"/>
    <w:rsid w:val="DA7F2373"/>
    <w:rsid w:val="DAA71C36"/>
    <w:rsid w:val="DABED573"/>
    <w:rsid w:val="DAE5E0E4"/>
    <w:rsid w:val="DAFDFDF0"/>
    <w:rsid w:val="DAFE3FFD"/>
    <w:rsid w:val="DB3F136C"/>
    <w:rsid w:val="DB3FBC48"/>
    <w:rsid w:val="DB3FEF9F"/>
    <w:rsid w:val="DB57ABA8"/>
    <w:rsid w:val="DB623902"/>
    <w:rsid w:val="DB6D2033"/>
    <w:rsid w:val="DB6DE726"/>
    <w:rsid w:val="DB7B887D"/>
    <w:rsid w:val="DB7F5D36"/>
    <w:rsid w:val="DB7FBDE8"/>
    <w:rsid w:val="DBBEDD0D"/>
    <w:rsid w:val="DBBF1E3A"/>
    <w:rsid w:val="DBBF2168"/>
    <w:rsid w:val="DBBFB7BF"/>
    <w:rsid w:val="DBC7B291"/>
    <w:rsid w:val="DBCB1FFA"/>
    <w:rsid w:val="DBE584CE"/>
    <w:rsid w:val="DBECE59D"/>
    <w:rsid w:val="DBEF3ABD"/>
    <w:rsid w:val="DBEF801B"/>
    <w:rsid w:val="DBFA52BB"/>
    <w:rsid w:val="DBFD58C3"/>
    <w:rsid w:val="DBFF1A81"/>
    <w:rsid w:val="DBFF723E"/>
    <w:rsid w:val="DBFFD40D"/>
    <w:rsid w:val="DC8F986F"/>
    <w:rsid w:val="DCDFBA3B"/>
    <w:rsid w:val="DCDFEA37"/>
    <w:rsid w:val="DCFD5FD8"/>
    <w:rsid w:val="DCFDB701"/>
    <w:rsid w:val="DD3F8DD6"/>
    <w:rsid w:val="DD436540"/>
    <w:rsid w:val="DD60C9C5"/>
    <w:rsid w:val="DD7E4DF5"/>
    <w:rsid w:val="DD7FC5F9"/>
    <w:rsid w:val="DD96C9FE"/>
    <w:rsid w:val="DDBF2D2C"/>
    <w:rsid w:val="DDBFD2E9"/>
    <w:rsid w:val="DDBFEF27"/>
    <w:rsid w:val="DDEEF8F3"/>
    <w:rsid w:val="DDF335AD"/>
    <w:rsid w:val="DDF5D37E"/>
    <w:rsid w:val="DDFA5510"/>
    <w:rsid w:val="DDFA6CF8"/>
    <w:rsid w:val="DDFB1C07"/>
    <w:rsid w:val="DDFB3046"/>
    <w:rsid w:val="DE72DCE2"/>
    <w:rsid w:val="DE7F0ED5"/>
    <w:rsid w:val="DEAB318D"/>
    <w:rsid w:val="DEBBFC1C"/>
    <w:rsid w:val="DEDB7139"/>
    <w:rsid w:val="DEDF4064"/>
    <w:rsid w:val="DEE7CE72"/>
    <w:rsid w:val="DEF51904"/>
    <w:rsid w:val="DEF74FB4"/>
    <w:rsid w:val="DEF7DD4A"/>
    <w:rsid w:val="DEF9C80E"/>
    <w:rsid w:val="DEFBBF33"/>
    <w:rsid w:val="DEFD60EB"/>
    <w:rsid w:val="DEFF28B9"/>
    <w:rsid w:val="DEFF591D"/>
    <w:rsid w:val="DF3FFB49"/>
    <w:rsid w:val="DF452D61"/>
    <w:rsid w:val="DF5DDDA9"/>
    <w:rsid w:val="DF5F0FDC"/>
    <w:rsid w:val="DF5FAA5A"/>
    <w:rsid w:val="DF5FCA0B"/>
    <w:rsid w:val="DF6F8B98"/>
    <w:rsid w:val="DF7750DE"/>
    <w:rsid w:val="DF77548B"/>
    <w:rsid w:val="DF7BACF5"/>
    <w:rsid w:val="DF7FC749"/>
    <w:rsid w:val="DF7FCD0E"/>
    <w:rsid w:val="DF8666F7"/>
    <w:rsid w:val="DF9BCBD6"/>
    <w:rsid w:val="DF9C9523"/>
    <w:rsid w:val="DFADD452"/>
    <w:rsid w:val="DFB75D1D"/>
    <w:rsid w:val="DFB78D0A"/>
    <w:rsid w:val="DFC71B06"/>
    <w:rsid w:val="DFD7A974"/>
    <w:rsid w:val="DFDBE12A"/>
    <w:rsid w:val="DFDFB220"/>
    <w:rsid w:val="DFDFF9D7"/>
    <w:rsid w:val="DFEBF697"/>
    <w:rsid w:val="DFECE2CB"/>
    <w:rsid w:val="DFEEBE17"/>
    <w:rsid w:val="DFF22751"/>
    <w:rsid w:val="DFF7A453"/>
    <w:rsid w:val="DFFA58B6"/>
    <w:rsid w:val="DFFA69F8"/>
    <w:rsid w:val="DFFDDC10"/>
    <w:rsid w:val="DFFE07E6"/>
    <w:rsid w:val="DFFF0504"/>
    <w:rsid w:val="DFFF17FD"/>
    <w:rsid w:val="DFFF2FC6"/>
    <w:rsid w:val="DFFF4332"/>
    <w:rsid w:val="DFFF57CD"/>
    <w:rsid w:val="DFFF5DEA"/>
    <w:rsid w:val="DFFF6285"/>
    <w:rsid w:val="DFFFDBB6"/>
    <w:rsid w:val="E1F7F6A7"/>
    <w:rsid w:val="E2E848AC"/>
    <w:rsid w:val="E2FD003B"/>
    <w:rsid w:val="E319E232"/>
    <w:rsid w:val="E35C5A40"/>
    <w:rsid w:val="E37BD875"/>
    <w:rsid w:val="E37F0F14"/>
    <w:rsid w:val="E38F2935"/>
    <w:rsid w:val="E39B9EE4"/>
    <w:rsid w:val="E3CF60FD"/>
    <w:rsid w:val="E3F5E3F2"/>
    <w:rsid w:val="E3FAABE1"/>
    <w:rsid w:val="E3FEF34D"/>
    <w:rsid w:val="E3FFC3DE"/>
    <w:rsid w:val="E4EFBB6D"/>
    <w:rsid w:val="E4F7C05E"/>
    <w:rsid w:val="E53A5D26"/>
    <w:rsid w:val="E53B45C9"/>
    <w:rsid w:val="E5781D00"/>
    <w:rsid w:val="E57FEDB5"/>
    <w:rsid w:val="E5F7EE53"/>
    <w:rsid w:val="E5FAC689"/>
    <w:rsid w:val="E675633F"/>
    <w:rsid w:val="E67B4D50"/>
    <w:rsid w:val="E67F66FD"/>
    <w:rsid w:val="E6BF249D"/>
    <w:rsid w:val="E6DE556C"/>
    <w:rsid w:val="E6DF79C8"/>
    <w:rsid w:val="E726CCE1"/>
    <w:rsid w:val="E73F9D20"/>
    <w:rsid w:val="E749BA89"/>
    <w:rsid w:val="E77B084E"/>
    <w:rsid w:val="E77E65C4"/>
    <w:rsid w:val="E7B9C9F3"/>
    <w:rsid w:val="E7C8D813"/>
    <w:rsid w:val="E7D1A8D9"/>
    <w:rsid w:val="E7DF66D7"/>
    <w:rsid w:val="E7DF7394"/>
    <w:rsid w:val="E7F5CA1A"/>
    <w:rsid w:val="E7FA3FC8"/>
    <w:rsid w:val="E7FD22B7"/>
    <w:rsid w:val="E7FD8680"/>
    <w:rsid w:val="E87BF329"/>
    <w:rsid w:val="E8BB2E5B"/>
    <w:rsid w:val="E8FD73B7"/>
    <w:rsid w:val="E8FF40E5"/>
    <w:rsid w:val="E91F6817"/>
    <w:rsid w:val="E999AB26"/>
    <w:rsid w:val="E9BF31A5"/>
    <w:rsid w:val="E9C37371"/>
    <w:rsid w:val="E9FF0FE7"/>
    <w:rsid w:val="EA396202"/>
    <w:rsid w:val="EA71722B"/>
    <w:rsid w:val="EA7EF995"/>
    <w:rsid w:val="EA7F0E22"/>
    <w:rsid w:val="EAE6221C"/>
    <w:rsid w:val="EAF8C9F2"/>
    <w:rsid w:val="EB3F28F1"/>
    <w:rsid w:val="EB5BCD9F"/>
    <w:rsid w:val="EB6E5CF9"/>
    <w:rsid w:val="EB9F49D4"/>
    <w:rsid w:val="EBA359D1"/>
    <w:rsid w:val="EBBD4FBB"/>
    <w:rsid w:val="EBBF2B0D"/>
    <w:rsid w:val="EBCCD609"/>
    <w:rsid w:val="EBD9C14E"/>
    <w:rsid w:val="EBDBE0B2"/>
    <w:rsid w:val="EBDDB7D7"/>
    <w:rsid w:val="EBDE1EA2"/>
    <w:rsid w:val="EBDE2363"/>
    <w:rsid w:val="EBF36B6A"/>
    <w:rsid w:val="EBF72F58"/>
    <w:rsid w:val="EBF93819"/>
    <w:rsid w:val="EBFB0753"/>
    <w:rsid w:val="EBFCD55B"/>
    <w:rsid w:val="EBFD1398"/>
    <w:rsid w:val="EBFEBCDF"/>
    <w:rsid w:val="EBFEC1F2"/>
    <w:rsid w:val="EBFF0A9E"/>
    <w:rsid w:val="EBFFA90C"/>
    <w:rsid w:val="EBFFC60B"/>
    <w:rsid w:val="ECAC1C0F"/>
    <w:rsid w:val="ECB65917"/>
    <w:rsid w:val="ECD701DC"/>
    <w:rsid w:val="ECDA8B5C"/>
    <w:rsid w:val="ECEFAA43"/>
    <w:rsid w:val="ECF6495A"/>
    <w:rsid w:val="ECFEEAD1"/>
    <w:rsid w:val="ED3CC910"/>
    <w:rsid w:val="ED5B60B7"/>
    <w:rsid w:val="ED6DC1D1"/>
    <w:rsid w:val="ED779348"/>
    <w:rsid w:val="ED7F0A14"/>
    <w:rsid w:val="EDA77140"/>
    <w:rsid w:val="EDA935A7"/>
    <w:rsid w:val="EDAC290A"/>
    <w:rsid w:val="EDBB30BC"/>
    <w:rsid w:val="EDBFC4A4"/>
    <w:rsid w:val="EDD2FCCB"/>
    <w:rsid w:val="EDD9C4AF"/>
    <w:rsid w:val="EDDF66BE"/>
    <w:rsid w:val="EDE716C5"/>
    <w:rsid w:val="EDFAD5F6"/>
    <w:rsid w:val="EDFB8705"/>
    <w:rsid w:val="EDFD97AB"/>
    <w:rsid w:val="EE374FA0"/>
    <w:rsid w:val="EE5B8CCE"/>
    <w:rsid w:val="EE5F7700"/>
    <w:rsid w:val="EEA19AE8"/>
    <w:rsid w:val="EEBE2D40"/>
    <w:rsid w:val="EEBF169C"/>
    <w:rsid w:val="EEBFD490"/>
    <w:rsid w:val="EEEB71AB"/>
    <w:rsid w:val="EEED0BE9"/>
    <w:rsid w:val="EEEEAA07"/>
    <w:rsid w:val="EEEFD6B6"/>
    <w:rsid w:val="EEFA72E3"/>
    <w:rsid w:val="EEFB2CC9"/>
    <w:rsid w:val="EEFC5384"/>
    <w:rsid w:val="EEFE6C91"/>
    <w:rsid w:val="EEFFE9F2"/>
    <w:rsid w:val="EF273C47"/>
    <w:rsid w:val="EF2D3B25"/>
    <w:rsid w:val="EF2EF39E"/>
    <w:rsid w:val="EF2F2757"/>
    <w:rsid w:val="EF36783C"/>
    <w:rsid w:val="EF3A7B95"/>
    <w:rsid w:val="EF4B6A8E"/>
    <w:rsid w:val="EF70C314"/>
    <w:rsid w:val="EF77C663"/>
    <w:rsid w:val="EF7F83DD"/>
    <w:rsid w:val="EF7FAA7B"/>
    <w:rsid w:val="EF97CCAD"/>
    <w:rsid w:val="EFB74358"/>
    <w:rsid w:val="EFBC0886"/>
    <w:rsid w:val="EFBC3905"/>
    <w:rsid w:val="EFBE8688"/>
    <w:rsid w:val="EFBFB777"/>
    <w:rsid w:val="EFBFEF38"/>
    <w:rsid w:val="EFCB1A41"/>
    <w:rsid w:val="EFDE255F"/>
    <w:rsid w:val="EFDF789C"/>
    <w:rsid w:val="EFDF7D92"/>
    <w:rsid w:val="EFE150A2"/>
    <w:rsid w:val="EFE68779"/>
    <w:rsid w:val="EFE7144A"/>
    <w:rsid w:val="EFF33B51"/>
    <w:rsid w:val="EFF40584"/>
    <w:rsid w:val="EFF562F0"/>
    <w:rsid w:val="EFFA86E4"/>
    <w:rsid w:val="EFFB0419"/>
    <w:rsid w:val="EFFB136A"/>
    <w:rsid w:val="EFFB2724"/>
    <w:rsid w:val="EFFB74D9"/>
    <w:rsid w:val="EFFC8444"/>
    <w:rsid w:val="EFFD0CE4"/>
    <w:rsid w:val="EFFD9986"/>
    <w:rsid w:val="EFFE2395"/>
    <w:rsid w:val="EFFE3242"/>
    <w:rsid w:val="EFFF8C2E"/>
    <w:rsid w:val="EFFFA0AB"/>
    <w:rsid w:val="EFFFAE4D"/>
    <w:rsid w:val="EFFFCDE8"/>
    <w:rsid w:val="EFFFD2C7"/>
    <w:rsid w:val="F0536D57"/>
    <w:rsid w:val="F0B1C183"/>
    <w:rsid w:val="F0F6C22F"/>
    <w:rsid w:val="F19F3723"/>
    <w:rsid w:val="F1AFE1A7"/>
    <w:rsid w:val="F1BC1965"/>
    <w:rsid w:val="F1BD9C9E"/>
    <w:rsid w:val="F1BDE076"/>
    <w:rsid w:val="F1CFE144"/>
    <w:rsid w:val="F1DB3147"/>
    <w:rsid w:val="F1F9B862"/>
    <w:rsid w:val="F26FF438"/>
    <w:rsid w:val="F27610E2"/>
    <w:rsid w:val="F2D44052"/>
    <w:rsid w:val="F2DFD2CC"/>
    <w:rsid w:val="F2FD91E2"/>
    <w:rsid w:val="F2FF3B2B"/>
    <w:rsid w:val="F2FFAF80"/>
    <w:rsid w:val="F34FF9FD"/>
    <w:rsid w:val="F3578916"/>
    <w:rsid w:val="F35F7D1E"/>
    <w:rsid w:val="F37B9B7F"/>
    <w:rsid w:val="F37FFDFB"/>
    <w:rsid w:val="F3933022"/>
    <w:rsid w:val="F397B087"/>
    <w:rsid w:val="F3B3C724"/>
    <w:rsid w:val="F3B4ED35"/>
    <w:rsid w:val="F3CE8F45"/>
    <w:rsid w:val="F3CF48D2"/>
    <w:rsid w:val="F3D7D7F7"/>
    <w:rsid w:val="F3E6BC8F"/>
    <w:rsid w:val="F3EA4221"/>
    <w:rsid w:val="F3F7AAA5"/>
    <w:rsid w:val="F3FFEFC1"/>
    <w:rsid w:val="F4AD3CD1"/>
    <w:rsid w:val="F4DD80E0"/>
    <w:rsid w:val="F4ED1E28"/>
    <w:rsid w:val="F4F773F0"/>
    <w:rsid w:val="F4F7A1C3"/>
    <w:rsid w:val="F4FB71B3"/>
    <w:rsid w:val="F52F2878"/>
    <w:rsid w:val="F57653B5"/>
    <w:rsid w:val="F58EC5CB"/>
    <w:rsid w:val="F5B30E96"/>
    <w:rsid w:val="F5D37835"/>
    <w:rsid w:val="F5EA2262"/>
    <w:rsid w:val="F5EBAB5D"/>
    <w:rsid w:val="F5F05359"/>
    <w:rsid w:val="F5FC206D"/>
    <w:rsid w:val="F5FEC823"/>
    <w:rsid w:val="F5FF641F"/>
    <w:rsid w:val="F5FFB8CC"/>
    <w:rsid w:val="F5FFE3E2"/>
    <w:rsid w:val="F5FFF8F7"/>
    <w:rsid w:val="F6279BB3"/>
    <w:rsid w:val="F6471E03"/>
    <w:rsid w:val="F67EF1E4"/>
    <w:rsid w:val="F69B8342"/>
    <w:rsid w:val="F6E947AE"/>
    <w:rsid w:val="F6EB76ED"/>
    <w:rsid w:val="F6EF7CF7"/>
    <w:rsid w:val="F6EFAFDD"/>
    <w:rsid w:val="F6F77F6B"/>
    <w:rsid w:val="F6FD4D9D"/>
    <w:rsid w:val="F6FF1F3C"/>
    <w:rsid w:val="F6FFA5EF"/>
    <w:rsid w:val="F73F186D"/>
    <w:rsid w:val="F74F04A5"/>
    <w:rsid w:val="F75BD683"/>
    <w:rsid w:val="F75CB06E"/>
    <w:rsid w:val="F765502B"/>
    <w:rsid w:val="F76D75E4"/>
    <w:rsid w:val="F76F7B23"/>
    <w:rsid w:val="F779B2DF"/>
    <w:rsid w:val="F77A15C9"/>
    <w:rsid w:val="F77C30DF"/>
    <w:rsid w:val="F77F3F81"/>
    <w:rsid w:val="F77F4685"/>
    <w:rsid w:val="F77F5DAF"/>
    <w:rsid w:val="F78DE84A"/>
    <w:rsid w:val="F797C2F0"/>
    <w:rsid w:val="F79E48BA"/>
    <w:rsid w:val="F79E5F20"/>
    <w:rsid w:val="F79F48C6"/>
    <w:rsid w:val="F79FEC5B"/>
    <w:rsid w:val="F7A3F72C"/>
    <w:rsid w:val="F7A75F9C"/>
    <w:rsid w:val="F7AF087A"/>
    <w:rsid w:val="F7AFB1C5"/>
    <w:rsid w:val="F7B119AD"/>
    <w:rsid w:val="F7B227EE"/>
    <w:rsid w:val="F7B53510"/>
    <w:rsid w:val="F7BC69CD"/>
    <w:rsid w:val="F7BF47AF"/>
    <w:rsid w:val="F7BF9668"/>
    <w:rsid w:val="F7BFB0AC"/>
    <w:rsid w:val="F7D50F58"/>
    <w:rsid w:val="F7DEEEC6"/>
    <w:rsid w:val="F7DF2BE1"/>
    <w:rsid w:val="F7DF9C02"/>
    <w:rsid w:val="F7E74B0A"/>
    <w:rsid w:val="F7EE1831"/>
    <w:rsid w:val="F7F00351"/>
    <w:rsid w:val="F7F3040F"/>
    <w:rsid w:val="F7F3AD18"/>
    <w:rsid w:val="F7F5049C"/>
    <w:rsid w:val="F7F69617"/>
    <w:rsid w:val="F7F77393"/>
    <w:rsid w:val="F7F7F44D"/>
    <w:rsid w:val="F7FB8346"/>
    <w:rsid w:val="F7FBBB67"/>
    <w:rsid w:val="F7FC2484"/>
    <w:rsid w:val="F7FD4CEE"/>
    <w:rsid w:val="F7FEC02F"/>
    <w:rsid w:val="F7FF0C8D"/>
    <w:rsid w:val="F7FF69F0"/>
    <w:rsid w:val="F7FF96A2"/>
    <w:rsid w:val="F7FFE675"/>
    <w:rsid w:val="F7FFFD47"/>
    <w:rsid w:val="F8165028"/>
    <w:rsid w:val="F8BB6043"/>
    <w:rsid w:val="F8D5A024"/>
    <w:rsid w:val="F8DD8FF2"/>
    <w:rsid w:val="F8ED8A3D"/>
    <w:rsid w:val="F8EFCFCC"/>
    <w:rsid w:val="F8F745DE"/>
    <w:rsid w:val="F955BCA8"/>
    <w:rsid w:val="F95F1CF1"/>
    <w:rsid w:val="F97FDD31"/>
    <w:rsid w:val="F997DC4E"/>
    <w:rsid w:val="F99F46CD"/>
    <w:rsid w:val="F9A7D231"/>
    <w:rsid w:val="F9AFFF49"/>
    <w:rsid w:val="F9B74E2F"/>
    <w:rsid w:val="F9D612D3"/>
    <w:rsid w:val="F9D6AF7C"/>
    <w:rsid w:val="F9DDA769"/>
    <w:rsid w:val="F9EA7989"/>
    <w:rsid w:val="F9ED2BF8"/>
    <w:rsid w:val="F9F5855A"/>
    <w:rsid w:val="F9F6C261"/>
    <w:rsid w:val="F9FB8808"/>
    <w:rsid w:val="F9FD1315"/>
    <w:rsid w:val="F9FE093A"/>
    <w:rsid w:val="FA1FF523"/>
    <w:rsid w:val="FA9F1666"/>
    <w:rsid w:val="FAAAD94D"/>
    <w:rsid w:val="FAABE485"/>
    <w:rsid w:val="FADB2C5A"/>
    <w:rsid w:val="FAEBC600"/>
    <w:rsid w:val="FAF35AEF"/>
    <w:rsid w:val="FAFC5E5F"/>
    <w:rsid w:val="FAFD82EB"/>
    <w:rsid w:val="FAFE1051"/>
    <w:rsid w:val="FAFF683C"/>
    <w:rsid w:val="FAFF8A5E"/>
    <w:rsid w:val="FAFFC7B0"/>
    <w:rsid w:val="FB1F8DA0"/>
    <w:rsid w:val="FB551E98"/>
    <w:rsid w:val="FB5EEEA1"/>
    <w:rsid w:val="FB6B546C"/>
    <w:rsid w:val="FB6FA54A"/>
    <w:rsid w:val="FB7B225F"/>
    <w:rsid w:val="FB7E07AB"/>
    <w:rsid w:val="FB7F1F91"/>
    <w:rsid w:val="FB7F33EE"/>
    <w:rsid w:val="FB7F3876"/>
    <w:rsid w:val="FB7F492B"/>
    <w:rsid w:val="FB7F5295"/>
    <w:rsid w:val="FB7FD4B3"/>
    <w:rsid w:val="FB9DF123"/>
    <w:rsid w:val="FB9F5DDE"/>
    <w:rsid w:val="FB9FDBE6"/>
    <w:rsid w:val="FBB149FC"/>
    <w:rsid w:val="FBB4F6D4"/>
    <w:rsid w:val="FBBA7305"/>
    <w:rsid w:val="FBBB83BA"/>
    <w:rsid w:val="FBBD23AE"/>
    <w:rsid w:val="FBBE293A"/>
    <w:rsid w:val="FBBF8916"/>
    <w:rsid w:val="FBBF96CC"/>
    <w:rsid w:val="FBBFAF72"/>
    <w:rsid w:val="FBCAF085"/>
    <w:rsid w:val="FBCF8F1A"/>
    <w:rsid w:val="FBD1C702"/>
    <w:rsid w:val="FBDB1223"/>
    <w:rsid w:val="FBDDA4B2"/>
    <w:rsid w:val="FBDDC22C"/>
    <w:rsid w:val="FBDEA97F"/>
    <w:rsid w:val="FBDF38A1"/>
    <w:rsid w:val="FBDF3920"/>
    <w:rsid w:val="FBDF6724"/>
    <w:rsid w:val="FBE53E82"/>
    <w:rsid w:val="FBE778BD"/>
    <w:rsid w:val="FBEAEFF6"/>
    <w:rsid w:val="FBEB4E62"/>
    <w:rsid w:val="FBEBED02"/>
    <w:rsid w:val="FBED6B10"/>
    <w:rsid w:val="FBEE568F"/>
    <w:rsid w:val="FBEF19FC"/>
    <w:rsid w:val="FBEF8E9D"/>
    <w:rsid w:val="FBF25ABD"/>
    <w:rsid w:val="FBFB0251"/>
    <w:rsid w:val="FBFE9DD5"/>
    <w:rsid w:val="FBFEA49F"/>
    <w:rsid w:val="FBFECA48"/>
    <w:rsid w:val="FBFF7926"/>
    <w:rsid w:val="FBFFB046"/>
    <w:rsid w:val="FBFFE190"/>
    <w:rsid w:val="FC667908"/>
    <w:rsid w:val="FC7F0AA5"/>
    <w:rsid w:val="FC9D5593"/>
    <w:rsid w:val="FCA9B50D"/>
    <w:rsid w:val="FCB1DFA7"/>
    <w:rsid w:val="FCB5CD9C"/>
    <w:rsid w:val="FCBBC6C2"/>
    <w:rsid w:val="FCCF85B3"/>
    <w:rsid w:val="FCD304F1"/>
    <w:rsid w:val="FCDFEAA7"/>
    <w:rsid w:val="FCE53991"/>
    <w:rsid w:val="FCE93635"/>
    <w:rsid w:val="FCF365EB"/>
    <w:rsid w:val="FCFA4953"/>
    <w:rsid w:val="FCFB5246"/>
    <w:rsid w:val="FCFD57F3"/>
    <w:rsid w:val="FCFF790F"/>
    <w:rsid w:val="FCFFB406"/>
    <w:rsid w:val="FCFFB756"/>
    <w:rsid w:val="FD317F73"/>
    <w:rsid w:val="FD3B3E64"/>
    <w:rsid w:val="FD4D219A"/>
    <w:rsid w:val="FD4DC783"/>
    <w:rsid w:val="FD6F97EE"/>
    <w:rsid w:val="FD6FB0E7"/>
    <w:rsid w:val="FD6FE336"/>
    <w:rsid w:val="FD76E953"/>
    <w:rsid w:val="FD77084F"/>
    <w:rsid w:val="FD77405D"/>
    <w:rsid w:val="FD7ACFB4"/>
    <w:rsid w:val="FD7E247B"/>
    <w:rsid w:val="FD7F3898"/>
    <w:rsid w:val="FD7F4E4A"/>
    <w:rsid w:val="FD7FC275"/>
    <w:rsid w:val="FD8FC74E"/>
    <w:rsid w:val="FD95C14F"/>
    <w:rsid w:val="FDAA8665"/>
    <w:rsid w:val="FDAB5E7B"/>
    <w:rsid w:val="FDAF77E1"/>
    <w:rsid w:val="FDB5FEEE"/>
    <w:rsid w:val="FDB736A0"/>
    <w:rsid w:val="FDBB5B22"/>
    <w:rsid w:val="FDBC5A23"/>
    <w:rsid w:val="FDBCB7E8"/>
    <w:rsid w:val="FDBD19D8"/>
    <w:rsid w:val="FDBE12BE"/>
    <w:rsid w:val="FDBF1784"/>
    <w:rsid w:val="FDBFC7CE"/>
    <w:rsid w:val="FDBFE6A7"/>
    <w:rsid w:val="FDC985DD"/>
    <w:rsid w:val="FDCF01E4"/>
    <w:rsid w:val="FDDB5C3A"/>
    <w:rsid w:val="FDDBDD2F"/>
    <w:rsid w:val="FDDD28BC"/>
    <w:rsid w:val="FDDF1EE0"/>
    <w:rsid w:val="FDDFE562"/>
    <w:rsid w:val="FDE3CD28"/>
    <w:rsid w:val="FDE78B6F"/>
    <w:rsid w:val="FDEBEF51"/>
    <w:rsid w:val="FDEDD016"/>
    <w:rsid w:val="FDEF3FC9"/>
    <w:rsid w:val="FDEFB85C"/>
    <w:rsid w:val="FDF1C8E1"/>
    <w:rsid w:val="FDF66ACC"/>
    <w:rsid w:val="FDF7B12D"/>
    <w:rsid w:val="FDF8F67B"/>
    <w:rsid w:val="FDF91F12"/>
    <w:rsid w:val="FDFD04C7"/>
    <w:rsid w:val="FDFD2CA3"/>
    <w:rsid w:val="FDFDC9F2"/>
    <w:rsid w:val="FDFDCE55"/>
    <w:rsid w:val="FDFDE510"/>
    <w:rsid w:val="FDFF0289"/>
    <w:rsid w:val="FDFF0609"/>
    <w:rsid w:val="FDFF1CDA"/>
    <w:rsid w:val="FDFF960A"/>
    <w:rsid w:val="FDFFD945"/>
    <w:rsid w:val="FE050898"/>
    <w:rsid w:val="FE333E40"/>
    <w:rsid w:val="FE5E3194"/>
    <w:rsid w:val="FE5F0EB1"/>
    <w:rsid w:val="FE5FA376"/>
    <w:rsid w:val="FE5FB08C"/>
    <w:rsid w:val="FE6B4A3D"/>
    <w:rsid w:val="FE74F899"/>
    <w:rsid w:val="FE771D69"/>
    <w:rsid w:val="FE7F3099"/>
    <w:rsid w:val="FE7F3A88"/>
    <w:rsid w:val="FE7FED04"/>
    <w:rsid w:val="FE875202"/>
    <w:rsid w:val="FE87DEAC"/>
    <w:rsid w:val="FEA9FB46"/>
    <w:rsid w:val="FEAB7D0F"/>
    <w:rsid w:val="FEAE069E"/>
    <w:rsid w:val="FEAECC55"/>
    <w:rsid w:val="FEB6C33D"/>
    <w:rsid w:val="FEBB9F6A"/>
    <w:rsid w:val="FEBE5258"/>
    <w:rsid w:val="FEBF4EA6"/>
    <w:rsid w:val="FEBF7275"/>
    <w:rsid w:val="FEBF8EF9"/>
    <w:rsid w:val="FEC9C625"/>
    <w:rsid w:val="FECE3F4E"/>
    <w:rsid w:val="FECF8BB7"/>
    <w:rsid w:val="FED25DEA"/>
    <w:rsid w:val="FED7D2D6"/>
    <w:rsid w:val="FED7F028"/>
    <w:rsid w:val="FEDF8630"/>
    <w:rsid w:val="FEDFF52A"/>
    <w:rsid w:val="FEDFF9A4"/>
    <w:rsid w:val="FEE527BF"/>
    <w:rsid w:val="FEE59575"/>
    <w:rsid w:val="FEE9115B"/>
    <w:rsid w:val="FEEBCB62"/>
    <w:rsid w:val="FEEC1F94"/>
    <w:rsid w:val="FEEEC88A"/>
    <w:rsid w:val="FEEEFD56"/>
    <w:rsid w:val="FEEF1ABE"/>
    <w:rsid w:val="FEEF2ED0"/>
    <w:rsid w:val="FEEF3E1B"/>
    <w:rsid w:val="FEEFB614"/>
    <w:rsid w:val="FEF34418"/>
    <w:rsid w:val="FEF70F86"/>
    <w:rsid w:val="FEF72A38"/>
    <w:rsid w:val="FEF78011"/>
    <w:rsid w:val="FEFABD73"/>
    <w:rsid w:val="FEFAFDC0"/>
    <w:rsid w:val="FEFB69A8"/>
    <w:rsid w:val="FEFC9C94"/>
    <w:rsid w:val="FEFD63A9"/>
    <w:rsid w:val="FEFDCD41"/>
    <w:rsid w:val="FEFE2F53"/>
    <w:rsid w:val="FEFEDE2E"/>
    <w:rsid w:val="FEFF8336"/>
    <w:rsid w:val="FEFF836B"/>
    <w:rsid w:val="FEFF866B"/>
    <w:rsid w:val="FEFF9E96"/>
    <w:rsid w:val="FF14E6DA"/>
    <w:rsid w:val="FF1E2E54"/>
    <w:rsid w:val="FF1FA778"/>
    <w:rsid w:val="FF2785FE"/>
    <w:rsid w:val="FF2F8039"/>
    <w:rsid w:val="FF3BCD30"/>
    <w:rsid w:val="FF3D42F6"/>
    <w:rsid w:val="FF3DF780"/>
    <w:rsid w:val="FF3EBCC1"/>
    <w:rsid w:val="FF3F03EF"/>
    <w:rsid w:val="FF3F5BDA"/>
    <w:rsid w:val="FF3FB510"/>
    <w:rsid w:val="FF3FDD89"/>
    <w:rsid w:val="FF462F5E"/>
    <w:rsid w:val="FF552BA6"/>
    <w:rsid w:val="FF5AD76F"/>
    <w:rsid w:val="FF5ADFFF"/>
    <w:rsid w:val="FF5D6E49"/>
    <w:rsid w:val="FF6382D9"/>
    <w:rsid w:val="FF6B2AC2"/>
    <w:rsid w:val="FF6BEB4B"/>
    <w:rsid w:val="FF6D930B"/>
    <w:rsid w:val="FF6EC003"/>
    <w:rsid w:val="FF6F9BFB"/>
    <w:rsid w:val="FF6FEF08"/>
    <w:rsid w:val="FF745FCB"/>
    <w:rsid w:val="FF770191"/>
    <w:rsid w:val="FF7774E3"/>
    <w:rsid w:val="FF7AC9DF"/>
    <w:rsid w:val="FF7B5B0A"/>
    <w:rsid w:val="FF7BDC0E"/>
    <w:rsid w:val="FF7C4A96"/>
    <w:rsid w:val="FF7D37AA"/>
    <w:rsid w:val="FF7EC91F"/>
    <w:rsid w:val="FF7EF7C3"/>
    <w:rsid w:val="FF7F2788"/>
    <w:rsid w:val="FF7F2ABC"/>
    <w:rsid w:val="FF7FAD11"/>
    <w:rsid w:val="FF7FD54F"/>
    <w:rsid w:val="FF87104A"/>
    <w:rsid w:val="FF8D6D0C"/>
    <w:rsid w:val="FF915CCB"/>
    <w:rsid w:val="FF952D31"/>
    <w:rsid w:val="FF974DF3"/>
    <w:rsid w:val="FF97A9BC"/>
    <w:rsid w:val="FF9B0708"/>
    <w:rsid w:val="FF9EAFD4"/>
    <w:rsid w:val="FF9EEFA3"/>
    <w:rsid w:val="FF9F4C4F"/>
    <w:rsid w:val="FF9FBAC1"/>
    <w:rsid w:val="FFAEDA01"/>
    <w:rsid w:val="FFAFD857"/>
    <w:rsid w:val="FFB348E3"/>
    <w:rsid w:val="FFB3D076"/>
    <w:rsid w:val="FFB7E311"/>
    <w:rsid w:val="FFB91AFA"/>
    <w:rsid w:val="FFBAB542"/>
    <w:rsid w:val="FFBBDDCF"/>
    <w:rsid w:val="FFBD9D90"/>
    <w:rsid w:val="FFBDE475"/>
    <w:rsid w:val="FFBF0DE3"/>
    <w:rsid w:val="FFBF216A"/>
    <w:rsid w:val="FFBF2BA4"/>
    <w:rsid w:val="FFBF8968"/>
    <w:rsid w:val="FFBFA472"/>
    <w:rsid w:val="FFC4EE4C"/>
    <w:rsid w:val="FFCB41BB"/>
    <w:rsid w:val="FFCBC27C"/>
    <w:rsid w:val="FFCD7212"/>
    <w:rsid w:val="FFCE37CE"/>
    <w:rsid w:val="FFCF5243"/>
    <w:rsid w:val="FFCF7A10"/>
    <w:rsid w:val="FFCF7B45"/>
    <w:rsid w:val="FFD332B2"/>
    <w:rsid w:val="FFD336CE"/>
    <w:rsid w:val="FFD3443D"/>
    <w:rsid w:val="FFD39E2C"/>
    <w:rsid w:val="FFD5C7B4"/>
    <w:rsid w:val="FFD5D2DC"/>
    <w:rsid w:val="FFD5FD0F"/>
    <w:rsid w:val="FFD723D7"/>
    <w:rsid w:val="FFD7EDC4"/>
    <w:rsid w:val="FFD7EFA9"/>
    <w:rsid w:val="FFD98B23"/>
    <w:rsid w:val="FFDA4305"/>
    <w:rsid w:val="FFDA73C6"/>
    <w:rsid w:val="FFDD1A77"/>
    <w:rsid w:val="FFDD49CA"/>
    <w:rsid w:val="FFDD7420"/>
    <w:rsid w:val="FFDD93B4"/>
    <w:rsid w:val="FFDE4754"/>
    <w:rsid w:val="FFDF3E5B"/>
    <w:rsid w:val="FFDF7274"/>
    <w:rsid w:val="FFDF7AF4"/>
    <w:rsid w:val="FFDF8C77"/>
    <w:rsid w:val="FFDFAF90"/>
    <w:rsid w:val="FFDFC767"/>
    <w:rsid w:val="FFDFEF62"/>
    <w:rsid w:val="FFE3A1D9"/>
    <w:rsid w:val="FFE56806"/>
    <w:rsid w:val="FFE614E7"/>
    <w:rsid w:val="FFE63563"/>
    <w:rsid w:val="FFE6F664"/>
    <w:rsid w:val="FFE7A2FF"/>
    <w:rsid w:val="FFE7BCD2"/>
    <w:rsid w:val="FFE7CC9C"/>
    <w:rsid w:val="FFE95A6B"/>
    <w:rsid w:val="FFE9CE75"/>
    <w:rsid w:val="FFEA0F48"/>
    <w:rsid w:val="FFEA65BD"/>
    <w:rsid w:val="FFEBB433"/>
    <w:rsid w:val="FFEBB74B"/>
    <w:rsid w:val="FFEC2C44"/>
    <w:rsid w:val="FFEC3D13"/>
    <w:rsid w:val="FFEDE120"/>
    <w:rsid w:val="FFEE7C3A"/>
    <w:rsid w:val="FFEE8763"/>
    <w:rsid w:val="FFEF3FCD"/>
    <w:rsid w:val="FFEF6A2D"/>
    <w:rsid w:val="FFEFED86"/>
    <w:rsid w:val="FFF25DED"/>
    <w:rsid w:val="FFF30FEB"/>
    <w:rsid w:val="FFF34795"/>
    <w:rsid w:val="FFF4668B"/>
    <w:rsid w:val="FFF50749"/>
    <w:rsid w:val="FFF573E5"/>
    <w:rsid w:val="FFF6949C"/>
    <w:rsid w:val="FFF79AC6"/>
    <w:rsid w:val="FFF7C80F"/>
    <w:rsid w:val="FFF7CBDA"/>
    <w:rsid w:val="FFF7DEBC"/>
    <w:rsid w:val="FFF7ED49"/>
    <w:rsid w:val="FFF8D3FC"/>
    <w:rsid w:val="FFF9092C"/>
    <w:rsid w:val="FFF96A76"/>
    <w:rsid w:val="FFF97A75"/>
    <w:rsid w:val="FFF9ED21"/>
    <w:rsid w:val="FFFA1B84"/>
    <w:rsid w:val="FFFB3D02"/>
    <w:rsid w:val="FFFB3F1E"/>
    <w:rsid w:val="FFFB718B"/>
    <w:rsid w:val="FFFBD061"/>
    <w:rsid w:val="FFFBEC13"/>
    <w:rsid w:val="FFFCAC75"/>
    <w:rsid w:val="FFFD1CAC"/>
    <w:rsid w:val="FFFDC739"/>
    <w:rsid w:val="FFFDF909"/>
    <w:rsid w:val="FFFE412C"/>
    <w:rsid w:val="FFFEB08F"/>
    <w:rsid w:val="FFFED637"/>
    <w:rsid w:val="FFFF2EC9"/>
    <w:rsid w:val="FFFF3BBF"/>
    <w:rsid w:val="FFFF3D57"/>
    <w:rsid w:val="FFFF7A4E"/>
    <w:rsid w:val="FFFF7BD9"/>
    <w:rsid w:val="FFFF7E23"/>
    <w:rsid w:val="FFFF83D4"/>
    <w:rsid w:val="FFFF84DB"/>
    <w:rsid w:val="FFFF9079"/>
    <w:rsid w:val="FFFF9F40"/>
    <w:rsid w:val="FFFFB0E6"/>
    <w:rsid w:val="FFFFB76D"/>
    <w:rsid w:val="FFFFC1DE"/>
    <w:rsid w:val="FFFFC6AA"/>
    <w:rsid w:val="FFFFE0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宋体" w:hAnsi="宋体" w:eastAsia="宋体" w:cs="宋体"/>
      <w:sz w:val="24"/>
      <w:szCs w:val="24"/>
      <w:lang w:val="en-US" w:eastAsia="zh-CN" w:bidi="ar-SA"/>
    </w:rPr>
  </w:style>
  <w:style w:type="paragraph" w:styleId="3">
    <w:name w:val="heading 1"/>
    <w:basedOn w:val="1"/>
    <w:next w:val="1"/>
    <w:link w:val="14"/>
    <w:qFormat/>
    <w:uiPriority w:val="0"/>
    <w:pPr>
      <w:keepNext/>
      <w:keepLines/>
      <w:widowControl w:val="0"/>
      <w:adjustRightInd/>
      <w:snapToGrid/>
      <w:spacing w:before="340" w:after="330" w:line="578" w:lineRule="auto"/>
      <w:jc w:val="left"/>
      <w:outlineLvl w:val="0"/>
    </w:pPr>
    <w:rPr>
      <w:rFonts w:ascii="Calibri" w:hAnsi="Calibri" w:eastAsia="宋体" w:cs="宋体"/>
      <w:b/>
      <w:bCs/>
      <w:kern w:val="44"/>
      <w:sz w:val="32"/>
      <w:szCs w:val="32"/>
    </w:rPr>
  </w:style>
  <w:style w:type="paragraph" w:styleId="4">
    <w:name w:val="heading 2"/>
    <w:basedOn w:val="1"/>
    <w:next w:val="1"/>
    <w:link w:val="15"/>
    <w:semiHidden/>
    <w:unhideWhenUsed/>
    <w:qFormat/>
    <w:uiPriority w:val="0"/>
    <w:pPr>
      <w:keepNext/>
      <w:keepLines/>
      <w:spacing w:line="360" w:lineRule="auto"/>
      <w:jc w:val="left"/>
      <w:outlineLvl w:val="1"/>
    </w:pPr>
    <w:rPr>
      <w:rFonts w:ascii="Cambria" w:hAnsi="Cambria" w:eastAsia="宋体" w:cs="Times New Roman"/>
      <w:b/>
      <w:bCs/>
      <w:kern w:val="0"/>
      <w:sz w:val="32"/>
      <w:szCs w:val="32"/>
    </w:rPr>
  </w:style>
  <w:style w:type="paragraph" w:styleId="5">
    <w:name w:val="heading 3"/>
    <w:basedOn w:val="1"/>
    <w:next w:val="1"/>
    <w:link w:val="16"/>
    <w:semiHidden/>
    <w:unhideWhenUsed/>
    <w:qFormat/>
    <w:uiPriority w:val="0"/>
    <w:pPr>
      <w:keepNext/>
      <w:keepLines/>
      <w:spacing w:before="260" w:after="260" w:line="416" w:lineRule="auto"/>
      <w:outlineLvl w:val="2"/>
    </w:pPr>
    <w:rPr>
      <w:rFonts w:ascii="Times New Roman" w:hAnsi="Times New Roman" w:eastAsia="宋体" w:cs="Times New Roman"/>
      <w:bCs/>
      <w:sz w:val="28"/>
    </w:rPr>
  </w:style>
  <w:style w:type="paragraph" w:styleId="6">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11">
    <w:name w:val="Default Paragraph Font"/>
    <w:link w:val="12"/>
    <w:qFormat/>
    <w:uiPriority w:val="0"/>
    <w:rPr>
      <w:rFonts w:ascii="Times New Roman" w:hAnsi="Times New Roman" w:cs="Times New Roman"/>
      <w:szCs w:val="24"/>
    </w:rPr>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adjustRightInd w:val="0"/>
      <w:spacing w:line="312" w:lineRule="atLeast"/>
      <w:ind w:firstLine="420"/>
      <w:textAlignment w:val="baseline"/>
    </w:pPr>
    <w:rPr>
      <w:kern w:val="0"/>
      <w:sz w:val="20"/>
      <w:szCs w:val="20"/>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pPr>
      <w:spacing w:before="100" w:beforeAutospacing="1" w:after="100" w:afterAutospacing="1"/>
    </w:pPr>
  </w:style>
  <w:style w:type="paragraph" w:customStyle="1" w:styleId="12">
    <w:name w:val="_Style 130"/>
    <w:basedOn w:val="1"/>
    <w:link w:val="11"/>
    <w:qFormat/>
    <w:uiPriority w:val="0"/>
    <w:pPr>
      <w:widowControl/>
      <w:jc w:val="left"/>
    </w:pPr>
    <w:rPr>
      <w:rFonts w:ascii="Times New Roman" w:hAnsi="Times New Roman" w:cs="Times New Roman"/>
      <w:szCs w:val="24"/>
    </w:rPr>
  </w:style>
  <w:style w:type="character" w:styleId="13">
    <w:name w:val="Strong"/>
    <w:basedOn w:val="11"/>
    <w:qFormat/>
    <w:uiPriority w:val="0"/>
    <w:rPr>
      <w:b/>
    </w:rPr>
  </w:style>
  <w:style w:type="character" w:customStyle="1" w:styleId="14">
    <w:name w:val="标题 1 Char"/>
    <w:link w:val="3"/>
    <w:qFormat/>
    <w:uiPriority w:val="0"/>
    <w:rPr>
      <w:rFonts w:ascii="Calibri" w:hAnsi="Calibri" w:eastAsia="宋体" w:cs="宋体"/>
      <w:b/>
      <w:bCs/>
      <w:kern w:val="44"/>
      <w:sz w:val="44"/>
      <w:szCs w:val="32"/>
    </w:rPr>
  </w:style>
  <w:style w:type="character" w:customStyle="1" w:styleId="15">
    <w:name w:val="标题 2 Char"/>
    <w:link w:val="4"/>
    <w:qFormat/>
    <w:uiPriority w:val="0"/>
    <w:rPr>
      <w:rFonts w:ascii="Cambria" w:hAnsi="Cambria" w:eastAsia="宋体" w:cs="Times New Roman"/>
      <w:b/>
      <w:bCs/>
      <w:kern w:val="0"/>
      <w:sz w:val="32"/>
      <w:szCs w:val="32"/>
    </w:rPr>
  </w:style>
  <w:style w:type="character" w:customStyle="1" w:styleId="16">
    <w:name w:val="标题 3 Char"/>
    <w:basedOn w:val="11"/>
    <w:link w:val="5"/>
    <w:semiHidden/>
    <w:qFormat/>
    <w:uiPriority w:val="0"/>
    <w:rPr>
      <w:rFonts w:ascii="Times New Roman" w:hAnsi="Times New Roman" w:eastAsia="宋体" w:cs="Times New Roman"/>
      <w:bCs/>
      <w:sz w:val="28"/>
      <w:szCs w:val="24"/>
    </w:rPr>
  </w:style>
</w:styles>
</file>

<file path=word/_rels/document.xml.rels><?xml version="1.0" encoding="UTF-8" standalone="yes"?>
<Relationships xmlns="http://schemas.openxmlformats.org/package/2006/relationships"><Relationship Id="rId9" Type="http://schemas.openxmlformats.org/officeDocument/2006/relationships/chart" Target="charts/chart5.xml"/><Relationship Id="rId8" Type="http://schemas.openxmlformats.org/officeDocument/2006/relationships/chart" Target="charts/chart4.xml"/><Relationship Id="rId7" Type="http://schemas.openxmlformats.org/officeDocument/2006/relationships/chart" Target="charts/chart3.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xml"/><Relationship Id="rId14" Type="http://schemas.openxmlformats.org/officeDocument/2006/relationships/chart" Target="charts/chart10.xml"/><Relationship Id="rId13" Type="http://schemas.openxmlformats.org/officeDocument/2006/relationships/chart" Target="charts/chart9.xml"/><Relationship Id="rId12" Type="http://schemas.openxmlformats.org/officeDocument/2006/relationships/chart" Target="charts/chart8.xml"/><Relationship Id="rId11" Type="http://schemas.openxmlformats.org/officeDocument/2006/relationships/chart" Target="charts/chart7.xml"/><Relationship Id="rId10" Type="http://schemas.openxmlformats.org/officeDocument/2006/relationships/chart" Target="charts/chart6.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10.xml.rels><?xml version="1.0" encoding="UTF-8" standalone="yes"?>
<Relationships xmlns="http://schemas.openxmlformats.org/package/2006/relationships"><Relationship Id="rId3" Type="http://schemas.microsoft.com/office/2011/relationships/chartColorStyle" Target="colors10.xml"/><Relationship Id="rId2" Type="http://schemas.microsoft.com/office/2011/relationships/chartStyle" Target="style10.xml"/><Relationship Id="rId1" Type="http://schemas.openxmlformats.org/officeDocument/2006/relationships/package" Target="../embeddings/Workbook10.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7.xml.rels><?xml version="1.0" encoding="UTF-8" standalone="yes"?>
<Relationships xmlns="http://schemas.openxmlformats.org/package/2006/relationships"><Relationship Id="rId3" Type="http://schemas.microsoft.com/office/2011/relationships/chartColorStyle" Target="colors8.xml"/><Relationship Id="rId2" Type="http://schemas.microsoft.com/office/2011/relationships/chartStyle" Target="style8.xml"/><Relationship Id="rId1" Type="http://schemas.openxmlformats.org/officeDocument/2006/relationships/package" Target="../embeddings/Workbook8.xlsx"/></Relationships>
</file>

<file path=word/charts/_rels/chart8.xml.rels><?xml version="1.0" encoding="UTF-8" standalone="yes"?>
<Relationships xmlns="http://schemas.openxmlformats.org/package/2006/relationships"><Relationship Id="rId3" Type="http://schemas.microsoft.com/office/2011/relationships/chartColorStyle" Target="colors9.xml"/><Relationship Id="rId2" Type="http://schemas.microsoft.com/office/2011/relationships/chartStyle" Target="style9.xml"/><Relationship Id="rId1" Type="http://schemas.openxmlformats.org/officeDocument/2006/relationships/package" Target="../embeddings/Workbook9.xlsx"/></Relationships>
</file>

<file path=word/charts/_rels/chart9.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package" Target="../embeddings/Workbook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按产业分组的需求人数占比</a:t>
            </a:r>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255"/>
          <c:y val="0.129833333333333"/>
          <c:w val="0.945"/>
          <c:h val="0.760833333333333"/>
        </c:manualLayout>
      </c:layout>
      <c:pie3DChart>
        <c:varyColors val="1"/>
        <c:ser>
          <c:idx val="0"/>
          <c:order val="0"/>
          <c:tx>
            <c:strRef>
              <c:f>Sheet1!$B$1</c:f>
              <c:strCache>
                <c:ptCount val="1"/>
                <c:pt idx="0">
                  <c:v>需求人数</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c:spPr>
          </c:dPt>
          <c:dPt>
            <c:idx val="1"/>
            <c:bubble3D val="0"/>
            <c:spPr>
              <a:solidFill>
                <a:schemeClr val="accent3"/>
              </a:solidFill>
              <a:ln w="25400">
                <a:solidFill>
                  <a:schemeClr val="lt1"/>
                </a:solidFill>
              </a:ln>
              <a:effectLst/>
            </c:spPr>
          </c:dPt>
          <c:dPt>
            <c:idx val="2"/>
            <c:bubble3D val="0"/>
            <c:spPr>
              <a:solidFill>
                <a:schemeClr val="accent5"/>
              </a:solidFill>
              <a:ln w="2540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1"/>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第一产业</c:v>
                </c:pt>
                <c:pt idx="1">
                  <c:v>第二产业</c:v>
                </c:pt>
                <c:pt idx="2">
                  <c:v>第三产业</c:v>
                </c:pt>
              </c:strCache>
            </c:strRef>
          </c:cat>
          <c:val>
            <c:numRef>
              <c:f>Sheet1!$B$2:$B$4</c:f>
              <c:numCache>
                <c:formatCode>#,##0</c:formatCode>
                <c:ptCount val="3"/>
                <c:pt idx="0">
                  <c:v>367</c:v>
                </c:pt>
                <c:pt idx="1">
                  <c:v>1989</c:v>
                </c:pt>
                <c:pt idx="2">
                  <c:v>9892</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按技术等级分组的供求人数</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需求人数 (人)</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Sheet1!$B$2:$B$11</c:f>
              <c:numCache>
                <c:formatCode>#,##0</c:formatCode>
                <c:ptCount val="10"/>
                <c:pt idx="0">
                  <c:v>1607</c:v>
                </c:pt>
                <c:pt idx="1">
                  <c:v>183</c:v>
                </c:pt>
                <c:pt idx="2">
                  <c:v>55</c:v>
                </c:pt>
                <c:pt idx="3">
                  <c:v>6</c:v>
                </c:pt>
                <c:pt idx="4">
                  <c:v>0</c:v>
                </c:pt>
                <c:pt idx="5">
                  <c:v>2004</c:v>
                </c:pt>
                <c:pt idx="6">
                  <c:v>279</c:v>
                </c:pt>
                <c:pt idx="7">
                  <c:v>0</c:v>
                </c:pt>
                <c:pt idx="9">
                  <c:v>8114</c:v>
                </c:pt>
              </c:numCache>
            </c:numRef>
          </c:val>
        </c:ser>
        <c:ser>
          <c:idx val="2"/>
          <c:order val="2"/>
          <c:tx>
            <c:strRef>
              <c:f>Sheet1!$D$1</c:f>
              <c:strCache>
                <c:ptCount val="1"/>
                <c:pt idx="0">
                  <c:v>求职 人数 (人)</c:v>
                </c:pt>
              </c:strCache>
            </c:strRef>
          </c:tx>
          <c:spPr>
            <a:solidFill>
              <a:schemeClr val="accent5"/>
            </a:solidFill>
            <a:ln>
              <a:noFill/>
            </a:ln>
            <a:effectLst/>
          </c:spPr>
          <c:invertIfNegative val="0"/>
          <c:dLbls>
            <c:dLbl>
              <c:idx val="0"/>
              <c:layout>
                <c:manualLayout>
                  <c:x val="0.00319420783645656"/>
                  <c:y val="-0.0234741784037559"/>
                </c:manualLayout>
              </c:layout>
              <c:dLblPos val="inBase"/>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
                  <c:y val="-0.0325027085590466"/>
                </c:manualLayout>
              </c:layout>
              <c:dLblPos val="inBase"/>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Sheet1!$D$2:$D$11</c:f>
              <c:numCache>
                <c:formatCode>#,##0</c:formatCode>
                <c:ptCount val="10"/>
                <c:pt idx="0">
                  <c:v>1536</c:v>
                </c:pt>
                <c:pt idx="1">
                  <c:v>446</c:v>
                </c:pt>
                <c:pt idx="2">
                  <c:v>52</c:v>
                </c:pt>
                <c:pt idx="3">
                  <c:v>42</c:v>
                </c:pt>
                <c:pt idx="4">
                  <c:v>0</c:v>
                </c:pt>
                <c:pt idx="5">
                  <c:v>1385</c:v>
                </c:pt>
                <c:pt idx="6">
                  <c:v>132</c:v>
                </c:pt>
                <c:pt idx="7">
                  <c:v>0</c:v>
                </c:pt>
                <c:pt idx="8">
                  <c:v>5161</c:v>
                </c:pt>
              </c:numCache>
            </c:numRef>
          </c:val>
        </c:ser>
        <c:dLbls>
          <c:showLegendKey val="0"/>
          <c:showVal val="1"/>
          <c:showCatName val="0"/>
          <c:showSerName val="0"/>
          <c:showPercent val="0"/>
          <c:showBubbleSize val="0"/>
        </c:dLbls>
        <c:gapWidth val="219"/>
        <c:overlap val="0"/>
        <c:axId val="166477199"/>
        <c:axId val="979403947"/>
      </c:barChart>
      <c:lineChart>
        <c:grouping val="standard"/>
        <c:varyColors val="0"/>
        <c:ser>
          <c:idx val="1"/>
          <c:order val="1"/>
          <c:tx>
            <c:strRef>
              <c:f>Sheet1!$C$1</c:f>
              <c:strCache>
                <c:ptCount val="1"/>
                <c:pt idx="0">
                  <c:v>需求比重(%)</c:v>
                </c:pt>
              </c:strCache>
            </c:strRef>
          </c:tx>
          <c:spPr>
            <a:ln w="28575" cap="rnd">
              <a:solidFill>
                <a:schemeClr val="accent3"/>
              </a:solidFill>
              <a:round/>
            </a:ln>
            <a:effectLst/>
          </c:spPr>
          <c:marker>
            <c:symbol val="none"/>
          </c:marker>
          <c:dLbls>
            <c:dLbl>
              <c:idx val="0"/>
              <c:layout>
                <c:manualLayout>
                  <c:x val="-0.0615006150061501"/>
                  <c:y val="0.053867700926524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338224156921027"/>
                  <c:y val="-0.048971051042302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32368744740079"/>
                  <c:y val="0.0304891187244128"/>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433741179517058"/>
                      <c:h val="0.0328592975651799"/>
                    </c:manualLayout>
                  </c15:layout>
                </c:ext>
              </c:extLst>
            </c:dLbl>
            <c:dLbl>
              <c:idx val="3"/>
              <c:layout>
                <c:manualLayout>
                  <c:x val="-0.0409066904485955"/>
                  <c:y val="-0.064521366509767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345050818929242"/>
                  <c:y val="-0.096854126265891"/>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523726289894478"/>
                      <c:h val="0.0613014436543848"/>
                    </c:manualLayout>
                  </c15:layout>
                </c:ext>
              </c:extLst>
            </c:dLbl>
            <c:dLbl>
              <c:idx val="5"/>
              <c:layout>
                <c:manualLayout>
                  <c:x val="0.00848208618820696"/>
                  <c:y val="-0.050312432665373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433842090595209"/>
                  <c:y val="-0.041616213115798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032368744740079"/>
                  <c:y val="-0.052143934496875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194212468440474"/>
                  <c:y val="0.039431157078215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9"/>
              <c:layout>
                <c:manualLayout>
                  <c:x val="-0.00433741179517058"/>
                  <c:y val="-0.046649429002370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Sheet1!$C$2:$C$11</c:f>
              <c:numCache>
                <c:formatCode>#,##0.00</c:formatCode>
                <c:ptCount val="10"/>
                <c:pt idx="0">
                  <c:v>13.12</c:v>
                </c:pt>
                <c:pt idx="1">
                  <c:v>1.49</c:v>
                </c:pt>
                <c:pt idx="2">
                  <c:v>0.45</c:v>
                </c:pt>
                <c:pt idx="3">
                  <c:v>0.05</c:v>
                </c:pt>
                <c:pt idx="4">
                  <c:v>0</c:v>
                </c:pt>
                <c:pt idx="5">
                  <c:v>16.36</c:v>
                </c:pt>
                <c:pt idx="6">
                  <c:v>2.28</c:v>
                </c:pt>
                <c:pt idx="7">
                  <c:v>0</c:v>
                </c:pt>
                <c:pt idx="9">
                  <c:v>66.25</c:v>
                </c:pt>
              </c:numCache>
            </c:numRef>
          </c:val>
          <c:smooth val="0"/>
        </c:ser>
        <c:ser>
          <c:idx val="3"/>
          <c:order val="3"/>
          <c:tx>
            <c:strRef>
              <c:f>Sheet1!$E$1</c:f>
              <c:strCache>
                <c:ptCount val="1"/>
                <c:pt idx="0">
                  <c:v>求职 比重(%)</c:v>
                </c:pt>
              </c:strCache>
            </c:strRef>
          </c:tx>
          <c:spPr>
            <a:ln w="28575" cap="rnd">
              <a:solidFill>
                <a:schemeClr val="accent1">
                  <a:lumMod val="60000"/>
                </a:schemeClr>
              </a:solidFill>
              <a:round/>
            </a:ln>
            <a:effectLst/>
          </c:spPr>
          <c:marker>
            <c:symbol val="none"/>
          </c:marker>
          <c:dLbls>
            <c:dLbl>
              <c:idx val="0"/>
              <c:layout>
                <c:manualLayout>
                  <c:x val="0.0032368744740079"/>
                  <c:y val="-0.037707390648567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429474515761925"/>
                  <c:y val="0.0219719523779175"/>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54508966142293"/>
                      <c:h val="0.044063779357897"/>
                    </c:manualLayout>
                  </c15:layout>
                </c:ext>
              </c:extLst>
            </c:dLbl>
            <c:dLbl>
              <c:idx val="2"/>
              <c:layout>
                <c:manualLayout>
                  <c:x val="0.00433741179517058"/>
                  <c:y val="-0.057422969187675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64737489480158"/>
                  <c:y val="-0.087912087912087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403315800171362"/>
                  <c:y val="0.024052813613708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520798627918136"/>
                  <c:y val="-0.043705672951737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0643108231046449"/>
                  <c:y val="-0.071955109237627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0110053732116269"/>
                  <c:y val="0.050312432665373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0750954877969832"/>
                  <c:y val="-0.044817927170868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职业资格五级(初级技能)</c:v>
                </c:pt>
                <c:pt idx="1">
                  <c:v>职业资格四级(中级技能)</c:v>
                </c:pt>
                <c:pt idx="2">
                  <c:v>职业资格三级(高级技能)</c:v>
                </c:pt>
                <c:pt idx="3">
                  <c:v>职业资格二级(技师)</c:v>
                </c:pt>
                <c:pt idx="4">
                  <c:v>职业资格一级(高级技师)</c:v>
                </c:pt>
                <c:pt idx="5">
                  <c:v>初级专业技术职务</c:v>
                </c:pt>
                <c:pt idx="6">
                  <c:v>中级专业技术职务</c:v>
                </c:pt>
                <c:pt idx="7">
                  <c:v>高级专业技术职务</c:v>
                </c:pt>
                <c:pt idx="8">
                  <c:v>无技术等级或职称</c:v>
                </c:pt>
                <c:pt idx="9">
                  <c:v>无要求</c:v>
                </c:pt>
              </c:strCache>
            </c:strRef>
          </c:cat>
          <c:val>
            <c:numRef>
              <c:f>Sheet1!$E$2:$E$11</c:f>
              <c:numCache>
                <c:formatCode>#,##0.00</c:formatCode>
                <c:ptCount val="10"/>
                <c:pt idx="0">
                  <c:v>17.55</c:v>
                </c:pt>
                <c:pt idx="1">
                  <c:v>5.09</c:v>
                </c:pt>
                <c:pt idx="2">
                  <c:v>0.59</c:v>
                </c:pt>
                <c:pt idx="3">
                  <c:v>0.48</c:v>
                </c:pt>
                <c:pt idx="4">
                  <c:v>0</c:v>
                </c:pt>
                <c:pt idx="5">
                  <c:v>15.82</c:v>
                </c:pt>
                <c:pt idx="6">
                  <c:v>1.51</c:v>
                </c:pt>
                <c:pt idx="7">
                  <c:v>0</c:v>
                </c:pt>
                <c:pt idx="8">
                  <c:v>58.96</c:v>
                </c:pt>
              </c:numCache>
            </c:numRef>
          </c:val>
          <c:smooth val="0"/>
        </c:ser>
        <c:dLbls>
          <c:showLegendKey val="0"/>
          <c:showVal val="1"/>
          <c:showCatName val="0"/>
          <c:showSerName val="0"/>
          <c:showPercent val="0"/>
          <c:showBubbleSize val="0"/>
        </c:dLbls>
        <c:marker val="0"/>
        <c:smooth val="0"/>
        <c:axId val="591472195"/>
        <c:axId val="715343587"/>
      </c:lineChart>
      <c:catAx>
        <c:axId val="16647719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79403947"/>
        <c:crosses val="autoZero"/>
        <c:auto val="1"/>
        <c:lblAlgn val="ctr"/>
        <c:lblOffset val="100"/>
        <c:noMultiLvlLbl val="0"/>
      </c:catAx>
      <c:valAx>
        <c:axId val="97940394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6477199"/>
        <c:crosses val="autoZero"/>
        <c:crossBetween val="between"/>
      </c:valAx>
      <c:catAx>
        <c:axId val="591472195"/>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5343587"/>
        <c:crosses val="autoZero"/>
        <c:auto val="1"/>
        <c:lblAlgn val="ctr"/>
        <c:lblOffset val="100"/>
        <c:noMultiLvlLbl val="0"/>
      </c:catAx>
      <c:valAx>
        <c:axId val="715343587"/>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91472195"/>
        <c:crosses val="max"/>
        <c:crossBetween val="between"/>
      </c:valAx>
      <c:spPr>
        <a:noFill/>
        <a:ln>
          <a:noFill/>
        </a:ln>
        <a:effectLst/>
      </c:spPr>
    </c:plotArea>
    <c:legend>
      <c:legendPos val="b"/>
      <c:layout>
        <c:manualLayout>
          <c:xMode val="edge"/>
          <c:yMode val="edge"/>
          <c:x val="0.298245614035088"/>
          <c:y val="0.924262012497307"/>
          <c:w val="0.519842040525668"/>
          <c:h val="0.062809739280327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按行业分组的需求人数</a:t>
            </a:r>
            <a:r>
              <a:rPr altLang="en-US"/>
              <a:t>及占比</a:t>
            </a:r>
            <a:endParaRPr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需求人数 (人)</c:v>
                </c:pt>
              </c:strCache>
            </c:strRef>
          </c:tx>
          <c:spPr>
            <a:solidFill>
              <a:schemeClr val="accent1"/>
            </a:solidFill>
            <a:ln>
              <a:noFill/>
            </a:ln>
            <a:effectLst/>
          </c:spPr>
          <c:invertIfNegative val="0"/>
          <c:dLbls>
            <c:numFmt formatCode="General"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Sheet1!$A$2:$A$21</c:f>
              <c:strCache>
                <c:ptCount val="20"/>
                <c:pt idx="0">
                  <c:v>农、林、牧、渔业</c:v>
                </c:pt>
                <c:pt idx="1">
                  <c:v>采矿业</c:v>
                </c:pt>
                <c:pt idx="2">
                  <c:v>制造业</c:v>
                </c:pt>
                <c:pt idx="3">
                  <c:v>电力、热力、燃气及水生产和供应业</c:v>
                </c:pt>
                <c:pt idx="4">
                  <c:v>建筑业</c:v>
                </c:pt>
                <c:pt idx="5">
                  <c:v>批发和零售业</c:v>
                </c:pt>
                <c:pt idx="6">
                  <c:v>交通运输、仓储和邮政业</c:v>
                </c:pt>
                <c:pt idx="7">
                  <c:v>住宿和餐饮业</c:v>
                </c:pt>
                <c:pt idx="8">
                  <c:v>信息传输、软件和信息技术服务业</c:v>
                </c:pt>
                <c:pt idx="9">
                  <c:v>金融业</c:v>
                </c:pt>
                <c:pt idx="10">
                  <c:v>房地产业</c:v>
                </c:pt>
                <c:pt idx="11">
                  <c:v>租赁和商务服务业</c:v>
                </c:pt>
                <c:pt idx="12">
                  <c:v>科学研究和技术服务业</c:v>
                </c:pt>
                <c:pt idx="13">
                  <c:v>水利、环境和公共设施管理业</c:v>
                </c:pt>
                <c:pt idx="14">
                  <c:v>居民服务、修理和其他服务业</c:v>
                </c:pt>
                <c:pt idx="15">
                  <c:v>教育</c:v>
                </c:pt>
                <c:pt idx="16">
                  <c:v>卫生和社会工作</c:v>
                </c:pt>
                <c:pt idx="17">
                  <c:v>文化、体育和娱乐业</c:v>
                </c:pt>
                <c:pt idx="18">
                  <c:v>公共管理、社会保障和社会组织</c:v>
                </c:pt>
                <c:pt idx="19">
                  <c:v>国际组织</c:v>
                </c:pt>
              </c:strCache>
            </c:strRef>
          </c:cat>
          <c:val>
            <c:numRef>
              <c:f>Sheet1!$B$2:$B$21</c:f>
              <c:numCache>
                <c:formatCode>#,##0</c:formatCode>
                <c:ptCount val="20"/>
                <c:pt idx="0">
                  <c:v>367</c:v>
                </c:pt>
                <c:pt idx="1">
                  <c:v>392</c:v>
                </c:pt>
                <c:pt idx="2">
                  <c:v>1745</c:v>
                </c:pt>
                <c:pt idx="3">
                  <c:v>307</c:v>
                </c:pt>
                <c:pt idx="4">
                  <c:v>53</c:v>
                </c:pt>
                <c:pt idx="5">
                  <c:v>1957</c:v>
                </c:pt>
                <c:pt idx="6">
                  <c:v>515</c:v>
                </c:pt>
                <c:pt idx="7">
                  <c:v>2226</c:v>
                </c:pt>
                <c:pt idx="8">
                  <c:v>286</c:v>
                </c:pt>
                <c:pt idx="9">
                  <c:v>47</c:v>
                </c:pt>
                <c:pt idx="10">
                  <c:v>64</c:v>
                </c:pt>
                <c:pt idx="11">
                  <c:v>253</c:v>
                </c:pt>
                <c:pt idx="12">
                  <c:v>0</c:v>
                </c:pt>
                <c:pt idx="13">
                  <c:v>52</c:v>
                </c:pt>
                <c:pt idx="14">
                  <c:v>3709</c:v>
                </c:pt>
                <c:pt idx="15">
                  <c:v>75</c:v>
                </c:pt>
                <c:pt idx="16">
                  <c:v>36</c:v>
                </c:pt>
                <c:pt idx="17">
                  <c:v>79</c:v>
                </c:pt>
                <c:pt idx="18">
                  <c:v>85</c:v>
                </c:pt>
                <c:pt idx="19">
                  <c:v>0</c:v>
                </c:pt>
              </c:numCache>
            </c:numRef>
          </c:val>
        </c:ser>
        <c:dLbls>
          <c:showLegendKey val="0"/>
          <c:showVal val="1"/>
          <c:showCatName val="0"/>
          <c:showSerName val="0"/>
          <c:showPercent val="0"/>
          <c:showBubbleSize val="0"/>
        </c:dLbls>
        <c:gapWidth val="219"/>
        <c:overlap val="-27"/>
        <c:axId val="225581312"/>
        <c:axId val="432458621"/>
      </c:barChart>
      <c:lineChart>
        <c:grouping val="standard"/>
        <c:varyColors val="0"/>
        <c:ser>
          <c:idx val="1"/>
          <c:order val="1"/>
          <c:tx>
            <c:strRef>
              <c:f>Sheet1!$C$1</c:f>
              <c:strCache>
                <c:ptCount val="1"/>
                <c:pt idx="0">
                  <c:v>所占比重 (%)</c:v>
                </c:pt>
              </c:strCache>
            </c:strRef>
          </c:tx>
          <c:spPr>
            <a:ln w="28575" cap="rnd">
              <a:solidFill>
                <a:schemeClr val="accent3"/>
              </a:solidFill>
              <a:round/>
            </a:ln>
            <a:effectLst/>
          </c:spPr>
          <c:marker>
            <c:symbol val="none"/>
          </c:marker>
          <c:dLbls>
            <c:dLbl>
              <c:idx val="0"/>
              <c:layout>
                <c:manualLayout>
                  <c:x val="-0.0290972964716664"/>
                  <c:y val="-0.073728188744163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77180387963953"/>
                  <c:y val="-0.062054558859670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313120513212158"/>
                  <c:y val="0.020029491275497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270352833358791"/>
                  <c:y val="-0.068690095846645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0206201313578738"/>
                  <c:y val="0.0099533054804620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0206201313578738"/>
                  <c:y val="-0.0050380928975178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0626241026424317"/>
                  <c:y val="0.046940280167117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768290820223003"/>
                  <c:y val="-0.0071270582452690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8"/>
              <c:layout>
                <c:manualLayout>
                  <c:x val="-0.0239804490606385"/>
                  <c:y val="-0.085524698943229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9"/>
              <c:layout>
                <c:manualLayout>
                  <c:x val="-0.0207728730716359"/>
                  <c:y val="-0.072007864340132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0"/>
              <c:layout>
                <c:manualLayout>
                  <c:x val="-0.0104628073926989"/>
                  <c:y val="-0.053698697468665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1"/>
              <c:layout>
                <c:manualLayout>
                  <c:x val="0.00832442340003055"/>
                  <c:y val="-0.043499631359056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2"/>
              <c:layout>
                <c:manualLayout>
                  <c:x val="-0.0145868336642737"/>
                  <c:y val="-0.065495207667731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3"/>
              <c:layout>
                <c:manualLayout>
                  <c:x val="0.00091645028257217"/>
                  <c:y val="0.0034406488080608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4"/>
              <c:layout>
                <c:manualLayout>
                  <c:x val="0.0104628073926989"/>
                  <c:y val="-0.0099533054804620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5"/>
              <c:layout>
                <c:manualLayout>
                  <c:x val="-0.0475026729799908"/>
                  <c:y val="0.024698943229294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6"/>
              <c:layout>
                <c:manualLayout>
                  <c:x val="-0.0187108599358485"/>
                  <c:y val="-0.082084050135168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7"/>
              <c:layout>
                <c:manualLayout>
                  <c:x val="-0.00725523140369635"/>
                  <c:y val="-0.060334234455640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8"/>
              <c:layout>
                <c:manualLayout>
                  <c:x val="-0.00526958912478998"/>
                  <c:y val="-0.055296141558122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9"/>
              <c:layout>
                <c:manualLayout>
                  <c:x val="-0.000992821139453185"/>
                  <c:y val="-0.031948881789137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Sheet1!$A$2:$A$21</c:f>
              <c:strCache>
                <c:ptCount val="20"/>
                <c:pt idx="0">
                  <c:v>农、林、牧、渔业</c:v>
                </c:pt>
                <c:pt idx="1">
                  <c:v>采矿业</c:v>
                </c:pt>
                <c:pt idx="2">
                  <c:v>制造业</c:v>
                </c:pt>
                <c:pt idx="3">
                  <c:v>电力、热力、燃气及水生产和供应业</c:v>
                </c:pt>
                <c:pt idx="4">
                  <c:v>建筑业</c:v>
                </c:pt>
                <c:pt idx="5">
                  <c:v>批发和零售业</c:v>
                </c:pt>
                <c:pt idx="6">
                  <c:v>交通运输、仓储和邮政业</c:v>
                </c:pt>
                <c:pt idx="7">
                  <c:v>住宿和餐饮业</c:v>
                </c:pt>
                <c:pt idx="8">
                  <c:v>信息传输、软件和信息技术服务业</c:v>
                </c:pt>
                <c:pt idx="9">
                  <c:v>金融业</c:v>
                </c:pt>
                <c:pt idx="10">
                  <c:v>房地产业</c:v>
                </c:pt>
                <c:pt idx="11">
                  <c:v>租赁和商务服务业</c:v>
                </c:pt>
                <c:pt idx="12">
                  <c:v>科学研究和技术服务业</c:v>
                </c:pt>
                <c:pt idx="13">
                  <c:v>水利、环境和公共设施管理业</c:v>
                </c:pt>
                <c:pt idx="14">
                  <c:v>居民服务、修理和其他服务业</c:v>
                </c:pt>
                <c:pt idx="15">
                  <c:v>教育</c:v>
                </c:pt>
                <c:pt idx="16">
                  <c:v>卫生和社会工作</c:v>
                </c:pt>
                <c:pt idx="17">
                  <c:v>文化、体育和娱乐业</c:v>
                </c:pt>
                <c:pt idx="18">
                  <c:v>公共管理、社会保障和社会组织</c:v>
                </c:pt>
                <c:pt idx="19">
                  <c:v>国际组织</c:v>
                </c:pt>
              </c:strCache>
            </c:strRef>
          </c:cat>
          <c:val>
            <c:numRef>
              <c:f>Sheet1!$C$2:$C$21</c:f>
              <c:numCache>
                <c:formatCode>#,##0.00</c:formatCode>
                <c:ptCount val="20"/>
                <c:pt idx="0">
                  <c:v>3</c:v>
                </c:pt>
                <c:pt idx="1">
                  <c:v>3.2</c:v>
                </c:pt>
                <c:pt idx="2">
                  <c:v>14.25</c:v>
                </c:pt>
                <c:pt idx="3">
                  <c:v>2.51</c:v>
                </c:pt>
                <c:pt idx="4">
                  <c:v>0.43</c:v>
                </c:pt>
                <c:pt idx="5">
                  <c:v>15.98</c:v>
                </c:pt>
                <c:pt idx="6">
                  <c:v>4.2</c:v>
                </c:pt>
                <c:pt idx="7">
                  <c:v>18.17</c:v>
                </c:pt>
                <c:pt idx="8">
                  <c:v>2.34</c:v>
                </c:pt>
                <c:pt idx="9">
                  <c:v>0.38</c:v>
                </c:pt>
                <c:pt idx="10">
                  <c:v>0.52</c:v>
                </c:pt>
                <c:pt idx="11">
                  <c:v>2.07</c:v>
                </c:pt>
                <c:pt idx="12">
                  <c:v>0</c:v>
                </c:pt>
                <c:pt idx="13">
                  <c:v>0.42</c:v>
                </c:pt>
                <c:pt idx="14">
                  <c:v>30.28</c:v>
                </c:pt>
                <c:pt idx="15">
                  <c:v>0.61</c:v>
                </c:pt>
                <c:pt idx="16">
                  <c:v>0.29</c:v>
                </c:pt>
                <c:pt idx="17">
                  <c:v>0.65</c:v>
                </c:pt>
                <c:pt idx="18">
                  <c:v>0.69</c:v>
                </c:pt>
                <c:pt idx="19">
                  <c:v>0</c:v>
                </c:pt>
              </c:numCache>
            </c:numRef>
          </c:val>
          <c:smooth val="0"/>
        </c:ser>
        <c:dLbls>
          <c:showLegendKey val="0"/>
          <c:showVal val="1"/>
          <c:showCatName val="0"/>
          <c:showSerName val="0"/>
          <c:showPercent val="0"/>
          <c:showBubbleSize val="0"/>
        </c:dLbls>
        <c:marker val="0"/>
        <c:smooth val="0"/>
        <c:axId val="323760610"/>
        <c:axId val="382839618"/>
      </c:lineChart>
      <c:catAx>
        <c:axId val="225581312"/>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32458621"/>
        <c:crosses val="autoZero"/>
        <c:auto val="1"/>
        <c:lblAlgn val="ctr"/>
        <c:lblOffset val="100"/>
        <c:noMultiLvlLbl val="0"/>
      </c:catAx>
      <c:valAx>
        <c:axId val="432458621"/>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25581312"/>
        <c:crosses val="autoZero"/>
        <c:crossBetween val="between"/>
      </c:valAx>
      <c:catAx>
        <c:axId val="323760610"/>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2839618"/>
        <c:crosses val="autoZero"/>
        <c:auto val="1"/>
        <c:lblAlgn val="ctr"/>
        <c:lblOffset val="100"/>
        <c:noMultiLvlLbl val="0"/>
      </c:catAx>
      <c:valAx>
        <c:axId val="382839618"/>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23760610"/>
        <c:crosses val="max"/>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其中企业分组的需求人数</a:t>
            </a:r>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774300508550517"/>
          <c:y val="0.147431059506531"/>
          <c:w val="0.825686632066208"/>
          <c:h val="0.636761812610869"/>
        </c:manualLayout>
      </c:layout>
      <c:pie3DChart>
        <c:varyColors val="1"/>
        <c:ser>
          <c:idx val="0"/>
          <c:order val="0"/>
          <c:tx>
            <c:strRef>
              <c:f>Sheet1!$B$1</c:f>
              <c:strCache>
                <c:ptCount val="1"/>
                <c:pt idx="0">
                  <c:v>需求人数</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Pt>
            <c:idx val="2"/>
            <c:bubble3D val="0"/>
            <c:spPr>
              <a:solidFill>
                <a:schemeClr val="accent3"/>
              </a:solidFill>
              <a:ln w="25400">
                <a:solidFill>
                  <a:schemeClr val="lt1"/>
                </a:solidFill>
              </a:ln>
              <a:effectLst/>
              <a:scene3d>
                <a:camera prst="orthographicFront"/>
                <a:lightRig rig="threePt" dir="t"/>
              </a:scene3d>
              <a:sp3d contourW="25400"/>
            </c:spPr>
          </c:dPt>
          <c:dPt>
            <c:idx val="3"/>
            <c:bubble3D val="0"/>
            <c:spPr>
              <a:solidFill>
                <a:schemeClr val="accent4"/>
              </a:solidFill>
              <a:ln w="25400">
                <a:solidFill>
                  <a:schemeClr val="lt1"/>
                </a:solidFill>
              </a:ln>
              <a:effectLst/>
              <a:scene3d>
                <a:camera prst="orthographicFront"/>
                <a:lightRig rig="threePt" dir="t"/>
              </a:scene3d>
              <a:sp3d contourW="25400"/>
            </c:spPr>
          </c:dPt>
          <c:dPt>
            <c:idx val="4"/>
            <c:bubble3D val="0"/>
            <c:spPr>
              <a:solidFill>
                <a:schemeClr val="accent5"/>
              </a:solidFill>
              <a:ln w="25400">
                <a:solidFill>
                  <a:schemeClr val="lt1"/>
                </a:solidFill>
              </a:ln>
              <a:effectLst/>
              <a:scene3d>
                <a:camera prst="orthographicFront"/>
                <a:lightRig rig="threePt" dir="t"/>
              </a:scene3d>
              <a:sp3d contourW="25400"/>
            </c:spPr>
          </c:dPt>
          <c:dPt>
            <c:idx val="5"/>
            <c:bubble3D val="0"/>
            <c:spPr>
              <a:solidFill>
                <a:schemeClr val="accent6"/>
              </a:solidFill>
              <a:ln w="25400">
                <a:solidFill>
                  <a:schemeClr val="lt1"/>
                </a:solidFill>
              </a:ln>
              <a:effectLst/>
              <a:scene3d>
                <a:camera prst="orthographicFront"/>
                <a:lightRig rig="threePt" dir="t"/>
              </a:scene3d>
              <a:sp3d contourW="25400"/>
            </c:spPr>
          </c:dPt>
          <c:dPt>
            <c:idx val="6"/>
            <c:bubble3D val="0"/>
            <c:spPr>
              <a:solidFill>
                <a:schemeClr val="accent1">
                  <a:lumMod val="60000"/>
                </a:schemeClr>
              </a:solidFill>
              <a:ln w="25400">
                <a:solidFill>
                  <a:schemeClr val="lt1"/>
                </a:solidFill>
              </a:ln>
              <a:effectLst/>
              <a:scene3d>
                <a:camera prst="orthographicFront"/>
                <a:lightRig rig="threePt" dir="t"/>
              </a:scene3d>
              <a:sp3d contourW="25400"/>
            </c:spPr>
          </c:dPt>
          <c:dPt>
            <c:idx val="7"/>
            <c:bubble3D val="0"/>
            <c:spPr>
              <a:solidFill>
                <a:schemeClr val="accent2">
                  <a:lumMod val="60000"/>
                </a:schemeClr>
              </a:solidFill>
              <a:ln w="25400">
                <a:solidFill>
                  <a:schemeClr val="lt1"/>
                </a:solidFill>
              </a:ln>
              <a:effectLst/>
              <a:scene3d>
                <a:camera prst="orthographicFront"/>
                <a:lightRig rig="threePt" dir="t"/>
              </a:scene3d>
              <a:sp3d contourW="25400"/>
            </c:spPr>
          </c:dPt>
          <c:dPt>
            <c:idx val="8"/>
            <c:bubble3D val="0"/>
            <c:spPr>
              <a:solidFill>
                <a:schemeClr val="accent3">
                  <a:lumMod val="60000"/>
                </a:schemeClr>
              </a:solidFill>
              <a:ln w="25400">
                <a:solidFill>
                  <a:schemeClr val="lt1"/>
                </a:solidFill>
              </a:ln>
              <a:effectLst/>
              <a:scene3d>
                <a:camera prst="orthographicFront"/>
                <a:lightRig rig="threePt" dir="t"/>
              </a:scene3d>
              <a:sp3d contourW="25400"/>
            </c:spPr>
          </c:dPt>
          <c:dLbls>
            <c:dLbl>
              <c:idx val="0"/>
              <c:layout>
                <c:manualLayout>
                  <c:x val="-0.0985153497735279"/>
                  <c:y val="0.00265208022542682"/>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1"/>
              <c:layout>
                <c:manualLayout>
                  <c:x val="-0.0817815802717665"/>
                  <c:y val="-0.0550306646776065"/>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2"/>
              <c:layout>
                <c:manualLayout>
                  <c:x val="0.0587569199798691"/>
                  <c:y val="-0.0303331675783192"/>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217916456970307"/>
                      <c:h val="0.0474059340295044"/>
                    </c:manualLayout>
                  </c15:layout>
                </c:ext>
              </c:extLst>
            </c:dLbl>
            <c:dLbl>
              <c:idx val="3"/>
              <c:layout>
                <c:manualLayout>
                  <c:x val="0.0398842476094615"/>
                  <c:y val="0.00563567047903199"/>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4"/>
              <c:layout>
                <c:manualLayout>
                  <c:x val="-0.014720684448918"/>
                  <c:y val="0"/>
                </c:manualLayout>
              </c:layout>
              <c:dLblPos val="bestFit"/>
              <c:showLegendKey val="0"/>
              <c:showVal val="1"/>
              <c:showCatName val="1"/>
              <c:showSerName val="0"/>
              <c:showPercent val="0"/>
              <c:showBubbleSize val="0"/>
              <c:extLst>
                <c:ext xmlns:c15="http://schemas.microsoft.com/office/drawing/2012/chart" uri="{CE6537A1-D6FC-4f65-9D91-7224C49458BB}">
                  <c15:layout>
                    <c:manualLayout>
                      <c:w val="0.207221942627076"/>
                      <c:h val="0.12282446544008"/>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Sheet1!$A$2:$A$10</c:f>
              <c:strCache>
                <c:ptCount val="9"/>
                <c:pt idx="0">
                  <c:v>国有企业</c:v>
                </c:pt>
                <c:pt idx="1">
                  <c:v>集体企业</c:v>
                </c:pt>
                <c:pt idx="2">
                  <c:v>股份合作企业</c:v>
                </c:pt>
                <c:pt idx="3">
                  <c:v>联营企业</c:v>
                </c:pt>
                <c:pt idx="4">
                  <c:v>有限责任公司</c:v>
                </c:pt>
                <c:pt idx="5">
                  <c:v>股份有限公司</c:v>
                </c:pt>
                <c:pt idx="6">
                  <c:v>私营企业</c:v>
                </c:pt>
                <c:pt idx="7">
                  <c:v>其它企业</c:v>
                </c:pt>
                <c:pt idx="8">
                  <c:v>个体经营</c:v>
                </c:pt>
              </c:strCache>
            </c:strRef>
          </c:cat>
          <c:val>
            <c:numRef>
              <c:f>Sheet1!$B$2:$B$10</c:f>
              <c:numCache>
                <c:formatCode>#,##0</c:formatCode>
                <c:ptCount val="9"/>
                <c:pt idx="0">
                  <c:v>268</c:v>
                </c:pt>
                <c:pt idx="1">
                  <c:v>25</c:v>
                </c:pt>
                <c:pt idx="2">
                  <c:v>107</c:v>
                </c:pt>
                <c:pt idx="3">
                  <c:v>1114</c:v>
                </c:pt>
                <c:pt idx="4">
                  <c:v>1306</c:v>
                </c:pt>
                <c:pt idx="5">
                  <c:v>1315</c:v>
                </c:pt>
                <c:pt idx="6">
                  <c:v>5138</c:v>
                </c:pt>
                <c:pt idx="7">
                  <c:v>165</c:v>
                </c:pt>
                <c:pt idx="8">
                  <c:v>2424</c:v>
                </c:pt>
              </c:numCache>
            </c:numRef>
          </c:val>
        </c:ser>
        <c:dLbls>
          <c:showLegendKey val="0"/>
          <c:showVal val="1"/>
          <c:showCatName val="0"/>
          <c:showSerName val="0"/>
          <c:showPercent val="0"/>
          <c:showBubbleSize val="0"/>
        </c:dLbls>
      </c:pie3DChart>
      <c:spPr>
        <a:noFill/>
        <a:ln>
          <a:noFill/>
        </a:ln>
        <a:effectLst/>
      </c:spPr>
    </c:plotArea>
    <c:legend>
      <c:legendPos val="b"/>
      <c:layout>
        <c:manualLayout>
          <c:xMode val="edge"/>
          <c:yMode val="edge"/>
          <c:x val="0.0269491100526448"/>
          <c:y val="0.796928051738076"/>
          <c:w val="0.969290549009777"/>
          <c:h val="0.19822150363783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932142185442919"/>
          <c:y val="0.20719504782091"/>
          <c:w val="0.807176979499718"/>
          <c:h val="0.60049579459938"/>
        </c:manualLayout>
      </c:layout>
      <c:pie3DChart>
        <c:varyColors val="1"/>
        <c:ser>
          <c:idx val="0"/>
          <c:order val="0"/>
          <c:tx>
            <c:strRef>
              <c:f>Sheet1!$B$1</c:f>
              <c:strCache>
                <c:ptCount val="1"/>
                <c:pt idx="0">
                  <c:v>需求人数</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c:spPr>
          </c:dPt>
          <c:dPt>
            <c:idx val="1"/>
            <c:bubble3D val="0"/>
            <c:spPr>
              <a:solidFill>
                <a:schemeClr val="accent3"/>
              </a:solidFill>
              <a:ln w="25400">
                <a:solidFill>
                  <a:schemeClr val="lt1"/>
                </a:solidFill>
              </a:ln>
              <a:effectLst/>
            </c:spPr>
          </c:dPt>
          <c:dPt>
            <c:idx val="2"/>
            <c:bubble3D val="0"/>
            <c:spPr>
              <a:solidFill>
                <a:schemeClr val="accent5"/>
              </a:solidFill>
              <a:ln w="25400">
                <a:solidFill>
                  <a:schemeClr val="lt1"/>
                </a:solidFill>
              </a:ln>
              <a:effectLst/>
            </c:spPr>
          </c:dPt>
          <c:dPt>
            <c:idx val="3"/>
            <c:bubble3D val="0"/>
            <c:spPr>
              <a:solidFill>
                <a:schemeClr val="accent1">
                  <a:lumMod val="60000"/>
                </a:schemeClr>
              </a:solidFill>
              <a:ln w="25400">
                <a:solidFill>
                  <a:schemeClr val="lt1"/>
                </a:solidFill>
              </a:ln>
              <a:effectLst/>
            </c:spPr>
          </c:dPt>
          <c:dLbls>
            <c:dLbl>
              <c:idx val="0"/>
              <c:layout>
                <c:manualLayout>
                  <c:x val="-0.0517828649873942"/>
                  <c:y val="-0.275014333724723"/>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1"/>
              <c:layout>
                <c:manualLayout>
                  <c:x val="-0.104230377166157"/>
                  <c:y val="-0.0105888015401893"/>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2"/>
              <c:layout>
                <c:manualLayout>
                  <c:x val="-0.00891946992864418"/>
                  <c:y val="-0.0213380394673512"/>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dLbl>
              <c:idx val="3"/>
              <c:layout>
                <c:manualLayout>
                  <c:x val="0.0839421326563756"/>
                  <c:y val="-0.0116574238675814"/>
                </c:manualLayout>
              </c:layout>
              <c:dLblPos val="bestFit"/>
              <c:showLegendKey val="0"/>
              <c:showVal val="1"/>
              <c:showCatName val="1"/>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企业</c:v>
                </c:pt>
                <c:pt idx="1">
                  <c:v>事业</c:v>
                </c:pt>
                <c:pt idx="2">
                  <c:v>机关</c:v>
                </c:pt>
                <c:pt idx="3">
                  <c:v>其他</c:v>
                </c:pt>
              </c:strCache>
            </c:strRef>
          </c:cat>
          <c:val>
            <c:numRef>
              <c:f>Sheet1!$B$2:$B$5</c:f>
              <c:numCache>
                <c:formatCode>#,##0</c:formatCode>
                <c:ptCount val="4"/>
                <c:pt idx="0">
                  <c:v>11862</c:v>
                </c:pt>
                <c:pt idx="1">
                  <c:v>71</c:v>
                </c:pt>
                <c:pt idx="2">
                  <c:v>0</c:v>
                </c:pt>
                <c:pt idx="3">
                  <c:v>315</c:v>
                </c:pt>
              </c:numCache>
            </c:numRef>
          </c:val>
        </c:ser>
        <c:dLbls>
          <c:showLegendKey val="0"/>
          <c:showVal val="1"/>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按职业分组的供求人数</a:t>
            </a:r>
          </a:p>
        </c:rich>
      </c:tx>
      <c:layout/>
      <c:overlay val="0"/>
      <c:spPr>
        <a:noFill/>
        <a:ln>
          <a:noFill/>
        </a:ln>
        <a:effectLst/>
      </c:spPr>
    </c:title>
    <c:autoTitleDeleted val="0"/>
    <c:plotArea>
      <c:layout>
        <c:manualLayout>
          <c:layoutTarget val="inner"/>
          <c:xMode val="edge"/>
          <c:yMode val="edge"/>
          <c:x val="0.0546899490445502"/>
          <c:y val="0.133385114449173"/>
          <c:w val="0.897166874221669"/>
          <c:h val="0.56629798308393"/>
        </c:manualLayout>
      </c:layout>
      <c:barChart>
        <c:barDir val="col"/>
        <c:grouping val="clustered"/>
        <c:varyColors val="0"/>
        <c:ser>
          <c:idx val="0"/>
          <c:order val="0"/>
          <c:tx>
            <c:strRef>
              <c:f>Sheet1!$B$1</c:f>
              <c:strCache>
                <c:ptCount val="1"/>
                <c:pt idx="0">
                  <c:v>需求 人数(人)</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Sheet1!$B$2:$B$9</c:f>
              <c:numCache>
                <c:formatCode>#,##0</c:formatCode>
                <c:ptCount val="8"/>
                <c:pt idx="0">
                  <c:v>323</c:v>
                </c:pt>
                <c:pt idx="1">
                  <c:v>1015</c:v>
                </c:pt>
                <c:pt idx="2">
                  <c:v>2678</c:v>
                </c:pt>
                <c:pt idx="3">
                  <c:v>2822</c:v>
                </c:pt>
                <c:pt idx="4">
                  <c:v>329</c:v>
                </c:pt>
                <c:pt idx="5">
                  <c:v>2394</c:v>
                </c:pt>
                <c:pt idx="6">
                  <c:v>2687</c:v>
                </c:pt>
              </c:numCache>
            </c:numRef>
          </c:val>
        </c:ser>
        <c:ser>
          <c:idx val="1"/>
          <c:order val="1"/>
          <c:tx>
            <c:strRef>
              <c:f>Sheet1!$C$1</c:f>
              <c:strCache>
                <c:ptCount val="1"/>
                <c:pt idx="0">
                  <c:v>求职 人数(人)</c:v>
                </c:pt>
              </c:strCache>
            </c:strRef>
          </c:tx>
          <c:spPr>
            <a:solidFill>
              <a:schemeClr val="accent3"/>
            </a:solidFill>
            <a:ln>
              <a:noFill/>
            </a:ln>
            <a:effectLst/>
          </c:spPr>
          <c:invertIfNegative val="0"/>
          <c:dLbls>
            <c:dLbl>
              <c:idx val="0"/>
              <c:layout>
                <c:manualLayout>
                  <c:x val="0.00253542132736764"/>
                  <c:y val="-0.0240146175933177"/>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372856077554064"/>
                  <c:y val="0.0326285565126599"/>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Sheet1!$C$2:$C$9</c:f>
              <c:numCache>
                <c:formatCode>#,##0</c:formatCode>
                <c:ptCount val="8"/>
                <c:pt idx="0">
                  <c:v>222</c:v>
                </c:pt>
                <c:pt idx="1">
                  <c:v>816</c:v>
                </c:pt>
                <c:pt idx="2">
                  <c:v>2079</c:v>
                </c:pt>
                <c:pt idx="3">
                  <c:v>1693</c:v>
                </c:pt>
                <c:pt idx="4">
                  <c:v>229</c:v>
                </c:pt>
                <c:pt idx="5">
                  <c:v>993</c:v>
                </c:pt>
                <c:pt idx="6">
                  <c:v>2022</c:v>
                </c:pt>
                <c:pt idx="7">
                  <c:v>700</c:v>
                </c:pt>
              </c:numCache>
            </c:numRef>
          </c:val>
        </c:ser>
        <c:dLbls>
          <c:showLegendKey val="0"/>
          <c:showVal val="1"/>
          <c:showCatName val="0"/>
          <c:showSerName val="0"/>
          <c:showPercent val="0"/>
          <c:showBubbleSize val="0"/>
        </c:dLbls>
        <c:gapWidth val="219"/>
        <c:overlap val="-27"/>
        <c:axId val="947187043"/>
        <c:axId val="458235469"/>
      </c:barChart>
      <c:lineChart>
        <c:grouping val="standard"/>
        <c:varyColors val="0"/>
        <c:ser>
          <c:idx val="2"/>
          <c:order val="2"/>
          <c:tx>
            <c:strRef>
              <c:f>Sheet1!$D$1</c:f>
              <c:strCache>
                <c:ptCount val="1"/>
                <c:pt idx="0">
                  <c:v>需求 比重 (%)</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dLbl>
              <c:idx val="0"/>
              <c:layout>
                <c:manualLayout>
                  <c:x val="0.000886559175226191"/>
                  <c:y val="-0.082047032193427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436241610738255"/>
                  <c:y val="-0.04306969459671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945625382639978"/>
                  <c:y val="0.038381064308865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
                  <c:y val="-0.029365700861393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132653809500211"/>
                  <c:y val="-0.09473807480076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258703607387053"/>
                  <c:y val="-0.045466022714477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106636838180462"/>
                  <c:y val="0.013181936831114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Sheet1!$D$2:$D$9</c:f>
              <c:numCache>
                <c:formatCode>#,##0.00</c:formatCode>
                <c:ptCount val="8"/>
                <c:pt idx="0">
                  <c:v>2.64</c:v>
                </c:pt>
                <c:pt idx="1">
                  <c:v>8.29</c:v>
                </c:pt>
                <c:pt idx="2">
                  <c:v>21.86</c:v>
                </c:pt>
                <c:pt idx="3">
                  <c:v>23.04</c:v>
                </c:pt>
                <c:pt idx="4">
                  <c:v>2.69</c:v>
                </c:pt>
                <c:pt idx="5">
                  <c:v>19.55</c:v>
                </c:pt>
                <c:pt idx="6">
                  <c:v>21.94</c:v>
                </c:pt>
              </c:numCache>
            </c:numRef>
          </c:val>
          <c:smooth val="0"/>
        </c:ser>
        <c:ser>
          <c:idx val="3"/>
          <c:order val="3"/>
          <c:tx>
            <c:strRef>
              <c:f>Sheet1!$E$1</c:f>
              <c:strCache>
                <c:ptCount val="1"/>
                <c:pt idx="0">
                  <c:v>求职 比重 (%)</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dLbls>
            <c:dLbl>
              <c:idx val="0"/>
              <c:layout>
                <c:manualLayout>
                  <c:x val="-0.0494099786074115"/>
                  <c:y val="-0.052361503822389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559284116331096"/>
                  <c:y val="-0.019577133907595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375534435192386"/>
                  <c:y val="-0.080270103352669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264992064039749"/>
                  <c:y val="-0.057597654204628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541025464081154"/>
                  <c:y val="-0.03967013318683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56109541827268"/>
                  <c:y val="-0.03183944363790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单位负责人</c:v>
                </c:pt>
                <c:pt idx="1">
                  <c:v>专业技术人员</c:v>
                </c:pt>
                <c:pt idx="2">
                  <c:v>办事人员和有关人员</c:v>
                </c:pt>
                <c:pt idx="3">
                  <c:v>社会生产服务和生活服务人员</c:v>
                </c:pt>
                <c:pt idx="4">
                  <c:v>农林牧渔业生产及辅助人员</c:v>
                </c:pt>
                <c:pt idx="5">
                  <c:v>生产制造及有关人员</c:v>
                </c:pt>
                <c:pt idx="6">
                  <c:v>其他</c:v>
                </c:pt>
                <c:pt idx="7">
                  <c:v>无要求</c:v>
                </c:pt>
              </c:strCache>
            </c:strRef>
          </c:cat>
          <c:val>
            <c:numRef>
              <c:f>Sheet1!$E$2:$E$9</c:f>
              <c:numCache>
                <c:formatCode>#,##0.00</c:formatCode>
                <c:ptCount val="8"/>
                <c:pt idx="0">
                  <c:v>2.54</c:v>
                </c:pt>
                <c:pt idx="1">
                  <c:v>9.32</c:v>
                </c:pt>
                <c:pt idx="2">
                  <c:v>23.75</c:v>
                </c:pt>
                <c:pt idx="3">
                  <c:v>19.34</c:v>
                </c:pt>
                <c:pt idx="4">
                  <c:v>2.62</c:v>
                </c:pt>
                <c:pt idx="5">
                  <c:v>11.34</c:v>
                </c:pt>
                <c:pt idx="6">
                  <c:v>23.1</c:v>
                </c:pt>
                <c:pt idx="7">
                  <c:v>8</c:v>
                </c:pt>
              </c:numCache>
            </c:numRef>
          </c:val>
          <c:smooth val="0"/>
        </c:ser>
        <c:dLbls>
          <c:showLegendKey val="0"/>
          <c:showVal val="1"/>
          <c:showCatName val="0"/>
          <c:showSerName val="0"/>
          <c:showPercent val="0"/>
          <c:showBubbleSize val="0"/>
        </c:dLbls>
        <c:marker val="1"/>
        <c:smooth val="0"/>
        <c:axId val="488026430"/>
        <c:axId val="464101521"/>
      </c:lineChart>
      <c:catAx>
        <c:axId val="94718704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8235469"/>
        <c:crosses val="autoZero"/>
        <c:auto val="1"/>
        <c:lblAlgn val="ctr"/>
        <c:lblOffset val="100"/>
        <c:noMultiLvlLbl val="0"/>
      </c:catAx>
      <c:valAx>
        <c:axId val="45823546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47187043"/>
        <c:crosses val="autoZero"/>
        <c:crossBetween val="between"/>
      </c:valAx>
      <c:catAx>
        <c:axId val="488026430"/>
        <c:scaling>
          <c:orientation val="minMax"/>
        </c:scaling>
        <c:delete val="1"/>
        <c:axPos val="b"/>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64101521"/>
        <c:crosses val="autoZero"/>
        <c:auto val="1"/>
        <c:lblAlgn val="ctr"/>
        <c:lblOffset val="100"/>
        <c:noMultiLvlLbl val="0"/>
      </c:catAx>
      <c:valAx>
        <c:axId val="464101521"/>
        <c:scaling>
          <c:orientation val="minMax"/>
        </c:scaling>
        <c:delete val="0"/>
        <c:axPos val="r"/>
        <c:numFmt formatCode="#,##0.00"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8026430"/>
        <c:crosses val="max"/>
        <c:crossBetween val="between"/>
      </c:valAx>
      <c:spPr>
        <a:noFill/>
        <a:ln>
          <a:noFill/>
        </a:ln>
        <a:effectLst/>
      </c:spPr>
    </c:plotArea>
    <c:legend>
      <c:legendPos val="b"/>
      <c:layout>
        <c:manualLayout>
          <c:xMode val="edge"/>
          <c:yMode val="edge"/>
          <c:x val="0.281071009592161"/>
          <c:y val="0.890675756292153"/>
          <c:w val="0.533158512179974"/>
          <c:h val="0.08409257513875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按求职人员类别分组的求职人数及占比</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求职人数(人)</c:v>
                </c:pt>
              </c:strCache>
            </c:strRef>
          </c:tx>
          <c:spPr>
            <a:solidFill>
              <a:schemeClr val="accent1"/>
            </a:solidFill>
            <a:ln>
              <a:noFill/>
            </a:ln>
            <a:effectLst/>
          </c:spPr>
          <c:invertIfNegative val="0"/>
          <c:dLbls>
            <c:dLbl>
              <c:idx val="3"/>
              <c:layout>
                <c:manualLayout>
                  <c:x val="0"/>
                  <c:y val="0.00695007529248234"/>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新成长失业青年 </c:v>
                </c:pt>
                <c:pt idx="1">
                  <c:v>其中：应届高校毕业生</c:v>
                </c:pt>
                <c:pt idx="2">
                  <c:v>失业人员</c:v>
                </c:pt>
                <c:pt idx="3">
                  <c:v>在业人员</c:v>
                </c:pt>
                <c:pt idx="4">
                  <c:v>退休人员</c:v>
                </c:pt>
                <c:pt idx="5">
                  <c:v>在学人员</c:v>
                </c:pt>
                <c:pt idx="6">
                  <c:v>本市农村求职人员</c:v>
                </c:pt>
                <c:pt idx="7">
                  <c:v>外地户籍求职人员</c:v>
                </c:pt>
              </c:strCache>
            </c:strRef>
          </c:cat>
          <c:val>
            <c:numRef>
              <c:f>Sheet1!$B$2:$B$9</c:f>
              <c:numCache>
                <c:formatCode>#,##0</c:formatCode>
                <c:ptCount val="8"/>
                <c:pt idx="0">
                  <c:v>2185</c:v>
                </c:pt>
                <c:pt idx="1">
                  <c:v>844</c:v>
                </c:pt>
                <c:pt idx="2">
                  <c:v>2554</c:v>
                </c:pt>
                <c:pt idx="3">
                  <c:v>1288</c:v>
                </c:pt>
                <c:pt idx="4">
                  <c:v>145</c:v>
                </c:pt>
                <c:pt idx="5">
                  <c:v>0</c:v>
                </c:pt>
                <c:pt idx="6">
                  <c:v>818</c:v>
                </c:pt>
                <c:pt idx="7">
                  <c:v>1764</c:v>
                </c:pt>
              </c:numCache>
            </c:numRef>
          </c:val>
        </c:ser>
        <c:dLbls>
          <c:showLegendKey val="0"/>
          <c:showVal val="1"/>
          <c:showCatName val="0"/>
          <c:showSerName val="0"/>
          <c:showPercent val="0"/>
          <c:showBubbleSize val="0"/>
        </c:dLbls>
        <c:gapWidth val="219"/>
        <c:overlap val="-27"/>
        <c:axId val="685628675"/>
        <c:axId val="839787285"/>
      </c:barChart>
      <c:lineChart>
        <c:grouping val="standard"/>
        <c:varyColors val="0"/>
        <c:ser>
          <c:idx val="1"/>
          <c:order val="1"/>
          <c:tx>
            <c:strRef>
              <c:f>Sheet1!$C$1</c:f>
              <c:strCache>
                <c:ptCount val="1"/>
                <c:pt idx="0">
                  <c:v>所占比重(%)</c:v>
                </c:pt>
              </c:strCache>
            </c:strRef>
          </c:tx>
          <c:spPr>
            <a:ln w="28575" cap="rnd">
              <a:solidFill>
                <a:schemeClr val="accent3"/>
              </a:solidFill>
              <a:round/>
            </a:ln>
            <a:effectLst/>
          </c:spPr>
          <c:marker>
            <c:symbol val="none"/>
          </c:marker>
          <c:dLbls>
            <c:dLbl>
              <c:idx val="0"/>
              <c:layout>
                <c:manualLayout>
                  <c:x val="-0.0281535934933917"/>
                  <c:y val="-0.031275338816170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17306639555799"/>
                  <c:y val="0.0382254141086528"/>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703839837334793"/>
                  <c:y val="-0.022587744700567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703839837334793"/>
                  <c:y val="-0.043437970578014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0117306639555799"/>
                  <c:y val="-0.031275338816170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0234613279111598"/>
                  <c:y val="-0.06255067763234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6"/>
              <c:layout>
                <c:manualLayout>
                  <c:x val="-0.0140767967466959"/>
                  <c:y val="-0.0503880458704969"/>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7"/>
              <c:layout>
                <c:manualLayout>
                  <c:x val="-0.0117306639555799"/>
                  <c:y val="-0.043437970578014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新成长失业青年 </c:v>
                </c:pt>
                <c:pt idx="1">
                  <c:v>其中：应届高校毕业生</c:v>
                </c:pt>
                <c:pt idx="2">
                  <c:v>失业人员</c:v>
                </c:pt>
                <c:pt idx="3">
                  <c:v>在业人员</c:v>
                </c:pt>
                <c:pt idx="4">
                  <c:v>退休人员</c:v>
                </c:pt>
                <c:pt idx="5">
                  <c:v>在学人员</c:v>
                </c:pt>
                <c:pt idx="6">
                  <c:v>本市农村求职人员</c:v>
                </c:pt>
                <c:pt idx="7">
                  <c:v>外地户籍求职人员</c:v>
                </c:pt>
              </c:strCache>
            </c:strRef>
          </c:cat>
          <c:val>
            <c:numRef>
              <c:f>Sheet1!$C$2:$C$9</c:f>
              <c:numCache>
                <c:formatCode>#,##0.00</c:formatCode>
                <c:ptCount val="8"/>
                <c:pt idx="0">
                  <c:v>24.96</c:v>
                </c:pt>
                <c:pt idx="1">
                  <c:v>38.63</c:v>
                </c:pt>
                <c:pt idx="2">
                  <c:v>29.18</c:v>
                </c:pt>
                <c:pt idx="3">
                  <c:v>14.71</c:v>
                </c:pt>
                <c:pt idx="4">
                  <c:v>1.66</c:v>
                </c:pt>
                <c:pt idx="5">
                  <c:v>0</c:v>
                </c:pt>
                <c:pt idx="6">
                  <c:v>9.34</c:v>
                </c:pt>
                <c:pt idx="7">
                  <c:v>20.15</c:v>
                </c:pt>
              </c:numCache>
            </c:numRef>
          </c:val>
          <c:smooth val="0"/>
        </c:ser>
        <c:dLbls>
          <c:showLegendKey val="0"/>
          <c:showVal val="1"/>
          <c:showCatName val="0"/>
          <c:showSerName val="0"/>
          <c:showPercent val="0"/>
          <c:showBubbleSize val="0"/>
        </c:dLbls>
        <c:marker val="0"/>
        <c:smooth val="0"/>
        <c:axId val="256367329"/>
        <c:axId val="484297088"/>
      </c:lineChart>
      <c:catAx>
        <c:axId val="68562867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39787285"/>
        <c:crosses val="autoZero"/>
        <c:auto val="1"/>
        <c:lblAlgn val="ctr"/>
        <c:lblOffset val="100"/>
        <c:noMultiLvlLbl val="0"/>
      </c:catAx>
      <c:valAx>
        <c:axId val="83978728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85628675"/>
        <c:crosses val="autoZero"/>
        <c:crossBetween val="between"/>
      </c:valAx>
      <c:catAx>
        <c:axId val="256367329"/>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84297088"/>
        <c:crosses val="autoZero"/>
        <c:auto val="1"/>
        <c:lblAlgn val="ctr"/>
        <c:lblOffset val="100"/>
        <c:noMultiLvlLbl val="0"/>
      </c:catAx>
      <c:valAx>
        <c:axId val="484297088"/>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56367329"/>
        <c:crosses val="max"/>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按性别分组的供求人数</a:t>
            </a:r>
          </a:p>
        </c:rich>
      </c:tx>
      <c:layout>
        <c:manualLayout>
          <c:xMode val="edge"/>
          <c:yMode val="edge"/>
          <c:x val="0.320640533411489"/>
          <c:y val="0.0305300105300105"/>
        </c:manualLayout>
      </c:layout>
      <c:overlay val="0"/>
      <c:spPr>
        <a:noFill/>
        <a:ln>
          <a:noFill/>
        </a:ln>
        <a:effectLst/>
      </c:spPr>
    </c:title>
    <c:autoTitleDeleted val="0"/>
    <c:plotArea>
      <c:layout>
        <c:manualLayout>
          <c:layoutTarget val="inner"/>
          <c:xMode val="edge"/>
          <c:yMode val="edge"/>
          <c:x val="0.0708792497069168"/>
          <c:y val="0.12702533052533"/>
          <c:w val="0.86535"/>
          <c:h val="0.7169"/>
        </c:manualLayout>
      </c:layout>
      <c:barChart>
        <c:barDir val="col"/>
        <c:grouping val="clustered"/>
        <c:varyColors val="0"/>
        <c:ser>
          <c:idx val="0"/>
          <c:order val="0"/>
          <c:tx>
            <c:strRef>
              <c:f>Sheet1!$B$1</c:f>
              <c:strCache>
                <c:ptCount val="1"/>
                <c:pt idx="0">
                  <c:v>求职 人数(人)</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男</c:v>
                </c:pt>
                <c:pt idx="1">
                  <c:v>女</c:v>
                </c:pt>
              </c:strCache>
            </c:strRef>
          </c:cat>
          <c:val>
            <c:numRef>
              <c:f>Sheet1!$B$2:$B$3</c:f>
              <c:numCache>
                <c:formatCode>#,##0</c:formatCode>
                <c:ptCount val="2"/>
                <c:pt idx="0">
                  <c:v>4694</c:v>
                </c:pt>
                <c:pt idx="1">
                  <c:v>4060</c:v>
                </c:pt>
              </c:numCache>
            </c:numRef>
          </c:val>
        </c:ser>
        <c:dLbls>
          <c:showLegendKey val="0"/>
          <c:showVal val="1"/>
          <c:showCatName val="0"/>
          <c:showSerName val="0"/>
          <c:showPercent val="0"/>
          <c:showBubbleSize val="0"/>
        </c:dLbls>
        <c:gapWidth val="150"/>
        <c:overlap val="0"/>
        <c:axId val="613521406"/>
        <c:axId val="629906716"/>
      </c:barChart>
      <c:lineChart>
        <c:grouping val="standard"/>
        <c:varyColors val="0"/>
        <c:ser>
          <c:idx val="2"/>
          <c:order val="2"/>
          <c:tx>
            <c:strRef>
              <c:f>Sheet1!#REF!</c:f>
              <c:strCache>
                <c:ptCount val="1"/>
                <c:pt idx="0">
                  <c:v/>
                </c:pt>
              </c:strCache>
            </c:strRef>
          </c:tx>
          <c:spPr>
            <a:ln w="28575" cap="rnd">
              <a:solidFill>
                <a:schemeClr val="accent5"/>
              </a:solidFill>
              <a:round/>
            </a:ln>
            <a:effectLst/>
          </c:spPr>
          <c:marker>
            <c:symbol val="none"/>
          </c:marker>
          <c:dLbls>
            <c:delete val="1"/>
          </c:dLbls>
          <c:cat>
            <c:strRef>
              <c:f>Sheet1!$A$2:$A$3</c:f>
              <c:strCache>
                <c:ptCount val="2"/>
                <c:pt idx="0">
                  <c:v>男</c:v>
                </c:pt>
                <c:pt idx="1">
                  <c:v>女</c:v>
                </c:pt>
              </c:strCache>
            </c:strRef>
          </c:cat>
          <c:val>
            <c:numRef>
              <c:f>Sheet1!#REF!</c:f>
              <c:numCache>
                <c:formatCode>General</c:formatCode>
                <c:ptCount val="1"/>
                <c:pt idx="0">
                  <c:v>1</c:v>
                </c:pt>
              </c:numCache>
            </c:numRef>
          </c:val>
          <c:smooth val="0"/>
        </c:ser>
        <c:dLbls>
          <c:showLegendKey val="0"/>
          <c:showVal val="1"/>
          <c:showCatName val="0"/>
          <c:showSerName val="0"/>
          <c:showPercent val="0"/>
          <c:showBubbleSize val="0"/>
        </c:dLbls>
        <c:marker val="0"/>
        <c:smooth val="0"/>
        <c:axId val="613521406"/>
        <c:axId val="629906716"/>
      </c:lineChart>
      <c:lineChart>
        <c:grouping val="standard"/>
        <c:varyColors val="0"/>
        <c:ser>
          <c:idx val="1"/>
          <c:order val="1"/>
          <c:tx>
            <c:strRef>
              <c:f>Sheet1!$C$1</c:f>
              <c:strCache>
                <c:ptCount val="1"/>
                <c:pt idx="0">
                  <c:v>求职 比重 (%)</c:v>
                </c:pt>
              </c:strCache>
            </c:strRef>
          </c:tx>
          <c:spPr>
            <a:ln w="28575" cap="rnd">
              <a:solidFill>
                <a:schemeClr val="accent3"/>
              </a:solidFill>
              <a:round/>
            </a:ln>
            <a:effectLst/>
          </c:spPr>
          <c:marker>
            <c:symbol val="none"/>
          </c:marker>
          <c:dLbls>
            <c:dLbl>
              <c:idx val="0"/>
              <c:layout>
                <c:manualLayout>
                  <c:x val="-0.11957796014068"/>
                  <c:y val="-0.0447525447525448"/>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mn-Mong-CN" altLang="en-US">
                        <a:cs typeface="Menk Qagan Tig" charset="0"/>
                      </a:rPr>
                      <a:t>5</a:t>
                    </a:r>
                    <a:r>
                      <a:rPr lang="en-US" altLang="mn-Mong-CN">
                        <a:cs typeface="Menk Qagan Tig" charset="0"/>
                      </a:rPr>
                      <a:t>4</a:t>
                    </a:r>
                    <a:r>
                      <a:rPr lang="mn-Mong-CN" altLang="en-US">
                        <a:cs typeface="Menk Qagan Tig" charset="0"/>
                      </a:rPr>
                      <a:t>.</a:t>
                    </a:r>
                    <a:r>
                      <a:rPr lang="en-US" altLang="mn-Mong-CN">
                        <a:cs typeface="Menk Qagan Tig" charset="0"/>
                      </a:rPr>
                      <a:t>7</a:t>
                    </a:r>
                    <a:r>
                      <a:rPr lang="mn-Mong-CN" altLang="en-US">
                        <a:cs typeface="Menk Qagan Tig" charset="0"/>
                      </a:rPr>
                      <a:t>5</a:t>
                    </a:r>
                    <a:r>
                      <a:rPr lang="en-US" altLang="zh-CN"/>
                      <a:t>%</a:t>
                    </a:r>
                    <a:endParaRPr lang="en-US" altLang="zh-CN"/>
                  </a:p>
                </c:rich>
              </c:tx>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433001172332947"/>
                  <c:y val="-0.061608342108342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mn-Mong-CN" altLang="en-US">
                        <a:cs typeface="Menk Qagan Tig" charset="0"/>
                      </a:rPr>
                      <a:t>4</a:t>
                    </a:r>
                    <a:r>
                      <a:rPr lang="en-US" altLang="mn-Mong-CN">
                        <a:cs typeface="Menk Qagan Tig" charset="0"/>
                      </a:rPr>
                      <a:t>5</a:t>
                    </a:r>
                    <a:r>
                      <a:rPr lang="mn-Mong-CN" altLang="en-US">
                        <a:cs typeface="Menk Qagan Tig" charset="0"/>
                      </a:rPr>
                      <a:t>.</a:t>
                    </a:r>
                    <a:r>
                      <a:rPr lang="en-US" altLang="mn-Mong-CN">
                        <a:cs typeface="Menk Qagan Tig" charset="0"/>
                      </a:rPr>
                      <a:t>2</a:t>
                    </a:r>
                    <a:r>
                      <a:rPr lang="mn-Mong-CN" altLang="en-US">
                        <a:cs typeface="Menk Qagan Tig" charset="0"/>
                      </a:rPr>
                      <a:t>5</a:t>
                    </a:r>
                    <a:r>
                      <a:rPr lang="en-US" altLang="zh-CN"/>
                      <a:t>%</a:t>
                    </a:r>
                    <a:endParaRPr lang="en-US" altLang="zh-CN"/>
                  </a:p>
                </c:rich>
              </c:tx>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男</c:v>
                </c:pt>
                <c:pt idx="1">
                  <c:v>女</c:v>
                </c:pt>
              </c:strCache>
            </c:strRef>
          </c:cat>
          <c:val>
            <c:numRef>
              <c:f>Sheet1!$C$2:$C$3</c:f>
              <c:numCache>
                <c:formatCode>#,##0.00</c:formatCode>
                <c:ptCount val="2"/>
                <c:pt idx="0">
                  <c:v>53.62</c:v>
                </c:pt>
                <c:pt idx="1">
                  <c:v>46.38</c:v>
                </c:pt>
              </c:numCache>
            </c:numRef>
          </c:val>
          <c:smooth val="0"/>
        </c:ser>
        <c:dLbls>
          <c:showLegendKey val="0"/>
          <c:showVal val="1"/>
          <c:showCatName val="0"/>
          <c:showSerName val="0"/>
          <c:showPercent val="0"/>
          <c:showBubbleSize val="0"/>
        </c:dLbls>
        <c:marker val="0"/>
        <c:smooth val="0"/>
        <c:axId val="709523982"/>
        <c:axId val="729276405"/>
      </c:lineChart>
      <c:catAx>
        <c:axId val="61352140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29906716"/>
        <c:crosses val="autoZero"/>
        <c:auto val="1"/>
        <c:lblAlgn val="ctr"/>
        <c:lblOffset val="100"/>
        <c:noMultiLvlLbl val="0"/>
      </c:catAx>
      <c:valAx>
        <c:axId val="6299067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13521406"/>
        <c:crosses val="autoZero"/>
        <c:crossBetween val="between"/>
      </c:valAx>
      <c:catAx>
        <c:axId val="709523982"/>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29276405"/>
        <c:crosses val="autoZero"/>
        <c:auto val="1"/>
        <c:lblAlgn val="ctr"/>
        <c:lblOffset val="100"/>
        <c:noMultiLvlLbl val="0"/>
      </c:catAx>
      <c:valAx>
        <c:axId val="729276405"/>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09523982"/>
        <c:crosses val="max"/>
        <c:crossBetween val="between"/>
      </c:valAx>
      <c:spPr>
        <a:noFill/>
        <a:ln>
          <a:noFill/>
        </a:ln>
        <a:effectLst/>
      </c:spPr>
    </c:plotArea>
    <c:legend>
      <c:legendPos val="b"/>
      <c:legendEntry>
        <c:idx val="1"/>
        <c:delete val="1"/>
      </c:legendEntry>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按年龄分组供求人数</a:t>
            </a:r>
          </a:p>
        </c:rich>
      </c:tx>
      <c:layout/>
      <c:overlay val="1"/>
      <c:spPr>
        <a:noFill/>
        <a:ln>
          <a:noFill/>
        </a:ln>
        <a:effectLst/>
      </c:spPr>
    </c:title>
    <c:autoTitleDeleted val="0"/>
    <c:plotArea>
      <c:layout>
        <c:manualLayout>
          <c:layoutTarget val="inner"/>
          <c:xMode val="edge"/>
          <c:yMode val="edge"/>
          <c:x val="0.0554389140271493"/>
          <c:y val="0.102750809061489"/>
          <c:w val="0.902515837104072"/>
          <c:h val="0.770685005393743"/>
        </c:manualLayout>
      </c:layout>
      <c:barChart>
        <c:barDir val="col"/>
        <c:grouping val="clustered"/>
        <c:varyColors val="0"/>
        <c:ser>
          <c:idx val="0"/>
          <c:order val="0"/>
          <c:tx>
            <c:strRef>
              <c:f>Sheet1!$B$1</c:f>
              <c:strCache>
                <c:ptCount val="1"/>
                <c:pt idx="0">
                  <c:v>需求人数 (人)</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Sheet1!$B$2:$B$6</c:f>
              <c:numCache>
                <c:formatCode>#,##0</c:formatCode>
                <c:ptCount val="5"/>
                <c:pt idx="0">
                  <c:v>1386</c:v>
                </c:pt>
                <c:pt idx="1">
                  <c:v>3455</c:v>
                </c:pt>
                <c:pt idx="2">
                  <c:v>3322</c:v>
                </c:pt>
                <c:pt idx="3">
                  <c:v>1114</c:v>
                </c:pt>
                <c:pt idx="4">
                  <c:v>2971</c:v>
                </c:pt>
              </c:numCache>
            </c:numRef>
          </c:val>
        </c:ser>
        <c:ser>
          <c:idx val="2"/>
          <c:order val="2"/>
          <c:tx>
            <c:strRef>
              <c:f>Sheet1!$D$1</c:f>
              <c:strCache>
                <c:ptCount val="1"/>
                <c:pt idx="0">
                  <c:v>求职人数 (人)</c:v>
                </c:pt>
              </c:strCache>
            </c:strRef>
          </c:tx>
          <c:spPr>
            <a:solidFill>
              <a:schemeClr val="accent5"/>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Base"/>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Sheet1!$D$2:$D$6</c:f>
              <c:numCache>
                <c:formatCode>#,##0</c:formatCode>
                <c:ptCount val="5"/>
                <c:pt idx="0">
                  <c:v>1501</c:v>
                </c:pt>
                <c:pt idx="1">
                  <c:v>2877</c:v>
                </c:pt>
                <c:pt idx="2">
                  <c:v>2540</c:v>
                </c:pt>
                <c:pt idx="3">
                  <c:v>1836</c:v>
                </c:pt>
                <c:pt idx="4" c:formatCode="General">
                  <c:v>0</c:v>
                </c:pt>
              </c:numCache>
            </c:numRef>
          </c:val>
        </c:ser>
        <c:dLbls>
          <c:showLegendKey val="0"/>
          <c:showVal val="1"/>
          <c:showCatName val="0"/>
          <c:showSerName val="0"/>
          <c:showPercent val="0"/>
          <c:showBubbleSize val="0"/>
        </c:dLbls>
        <c:gapWidth val="219"/>
        <c:overlap val="-27"/>
        <c:axId val="663119177"/>
        <c:axId val="783325124"/>
      </c:barChart>
      <c:lineChart>
        <c:grouping val="standard"/>
        <c:varyColors val="0"/>
        <c:ser>
          <c:idx val="1"/>
          <c:order val="1"/>
          <c:tx>
            <c:strRef>
              <c:f>Sheet1!$C$1</c:f>
              <c:strCache>
                <c:ptCount val="1"/>
                <c:pt idx="0">
                  <c:v>需求比重(%)</c:v>
                </c:pt>
              </c:strCache>
            </c:strRef>
          </c:tx>
          <c:spPr>
            <a:ln w="28575" cap="rnd">
              <a:solidFill>
                <a:schemeClr val="accent3"/>
              </a:solidFill>
              <a:round/>
            </a:ln>
            <a:effectLst/>
          </c:spPr>
          <c:marker>
            <c:symbol val="none"/>
          </c:marker>
          <c:dLbls>
            <c:dLbl>
              <c:idx val="0"/>
              <c:layout>
                <c:manualLayout>
                  <c:x val="-0.0593683210638803"/>
                  <c:y val="-0.03427054422589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0791577614185071"/>
                  <c:y val="-0.034149873295523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3</a:t>
                    </a:r>
                    <a:r>
                      <a:rPr lang="mn-Mong-CN" altLang="en-US">
                        <a:cs typeface="Menk Qagan Tig" charset="0"/>
                      </a:rPr>
                      <a:t>0</a:t>
                    </a:r>
                    <a:r>
                      <a:rPr lang="en-US" altLang="mn-Mong-CN">
                        <a:cs typeface="Menk Qagan Tig" charset="0"/>
                      </a:rPr>
                      <a:t>.</a:t>
                    </a:r>
                    <a:r>
                      <a:rPr lang="mn-Mong-CN" altLang="en-US">
                        <a:cs typeface="Menk Qagan Tig" charset="0"/>
                      </a:rPr>
                      <a:t>6</a:t>
                    </a:r>
                    <a:r>
                      <a:rPr lang="en-US" altLang="mn-Mong-CN">
                        <a:cs typeface="Menk Qagan Tig" charset="0"/>
                      </a:rPr>
                      <a:t>9</a:t>
                    </a:r>
                    <a:r>
                      <a:rPr lang="en-US" altLang="zh-CN"/>
                      <a:t>%</a:t>
                    </a:r>
                    <a:endParaRPr lang="en-US" altLang="zh-CN"/>
                  </a:p>
                </c:rich>
              </c:tx>
              <c:numFmt formatCode="_ * #,##0.00_ ;_ * \-#,##0.00_ ;_ * &quot;-&quot;??_ ;_ @_ "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
                  <c:y val="0.016049233739592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Sheet1!$C$2:$C$6</c:f>
              <c:numCache>
                <c:formatCode>#,##0.00</c:formatCode>
                <c:ptCount val="5"/>
                <c:pt idx="0">
                  <c:v>11.32</c:v>
                </c:pt>
                <c:pt idx="1">
                  <c:v>28.21</c:v>
                </c:pt>
                <c:pt idx="2">
                  <c:v>27.12</c:v>
                </c:pt>
                <c:pt idx="3">
                  <c:v>9.1</c:v>
                </c:pt>
                <c:pt idx="4">
                  <c:v>24.26</c:v>
                </c:pt>
              </c:numCache>
            </c:numRef>
          </c:val>
          <c:smooth val="0"/>
        </c:ser>
        <c:ser>
          <c:idx val="3"/>
          <c:order val="3"/>
          <c:tx>
            <c:strRef>
              <c:f>Sheet1!$E$1</c:f>
              <c:strCache>
                <c:ptCount val="1"/>
                <c:pt idx="0">
                  <c:v>求职比重(%)</c:v>
                </c:pt>
              </c:strCache>
            </c:strRef>
          </c:tx>
          <c:spPr>
            <a:ln w="28575" cap="rnd">
              <a:solidFill>
                <a:schemeClr val="accent1">
                  <a:lumMod val="60000"/>
                </a:schemeClr>
              </a:solidFill>
              <a:round/>
            </a:ln>
            <a:effectLst/>
          </c:spPr>
          <c:marker>
            <c:symbol val="none"/>
          </c:marker>
          <c:dLbls>
            <c:dLbl>
              <c:idx val="2"/>
              <c:layout>
                <c:manualLayout>
                  <c:x val="-0.0383123565265574"/>
                  <c:y val="-0.0503197779654881"/>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16-24岁</c:v>
                </c:pt>
                <c:pt idx="1">
                  <c:v>25-34岁</c:v>
                </c:pt>
                <c:pt idx="2">
                  <c:v>35-44岁</c:v>
                </c:pt>
                <c:pt idx="3">
                  <c:v>45岁以上</c:v>
                </c:pt>
                <c:pt idx="4">
                  <c:v>无要求</c:v>
                </c:pt>
              </c:strCache>
            </c:strRef>
          </c:cat>
          <c:val>
            <c:numRef>
              <c:f>Sheet1!$E$2:$E$6</c:f>
              <c:numCache>
                <c:formatCode>#,##0.00</c:formatCode>
                <c:ptCount val="5"/>
                <c:pt idx="0">
                  <c:v>17.15</c:v>
                </c:pt>
                <c:pt idx="1">
                  <c:v>32.86</c:v>
                </c:pt>
                <c:pt idx="2">
                  <c:v>29.02</c:v>
                </c:pt>
                <c:pt idx="3">
                  <c:v>20.97</c:v>
                </c:pt>
                <c:pt idx="4" c:formatCode="General">
                  <c:v>0</c:v>
                </c:pt>
              </c:numCache>
            </c:numRef>
          </c:val>
          <c:smooth val="0"/>
        </c:ser>
        <c:dLbls>
          <c:showLegendKey val="0"/>
          <c:showVal val="1"/>
          <c:showCatName val="0"/>
          <c:showSerName val="0"/>
          <c:showPercent val="0"/>
          <c:showBubbleSize val="0"/>
        </c:dLbls>
        <c:marker val="0"/>
        <c:smooth val="0"/>
        <c:axId val="828197396"/>
        <c:axId val="626198403"/>
      </c:lineChart>
      <c:catAx>
        <c:axId val="66311917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83325124"/>
        <c:crosses val="autoZero"/>
        <c:auto val="1"/>
        <c:lblAlgn val="ctr"/>
        <c:lblOffset val="100"/>
        <c:noMultiLvlLbl val="0"/>
      </c:catAx>
      <c:valAx>
        <c:axId val="7833251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3119177"/>
        <c:crosses val="autoZero"/>
        <c:crossBetween val="between"/>
      </c:valAx>
      <c:catAx>
        <c:axId val="828197396"/>
        <c:scaling>
          <c:orientation val="minMax"/>
        </c:scaling>
        <c:delete val="1"/>
        <c:axPos val="b"/>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26198403"/>
        <c:crosses val="autoZero"/>
        <c:auto val="1"/>
        <c:lblAlgn val="ctr"/>
        <c:lblOffset val="100"/>
        <c:noMultiLvlLbl val="0"/>
      </c:catAx>
      <c:valAx>
        <c:axId val="626198403"/>
        <c:scaling>
          <c:orientation val="minMax"/>
        </c:scaling>
        <c:delete val="0"/>
        <c:axPos val="r"/>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8197396"/>
        <c:crosses val="max"/>
        <c:crossBetween val="between"/>
      </c:valAx>
      <c:spPr>
        <a:noFill/>
        <a:ln>
          <a:noFill/>
        </a:ln>
        <a:effectLst/>
      </c:spPr>
    </c:plotArea>
    <c:legend>
      <c:legendPos val="b"/>
      <c:layout>
        <c:manualLayout>
          <c:xMode val="edge"/>
          <c:yMode val="edge"/>
          <c:x val="0.202268569337724"/>
          <c:y val="0.926246350167622"/>
          <c:w val="0.591511159897548"/>
          <c:h val="0.0607764680436898"/>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按文化程度分组的供求人数</a:t>
            </a:r>
          </a:p>
        </c:rich>
      </c:tx>
      <c:layout>
        <c:manualLayout>
          <c:xMode val="edge"/>
          <c:yMode val="edge"/>
          <c:x val="0.36710813454737"/>
          <c:y val="0.0190421234852856"/>
        </c:manualLayout>
      </c:layout>
      <c:overlay val="0"/>
      <c:spPr>
        <a:noFill/>
        <a:ln>
          <a:noFill/>
        </a:ln>
        <a:effectLst/>
      </c:spPr>
    </c:title>
    <c:autoTitleDeleted val="0"/>
    <c:plotArea>
      <c:layout>
        <c:manualLayout>
          <c:layoutTarget val="inner"/>
          <c:xMode val="edge"/>
          <c:yMode val="edge"/>
          <c:x val="0.0397358517361358"/>
          <c:y val="0.0147888073199277"/>
          <c:w val="0.912504437974863"/>
          <c:h val="0.683093946164486"/>
        </c:manualLayout>
      </c:layout>
      <c:barChart>
        <c:barDir val="col"/>
        <c:grouping val="clustered"/>
        <c:varyColors val="0"/>
        <c:ser>
          <c:idx val="0"/>
          <c:order val="0"/>
          <c:tx>
            <c:strRef>
              <c:f>Sheet1!$B$1</c:f>
              <c:strCache>
                <c:ptCount val="1"/>
                <c:pt idx="0">
                  <c:v>需求人数 (人)</c:v>
                </c:pt>
              </c:strCache>
            </c:strRef>
          </c:tx>
          <c:spPr>
            <a:solidFill>
              <a:schemeClr val="accent1"/>
            </a:solidFill>
            <a:ln>
              <a:noFill/>
            </a:ln>
            <a:effectLst/>
          </c:spPr>
          <c:invertIfNegative val="0"/>
          <c:dLbls>
            <c:numFmt formatCode="General"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Sheet1!$B$2:$B$8</c:f>
              <c:numCache>
                <c:formatCode>#,##0</c:formatCode>
                <c:ptCount val="7"/>
                <c:pt idx="0">
                  <c:v>1473</c:v>
                </c:pt>
                <c:pt idx="1">
                  <c:v>1995</c:v>
                </c:pt>
                <c:pt idx="2">
                  <c:v>719</c:v>
                </c:pt>
                <c:pt idx="3">
                  <c:v>2698</c:v>
                </c:pt>
                <c:pt idx="4">
                  <c:v>1627</c:v>
                </c:pt>
                <c:pt idx="5">
                  <c:v>0</c:v>
                </c:pt>
                <c:pt idx="6">
                  <c:v>4455</c:v>
                </c:pt>
              </c:numCache>
            </c:numRef>
          </c:val>
        </c:ser>
        <c:ser>
          <c:idx val="2"/>
          <c:order val="2"/>
          <c:tx>
            <c:strRef>
              <c:f>Sheet1!$D$1</c:f>
              <c:strCache>
                <c:ptCount val="1"/>
                <c:pt idx="0">
                  <c:v>求职人数 (人)</c:v>
                </c:pt>
              </c:strCache>
            </c:strRef>
          </c:tx>
          <c:spPr>
            <a:solidFill>
              <a:schemeClr val="accent5"/>
            </a:solidFill>
            <a:ln>
              <a:noFill/>
            </a:ln>
            <a:effectLst/>
          </c:spPr>
          <c:invertIfNegative val="0"/>
          <c:dLbls>
            <c:dLbl>
              <c:idx val="4"/>
              <c:layout>
                <c:manualLayout>
                  <c:x val="0.00112875310407104"/>
                  <c:y val="0.0605885747259088"/>
                </c:manualLayout>
              </c:layout>
              <c:dLblPos val="in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Sheet1!$D$2:$D$8</c:f>
              <c:numCache>
                <c:formatCode>#,##0</c:formatCode>
                <c:ptCount val="7"/>
                <c:pt idx="0">
                  <c:v>1914</c:v>
                </c:pt>
                <c:pt idx="1">
                  <c:v>2232</c:v>
                </c:pt>
                <c:pt idx="2">
                  <c:v>620</c:v>
                </c:pt>
                <c:pt idx="3">
                  <c:v>2718</c:v>
                </c:pt>
                <c:pt idx="4">
                  <c:v>1889</c:v>
                </c:pt>
                <c:pt idx="5">
                  <c:v>1</c:v>
                </c:pt>
              </c:numCache>
            </c:numRef>
          </c:val>
        </c:ser>
        <c:dLbls>
          <c:showLegendKey val="0"/>
          <c:showVal val="1"/>
          <c:showCatName val="0"/>
          <c:showSerName val="0"/>
          <c:showPercent val="0"/>
          <c:showBubbleSize val="0"/>
        </c:dLbls>
        <c:gapWidth val="219"/>
        <c:overlap val="-27"/>
        <c:axId val="998641018"/>
        <c:axId val="828969104"/>
      </c:barChart>
      <c:lineChart>
        <c:grouping val="standard"/>
        <c:varyColors val="0"/>
        <c:ser>
          <c:idx val="1"/>
          <c:order val="1"/>
          <c:tx>
            <c:strRef>
              <c:f>Sheet1!$C$1</c:f>
              <c:strCache>
                <c:ptCount val="1"/>
                <c:pt idx="0">
                  <c:v>需求比重(%)</c:v>
                </c:pt>
              </c:strCache>
            </c:strRef>
          </c:tx>
          <c:spPr>
            <a:ln w="28575" cap="rnd">
              <a:solidFill>
                <a:schemeClr val="accent3"/>
              </a:solidFill>
              <a:round/>
            </a:ln>
            <a:effectLst/>
          </c:spPr>
          <c:marker>
            <c:symbol val="none"/>
          </c:marker>
          <c:dLbls>
            <c:dLbl>
              <c:idx val="0"/>
              <c:layout>
                <c:manualLayout>
                  <c:x val="-0.0583637944030122"/>
                  <c:y val="-0.060819977717976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532938925285233"/>
                  <c:y val="-0.047361977035653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669246742970615"/>
                  <c:y val="-0.018147073017982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317819299764631"/>
                  <c:y val="0.030858213974341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118582688347653"/>
                  <c:y val="-0.033726992233216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0809037881674454"/>
                  <c:y val="-0.00802650120480944"/>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Sheet1!$C$2:$C$8</c:f>
              <c:numCache>
                <c:formatCode>#,##0.00</c:formatCode>
                <c:ptCount val="7"/>
                <c:pt idx="0">
                  <c:v>12.03</c:v>
                </c:pt>
                <c:pt idx="1">
                  <c:v>16.29</c:v>
                </c:pt>
                <c:pt idx="2">
                  <c:v>36.04</c:v>
                </c:pt>
                <c:pt idx="3">
                  <c:v>22.03</c:v>
                </c:pt>
                <c:pt idx="4">
                  <c:v>13.28</c:v>
                </c:pt>
                <c:pt idx="5">
                  <c:v>0</c:v>
                </c:pt>
                <c:pt idx="6">
                  <c:v>36.37</c:v>
                </c:pt>
              </c:numCache>
            </c:numRef>
          </c:val>
          <c:smooth val="0"/>
        </c:ser>
        <c:ser>
          <c:idx val="3"/>
          <c:order val="3"/>
          <c:tx>
            <c:strRef>
              <c:f>Sheet1!$E$1</c:f>
              <c:strCache>
                <c:ptCount val="1"/>
                <c:pt idx="0">
                  <c:v>求职比重 (%)</c:v>
                </c:pt>
              </c:strCache>
            </c:strRef>
          </c:tx>
          <c:spPr>
            <a:ln w="28575" cap="rnd">
              <a:solidFill>
                <a:schemeClr val="accent1">
                  <a:lumMod val="60000"/>
                </a:schemeClr>
              </a:solidFill>
              <a:round/>
            </a:ln>
            <a:effectLst/>
          </c:spPr>
          <c:marker>
            <c:symbol val="none"/>
          </c:marker>
          <c:dLbls>
            <c:dLbl>
              <c:idx val="0"/>
              <c:layout>
                <c:manualLayout>
                  <c:x val="-0.012040033110091"/>
                  <c:y val="-0.046471138137186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616339430146101"/>
                  <c:y val="-0.0325447201384882"/>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330895405808422"/>
                  <c:y val="0.058516863496116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0120712916282042"/>
                  <c:y val="-0.0531971486328333"/>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311274621005564"/>
                  <c:y val="-0.0538579843026355"/>
                </c:manualLayout>
              </c:layout>
              <c:dLblPos val="r"/>
              <c:showLegendKey val="0"/>
              <c:showVal val="1"/>
              <c:showCatName val="0"/>
              <c:showSerName val="0"/>
              <c:showPercent val="0"/>
              <c:showBubbleSize val="0"/>
              <c:extLst>
                <c:ext xmlns:c15="http://schemas.microsoft.com/office/drawing/2012/chart" uri="{CE6537A1-D6FC-4f65-9D91-7224C49458BB}">
                  <c15:layout>
                    <c:manualLayout>
                      <c:w val="0.0472571299571074"/>
                      <c:h val="0.045931909982689"/>
                    </c:manualLayout>
                  </c15:layout>
                </c:ext>
              </c:extLst>
            </c:dLbl>
            <c:dLbl>
              <c:idx val="5"/>
              <c:layout>
                <c:manualLayout>
                  <c:x val="0.0116539663663796"/>
                  <c:y val="-0.036868601569441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初中及以下</c:v>
                </c:pt>
                <c:pt idx="1">
                  <c:v>高中</c:v>
                </c:pt>
                <c:pt idx="2">
                  <c:v>其中：职高、技校、中专</c:v>
                </c:pt>
                <c:pt idx="3">
                  <c:v>大专</c:v>
                </c:pt>
                <c:pt idx="4">
                  <c:v>本科</c:v>
                </c:pt>
                <c:pt idx="5">
                  <c:v>硕士以上</c:v>
                </c:pt>
                <c:pt idx="6">
                  <c:v>无要求</c:v>
                </c:pt>
              </c:strCache>
            </c:strRef>
          </c:cat>
          <c:val>
            <c:numRef>
              <c:f>Sheet1!$E$2:$E$8</c:f>
              <c:numCache>
                <c:formatCode>#,##0.00</c:formatCode>
                <c:ptCount val="7"/>
                <c:pt idx="0">
                  <c:v>21.86</c:v>
                </c:pt>
                <c:pt idx="1">
                  <c:v>25.5</c:v>
                </c:pt>
                <c:pt idx="2">
                  <c:v>27.78</c:v>
                </c:pt>
                <c:pt idx="3">
                  <c:v>31.05</c:v>
                </c:pt>
                <c:pt idx="4">
                  <c:v>21.58</c:v>
                </c:pt>
                <c:pt idx="5">
                  <c:v>0.01</c:v>
                </c:pt>
              </c:numCache>
            </c:numRef>
          </c:val>
          <c:smooth val="0"/>
        </c:ser>
        <c:dLbls>
          <c:showLegendKey val="0"/>
          <c:showVal val="1"/>
          <c:showCatName val="0"/>
          <c:showSerName val="0"/>
          <c:showPercent val="0"/>
          <c:showBubbleSize val="0"/>
        </c:dLbls>
        <c:marker val="0"/>
        <c:smooth val="0"/>
        <c:axId val="578059096"/>
        <c:axId val="125148315"/>
      </c:lineChart>
      <c:catAx>
        <c:axId val="99864101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a:outerShdw blurRad="50800" dist="50800" dir="5400000" sx="1000" sy="1000" algn="ctr" rotWithShape="0">
              <a:schemeClr val="tx1">
                <a:alpha val="43000"/>
              </a:schemeClr>
            </a:outerShdw>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8969104"/>
        <c:crosses val="autoZero"/>
        <c:auto val="1"/>
        <c:lblAlgn val="ctr"/>
        <c:lblOffset val="100"/>
        <c:noMultiLvlLbl val="0"/>
      </c:catAx>
      <c:valAx>
        <c:axId val="8289691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98641018"/>
        <c:crosses val="autoZero"/>
        <c:crossBetween val="between"/>
      </c:valAx>
      <c:catAx>
        <c:axId val="578059096"/>
        <c:scaling>
          <c:orientation val="minMax"/>
        </c:scaling>
        <c:delete val="1"/>
        <c:axPos val="b"/>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5148315"/>
        <c:crosses val="autoZero"/>
        <c:auto val="1"/>
        <c:lblAlgn val="ctr"/>
        <c:lblOffset val="100"/>
        <c:noMultiLvlLbl val="0"/>
      </c:catAx>
      <c:valAx>
        <c:axId val="125148315"/>
        <c:scaling>
          <c:orientation val="minMax"/>
        </c:scaling>
        <c:delete val="0"/>
        <c:axPos val="r"/>
        <c:numFmt formatCode="#,##0.00"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78059096"/>
        <c:crosses val="max"/>
        <c:crossBetween val="between"/>
      </c:valAx>
      <c:spPr>
        <a:noFill/>
        <a:ln>
          <a:noFill/>
        </a:ln>
        <a:effectLst/>
      </c:spPr>
    </c:plotArea>
    <c:legend>
      <c:legendPos val="b"/>
      <c:layout>
        <c:manualLayout>
          <c:xMode val="edge"/>
          <c:yMode val="edge"/>
          <c:x val="0.274373357949301"/>
          <c:y val="0.903925949569103"/>
          <c:w val="0.538450614215721"/>
          <c:h val="0.0833067347590169"/>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33</Pages>
  <Words>7066</Words>
  <Characters>10545</Characters>
  <Lines>0</Lines>
  <Paragraphs>0</Paragraphs>
  <TotalTime>1</TotalTime>
  <ScaleCrop>false</ScaleCrop>
  <LinksUpToDate>false</LinksUpToDate>
  <CharactersWithSpaces>10677</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2014-11-09T04:08:00Z</dcterms:created>
  <dc:creator>cindydoudou</dc:creator>
  <cp:lastModifiedBy>inspur</cp:lastModifiedBy>
  <cp:lastPrinted>2024-12-01T03:46:00Z</cp:lastPrinted>
  <dcterms:modified xsi:type="dcterms:W3CDTF">2025-04-22T10:23:32Z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9063ED3C16E5446C8113E1F66765B513</vt:lpwstr>
  </property>
</Properties>
</file>