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hint="eastAsia" w:ascii="黑体" w:hAnsi="宋体" w:eastAsia="黑体"/>
          <w:b w:val="0"/>
          <w:bCs w:val="0"/>
          <w:color w:val="auto"/>
          <w:kern w:val="0"/>
          <w:sz w:val="44"/>
        </w:rPr>
      </w:pPr>
      <w:bookmarkStart w:id="0" w:name="_GoBack"/>
      <w:r>
        <w:rPr>
          <w:rFonts w:hint="eastAsia" w:ascii="黑体" w:hAnsi="宋体" w:eastAsia="黑体"/>
          <w:b w:val="0"/>
          <w:bCs w:val="0"/>
          <w:color w:val="auto"/>
          <w:kern w:val="0"/>
          <w:sz w:val="44"/>
        </w:rPr>
        <w:t>中央生态环境保护督察群众信访举报边督边改公开情况一览表</w:t>
      </w:r>
    </w:p>
    <w:bookmarkEnd w:id="0"/>
    <w:p>
      <w:pPr>
        <w:wordWrap w:val="0"/>
        <w:jc w:val="center"/>
      </w:pPr>
      <w:r>
        <w:rPr>
          <w:rFonts w:hint="eastAsia" w:ascii="仿宋" w:hAnsi="仿宋" w:eastAsia="仿宋"/>
          <w:b w:val="0"/>
          <w:bCs w:val="0"/>
          <w:color w:val="auto"/>
          <w:kern w:val="0"/>
          <w:sz w:val="24"/>
          <w:lang w:val="en-US" w:eastAsia="zh-CN"/>
        </w:rPr>
        <w:t xml:space="preserve">                                                                                                                                  </w:t>
      </w:r>
      <w:r>
        <w:rPr>
          <w:rFonts w:hint="eastAsia" w:ascii="仿宋" w:hAnsi="仿宋" w:eastAsia="仿宋"/>
          <w:b w:val="0"/>
          <w:bCs w:val="0"/>
          <w:color w:val="auto"/>
          <w:kern w:val="0"/>
          <w:sz w:val="24"/>
        </w:rPr>
        <w:t>（第</w:t>
      </w:r>
      <w:r>
        <w:rPr>
          <w:rFonts w:hint="eastAsia" w:ascii="仿宋" w:hAnsi="仿宋" w:eastAsia="仿宋"/>
          <w:b w:val="0"/>
          <w:bCs w:val="0"/>
          <w:color w:val="auto"/>
          <w:kern w:val="0"/>
          <w:sz w:val="24"/>
          <w:lang w:val="en-US" w:eastAsia="zh-CN"/>
        </w:rPr>
        <w:t>23</w:t>
      </w:r>
      <w:r>
        <w:rPr>
          <w:rFonts w:hint="eastAsia" w:ascii="仿宋" w:hAnsi="仿宋" w:eastAsia="仿宋"/>
          <w:b w:val="0"/>
          <w:bCs w:val="0"/>
          <w:color w:val="auto"/>
          <w:kern w:val="0"/>
          <w:sz w:val="24"/>
        </w:rPr>
        <w:t>批 2022年4月</w:t>
      </w:r>
      <w:r>
        <w:rPr>
          <w:rFonts w:hint="eastAsia" w:ascii="仿宋" w:hAnsi="仿宋" w:eastAsia="仿宋"/>
          <w:b w:val="0"/>
          <w:bCs w:val="0"/>
          <w:color w:val="auto"/>
          <w:kern w:val="0"/>
          <w:sz w:val="24"/>
          <w:lang w:val="en-US" w:eastAsia="zh-CN"/>
        </w:rPr>
        <w:t>25</w:t>
      </w:r>
      <w:r>
        <w:rPr>
          <w:rFonts w:hint="eastAsia" w:ascii="仿宋" w:hAnsi="仿宋" w:eastAsia="仿宋"/>
          <w:b w:val="0"/>
          <w:bCs w:val="0"/>
          <w:color w:val="auto"/>
          <w:kern w:val="0"/>
          <w:sz w:val="24"/>
        </w:rPr>
        <w:t>日）</w:t>
      </w:r>
    </w:p>
    <w:tbl>
      <w:tblPr>
        <w:tblStyle w:val="17"/>
        <w:tblpPr w:leftFromText="180" w:rightFromText="180" w:vertAnchor="text" w:horzAnchor="page" w:tblpX="1533" w:tblpY="289"/>
        <w:tblOverlap w:val="never"/>
        <w:tblW w:w="0" w:type="auto"/>
        <w:tblInd w:w="0" w:type="dxa"/>
        <w:tblLayout w:type="fixed"/>
        <w:tblCellMar>
          <w:top w:w="0" w:type="dxa"/>
          <w:left w:w="108" w:type="dxa"/>
          <w:bottom w:w="0" w:type="dxa"/>
          <w:right w:w="108" w:type="dxa"/>
        </w:tblCellMar>
      </w:tblPr>
      <w:tblGrid>
        <w:gridCol w:w="572"/>
        <w:gridCol w:w="710"/>
        <w:gridCol w:w="2146"/>
        <w:gridCol w:w="832"/>
        <w:gridCol w:w="700"/>
        <w:gridCol w:w="9159"/>
        <w:gridCol w:w="728"/>
        <w:gridCol w:w="4140"/>
        <w:gridCol w:w="721"/>
        <w:gridCol w:w="1238"/>
      </w:tblGrid>
      <w:tr>
        <w:tblPrEx>
          <w:tblCellMar>
            <w:top w:w="0" w:type="dxa"/>
            <w:left w:w="108" w:type="dxa"/>
            <w:bottom w:w="0" w:type="dxa"/>
            <w:right w:w="108" w:type="dxa"/>
          </w:tblCellMar>
        </w:tblPrEx>
        <w:trPr>
          <w:cantSplit/>
          <w:trHeight w:val="1134" w:hRule="atLeast"/>
          <w:tblHeader/>
        </w:trPr>
        <w:tc>
          <w:tcPr>
            <w:tcW w:w="57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序号</w:t>
            </w:r>
          </w:p>
        </w:tc>
        <w:tc>
          <w:tcPr>
            <w:tcW w:w="71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受理</w:t>
            </w:r>
          </w:p>
          <w:p>
            <w:pPr>
              <w:jc w:val="center"/>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编号</w:t>
            </w:r>
          </w:p>
        </w:tc>
        <w:tc>
          <w:tcPr>
            <w:tcW w:w="214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交办问题基本情况</w:t>
            </w:r>
          </w:p>
        </w:tc>
        <w:tc>
          <w:tcPr>
            <w:tcW w:w="83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行政区域</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污染类型</w:t>
            </w:r>
          </w:p>
        </w:tc>
        <w:tc>
          <w:tcPr>
            <w:tcW w:w="9159" w:type="dxa"/>
            <w:tcBorders>
              <w:top w:val="single" w:color="000000" w:sz="4" w:space="0"/>
              <w:left w:val="single" w:color="000000" w:sz="4" w:space="0"/>
              <w:bottom w:val="single" w:color="000000" w:sz="4" w:space="0"/>
              <w:right w:val="single" w:color="auto" w:sz="4" w:space="0"/>
              <w:tl2br w:val="nil"/>
              <w:tr2bl w:val="nil"/>
            </w:tcBorders>
            <w:noWrap w:val="0"/>
            <w:vAlign w:val="center"/>
          </w:tcPr>
          <w:p>
            <w:pPr>
              <w:jc w:val="center"/>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调查核实情况</w:t>
            </w:r>
          </w:p>
        </w:tc>
        <w:tc>
          <w:tcPr>
            <w:tcW w:w="728" w:type="dxa"/>
            <w:tcBorders>
              <w:top w:val="single" w:color="auto" w:sz="4" w:space="0"/>
              <w:left w:val="single" w:color="auto" w:sz="4" w:space="0"/>
              <w:bottom w:val="single" w:color="auto" w:sz="4" w:space="0"/>
              <w:right w:val="single" w:color="auto" w:sz="4" w:space="0"/>
              <w:tl2br w:val="nil"/>
              <w:tr2bl w:val="nil"/>
            </w:tcBorders>
            <w:noWrap w:val="0"/>
            <w:vAlign w:val="center"/>
          </w:tcPr>
          <w:p>
            <w:pPr>
              <w:jc w:val="center"/>
              <w:rPr>
                <w:rFonts w:hint="eastAsia" w:ascii="黑体" w:hAnsi="黑体" w:eastAsia="黑体" w:cs="黑体"/>
                <w:b w:val="0"/>
                <w:bCs w:val="0"/>
                <w:color w:val="auto"/>
                <w:sz w:val="24"/>
                <w:szCs w:val="24"/>
                <w:highlight w:val="none"/>
                <w:lang w:eastAsia="zh-CN"/>
              </w:rPr>
            </w:pPr>
            <w:r>
              <w:rPr>
                <w:rFonts w:hint="eastAsia" w:ascii="黑体" w:hAnsi="黑体" w:eastAsia="黑体" w:cs="黑体"/>
                <w:b w:val="0"/>
                <w:bCs w:val="0"/>
                <w:color w:val="auto"/>
                <w:sz w:val="24"/>
                <w:szCs w:val="24"/>
                <w:highlight w:val="none"/>
                <w:lang w:eastAsia="zh-CN"/>
              </w:rPr>
              <w:t>是否属实</w:t>
            </w:r>
          </w:p>
        </w:tc>
        <w:tc>
          <w:tcPr>
            <w:tcW w:w="4140" w:type="dxa"/>
            <w:tcBorders>
              <w:top w:val="single" w:color="000000" w:sz="4" w:space="0"/>
              <w:left w:val="single" w:color="auto"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处理和整改情况</w:t>
            </w:r>
          </w:p>
        </w:tc>
        <w:tc>
          <w:tcPr>
            <w:tcW w:w="7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是否</w:t>
            </w:r>
          </w:p>
          <w:p>
            <w:pPr>
              <w:jc w:val="center"/>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办结</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责任人被处理情况</w:t>
            </w:r>
          </w:p>
        </w:tc>
      </w:tr>
      <w:tr>
        <w:tblPrEx>
          <w:tblCellMar>
            <w:top w:w="0" w:type="dxa"/>
            <w:left w:w="108" w:type="dxa"/>
            <w:bottom w:w="0" w:type="dxa"/>
            <w:right w:w="108" w:type="dxa"/>
          </w:tblCellMar>
        </w:tblPrEx>
        <w:trPr>
          <w:trHeight w:val="5068" w:hRule="atLeast"/>
        </w:trPr>
        <w:tc>
          <w:tcPr>
            <w:tcW w:w="57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rPr>
                <w:rFonts w:hint="eastAsia" w:ascii="宋体" w:hAnsi="宋体" w:eastAsia="宋体" w:cs="宋体"/>
                <w:sz w:val="20"/>
                <w:szCs w:val="20"/>
                <w:lang w:val="en-US" w:eastAsia="zh-CN"/>
              </w:rPr>
            </w:pPr>
            <w:r>
              <w:rPr>
                <w:rFonts w:hint="eastAsia" w:ascii="宋体" w:hAnsi="宋体" w:cs="宋体"/>
                <w:sz w:val="20"/>
                <w:szCs w:val="20"/>
                <w:lang w:val="en-US" w:eastAsia="zh-CN"/>
              </w:rPr>
              <w:t>1</w:t>
            </w:r>
          </w:p>
        </w:tc>
        <w:tc>
          <w:tcPr>
            <w:tcW w:w="71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rPr>
                <w:rFonts w:hint="eastAsia" w:ascii="宋体" w:hAnsi="宋体" w:eastAsia="宋体" w:cs="宋体"/>
                <w:sz w:val="20"/>
                <w:szCs w:val="20"/>
              </w:rPr>
            </w:pPr>
            <w:r>
              <w:rPr>
                <w:rFonts w:hint="eastAsia" w:ascii="宋体" w:hAnsi="宋体" w:eastAsia="宋体" w:cs="宋体"/>
                <w:sz w:val="20"/>
                <w:szCs w:val="20"/>
                <w:lang w:val="en-US" w:eastAsia="zh-CN"/>
              </w:rPr>
              <w:t>D2NM202204160062</w:t>
            </w:r>
          </w:p>
        </w:tc>
        <w:tc>
          <w:tcPr>
            <w:tcW w:w="214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rPr>
                <w:rFonts w:hint="eastAsia" w:ascii="宋体" w:hAnsi="宋体" w:eastAsia="宋体" w:cs="宋体"/>
                <w:sz w:val="20"/>
                <w:szCs w:val="20"/>
              </w:rPr>
            </w:pPr>
            <w:r>
              <w:rPr>
                <w:rFonts w:hint="eastAsia" w:ascii="宋体" w:hAnsi="宋体" w:eastAsia="宋体" w:cs="宋体"/>
                <w:sz w:val="20"/>
                <w:szCs w:val="20"/>
                <w:lang w:val="en-US" w:eastAsia="zh-CN"/>
              </w:rPr>
              <w:t>群众投诉反映:“锡林郭勒盟西乌珠穆沁旗巴彦花镇高力罕水库，在修建时毁坏村民林地480亩，且该水库拦截了高日罕河，导致河流下游大面积草原湿地断水，致使当地生态环境恶化，湿地消亡”的问题。</w:t>
            </w:r>
          </w:p>
        </w:tc>
        <w:tc>
          <w:tcPr>
            <w:tcW w:w="832"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rPr>
            </w:pPr>
            <w:r>
              <w:rPr>
                <w:rFonts w:hint="eastAsia" w:ascii="宋体" w:hAnsi="宋体" w:eastAsia="宋体" w:cs="宋体"/>
                <w:sz w:val="20"/>
                <w:szCs w:val="20"/>
                <w:lang w:val="en-US" w:eastAsia="zh-CN"/>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rPr>
            </w:pPr>
            <w:r>
              <w:rPr>
                <w:rFonts w:hint="eastAsia" w:ascii="宋体" w:hAnsi="宋体" w:eastAsia="宋体" w:cs="宋体"/>
                <w:sz w:val="20"/>
                <w:szCs w:val="20"/>
                <w:lang w:val="en-US" w:eastAsia="zh-CN"/>
              </w:rPr>
              <w:t>生态</w:t>
            </w:r>
          </w:p>
        </w:tc>
        <w:tc>
          <w:tcPr>
            <w:tcW w:w="9159" w:type="dxa"/>
            <w:tcBorders>
              <w:top w:val="single" w:color="000000" w:sz="4" w:space="0"/>
              <w:left w:val="single" w:color="000000" w:sz="4" w:space="0"/>
              <w:bottom w:val="single" w:color="000000" w:sz="4" w:space="0"/>
              <w:right w:val="single" w:color="auto" w:sz="4" w:space="0"/>
              <w:tl2br w:val="nil"/>
              <w:tr2bl w:val="nil"/>
            </w:tcBorders>
            <w:noWrap w:val="0"/>
            <w:vAlign w:val="center"/>
          </w:tcPr>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关于“锡林郭勒盟西乌珠穆沁旗巴彦花镇高力罕水库，在修建时毁坏村民林地480亩”的问题。经实地调查，该问题部分属实。经核实，高勒罕水库工程于2005年7月取得自治区发改委核准（内发改农字〔2005〕912号）,同年9月取得自治区水利厅初步设计批复（内水建管〔2005〕180号），2006年11月取得自治区林业厅使用林地审核同意书（内林资许准〔2006〕267号），2008年建设完工。自治区林业厅《使用林地审核同意书》明确，同意西乌珠穆沁旗高勒罕水库建设项目使用西乌珠穆沁旗巴彦花镇赛音温都尔嘎查集体灌木林地486亩，树种为红柳。按照工程初步设计，征占用的灌木林地位于水库淹没区。由于不影响工程施工，企业未对灌木林地进行采伐，水库建成蓄水后将库区原生植被淹没。企业已于2006年足额缴纳征占用林地补偿和森林植被恢复费，西乌珠穆沁旗林草部门2007年在林业总场迪彦分场还林500亩。</w:t>
            </w:r>
          </w:p>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下一步，西乌珠穆沁旗将进一步加强重大项目建设管理，责成自然资源、生态环境、林草、水利等部门强化重大项目建设全过程监管，坚持节约集约使用土地，最大限度减少对林草地资源和生态环境的影响。同时，严格按有关规定及时进行生态恢复，并主动接受社会各界监督。</w:t>
            </w:r>
          </w:p>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2.关于“且该水库拦截了高日罕河，导致河流下游大面积草原湿地断水，致使当地生态环境恶化，湿地消亡”的问题。经调查核实，此问题部分属实。高勒罕水库位于西乌珠穆沁旗境内高勒罕河上，是一座以供水为主兼顾防洪、生态建设等综合利用的中型水库，管理单位是国家电投集团下属西乌旗高勒罕水务有限责任公司。2004年6月取得内蒙古自治区水利厅《可行性研究报告》批复（内水计〔2004〕62号），2005年9月取得初步设计方案批复（内水建管〔2005〕180号）。水库主体工程于2005年7月开工建设，2008年12月通过竣工验收，水库控制流域面积1422km2，正常蓄水位1002.1m，总库容3785万m3，设计年供水量757万m3，实际年最大供水量257万m3（2021年）。工程《可行性研究报告》明确：“2009年—2011年为水库蓄水期，采用“蓄洪运用”调度方式，调节正常蓄水位为1002.1m，当库水位超过正常水位1002.1m时，即可泄水以满足下游河道的生态用水，非汛期下游生态用水依靠坝址下游流域的5条支流补给”。该水库2012年开始向下游泄水，通过调阅企业下泄流量数据，2012年—2021年水库年均入库流量3591万m3，年均泄水量3066万m3，高于高勒罕河多年平均径流量（2163万m3），未造成下游湿地草原断水。高勒罕河属内陆河，无河堤。经比对第三次国土调查成果，高勒罕水库坝体往北至东乌旗边界河流周边湿地面积共计5339.6公顷，其中，沼泽草地3846.8公顷；内陆滩涂1492.8公顷，未发现湿地消亡迹象。</w:t>
            </w:r>
          </w:p>
          <w:p>
            <w:pPr>
              <w:rPr>
                <w:rFonts w:hint="eastAsia" w:ascii="宋体" w:hAnsi="宋体" w:eastAsia="宋体" w:cs="宋体"/>
                <w:sz w:val="20"/>
                <w:szCs w:val="20"/>
              </w:rPr>
            </w:pPr>
            <w:r>
              <w:rPr>
                <w:rFonts w:hint="eastAsia" w:ascii="宋体" w:hAnsi="宋体" w:eastAsia="宋体" w:cs="宋体"/>
                <w:sz w:val="20"/>
                <w:szCs w:val="20"/>
                <w:lang w:val="en-US" w:eastAsia="zh-CN"/>
              </w:rPr>
              <w:t>下一步,一是加大对高勒罕水库监管力度，督促水库管理单位修订完善《水库调度规程》和《水库调度运用计划》，充分发挥水库综合效能。二是严格落实生态流泄放，有效保护水生态、水环境，密切关注水库库容与湿地变化情况。</w:t>
            </w:r>
          </w:p>
        </w:tc>
        <w:tc>
          <w:tcPr>
            <w:tcW w:w="728" w:type="dxa"/>
            <w:tcBorders>
              <w:top w:val="single" w:color="auto" w:sz="4" w:space="0"/>
              <w:left w:val="single" w:color="auto" w:sz="4" w:space="0"/>
              <w:bottom w:val="single" w:color="auto" w:sz="4" w:space="0"/>
              <w:right w:val="single" w:color="auto" w:sz="4" w:space="0"/>
              <w:tl2br w:val="nil"/>
              <w:tr2bl w:val="nil"/>
            </w:tcBorders>
            <w:noWrap w:val="0"/>
            <w:textDirection w:val="tbLrV"/>
            <w:vAlign w:val="center"/>
          </w:tcPr>
          <w:p>
            <w:pPr>
              <w:ind w:left="113" w:right="113"/>
              <w:jc w:val="center"/>
              <w:rPr>
                <w:rFonts w:hint="eastAsia" w:ascii="宋体" w:hAnsi="宋体" w:eastAsia="宋体" w:cs="宋体"/>
                <w:sz w:val="20"/>
                <w:szCs w:val="20"/>
              </w:rPr>
            </w:pPr>
            <w:r>
              <w:rPr>
                <w:rFonts w:hint="eastAsia" w:ascii="宋体" w:hAnsi="宋体" w:eastAsia="宋体" w:cs="宋体"/>
                <w:sz w:val="20"/>
                <w:szCs w:val="20"/>
                <w:lang w:val="en-US" w:eastAsia="zh-CN"/>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noWrap w:val="0"/>
            <w:vAlign w:val="center"/>
          </w:tcPr>
          <w:p>
            <w:pPr>
              <w:rPr>
                <w:rFonts w:hint="eastAsia" w:ascii="宋体" w:hAnsi="宋体" w:eastAsia="宋体" w:cs="宋体"/>
                <w:sz w:val="20"/>
                <w:szCs w:val="20"/>
              </w:rPr>
            </w:pPr>
            <w:r>
              <w:rPr>
                <w:rFonts w:hint="eastAsia" w:ascii="宋体" w:hAnsi="宋体" w:eastAsia="宋体" w:cs="宋体"/>
                <w:sz w:val="20"/>
                <w:szCs w:val="20"/>
                <w:lang w:val="en-US" w:eastAsia="zh-CN"/>
              </w:rPr>
              <w:t>西乌珠穆沁旗将以此次群众信访举报问题整改为契机，切实做到立行立改、边督边改。一是压实企业主体责任和部门监管责任，严格落实各项整改措施，确保整改工作取得实效、让群众满意。二是督促企业继续履行社会责任，定期走访周边群众，面对面了解群众需求，帮助解决实际困难，积极构建更加和谐的牧企关系。</w:t>
            </w:r>
          </w:p>
        </w:tc>
        <w:tc>
          <w:tcPr>
            <w:tcW w:w="721"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rPr>
            </w:pPr>
            <w:r>
              <w:rPr>
                <w:rFonts w:hint="eastAsia" w:ascii="宋体" w:hAnsi="宋体" w:eastAsia="宋体" w:cs="宋体"/>
                <w:sz w:val="20"/>
                <w:szCs w:val="20"/>
                <w:lang w:val="en-US" w:eastAsia="zh-CN"/>
              </w:rPr>
              <w:t>已办结</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lang w:eastAsia="zh-CN"/>
              </w:rPr>
            </w:pPr>
            <w:r>
              <w:rPr>
                <w:rFonts w:hint="eastAsia" w:ascii="宋体" w:hAnsi="宋体" w:eastAsia="宋体" w:cs="宋体"/>
                <w:sz w:val="20"/>
                <w:szCs w:val="20"/>
                <w:lang w:val="en-US" w:eastAsia="zh-CN"/>
              </w:rPr>
              <w:t>无</w:t>
            </w:r>
          </w:p>
        </w:tc>
      </w:tr>
      <w:tr>
        <w:tblPrEx>
          <w:tblCellMar>
            <w:top w:w="0" w:type="dxa"/>
            <w:left w:w="108" w:type="dxa"/>
            <w:bottom w:w="0" w:type="dxa"/>
            <w:right w:w="108" w:type="dxa"/>
          </w:tblCellMar>
        </w:tblPrEx>
        <w:trPr>
          <w:trHeight w:val="1134" w:hRule="atLeast"/>
        </w:trPr>
        <w:tc>
          <w:tcPr>
            <w:tcW w:w="57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rPr>
                <w:rFonts w:hint="eastAsia" w:ascii="宋体" w:hAnsi="宋体" w:eastAsia="宋体" w:cs="宋体"/>
                <w:sz w:val="20"/>
                <w:szCs w:val="20"/>
                <w:lang w:val="en-US" w:eastAsia="zh-CN"/>
              </w:rPr>
            </w:pPr>
            <w:r>
              <w:rPr>
                <w:rFonts w:hint="eastAsia" w:ascii="宋体" w:hAnsi="宋体" w:cs="宋体"/>
                <w:sz w:val="20"/>
                <w:szCs w:val="20"/>
                <w:lang w:val="en-US" w:eastAsia="zh-CN"/>
              </w:rPr>
              <w:t>2</w:t>
            </w:r>
          </w:p>
        </w:tc>
        <w:tc>
          <w:tcPr>
            <w:tcW w:w="71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X2NM</w:t>
            </w:r>
          </w:p>
          <w:p>
            <w:pPr>
              <w:rPr>
                <w:rFonts w:hint="eastAsia" w:ascii="宋体" w:hAnsi="宋体" w:eastAsia="宋体" w:cs="宋体"/>
                <w:sz w:val="20"/>
                <w:szCs w:val="20"/>
              </w:rPr>
            </w:pPr>
            <w:r>
              <w:rPr>
                <w:rFonts w:hint="eastAsia" w:ascii="宋体" w:hAnsi="宋体" w:eastAsia="宋体" w:cs="宋体"/>
                <w:sz w:val="20"/>
                <w:szCs w:val="20"/>
                <w:lang w:val="en-US" w:eastAsia="zh-CN"/>
              </w:rPr>
              <w:t>202204160017</w:t>
            </w:r>
          </w:p>
        </w:tc>
        <w:tc>
          <w:tcPr>
            <w:tcW w:w="214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rPr>
                <w:rFonts w:hint="eastAsia" w:ascii="宋体" w:hAnsi="宋体" w:eastAsia="宋体" w:cs="宋体"/>
                <w:sz w:val="20"/>
                <w:szCs w:val="20"/>
              </w:rPr>
            </w:pPr>
            <w:r>
              <w:rPr>
                <w:rFonts w:hint="eastAsia" w:ascii="宋体" w:hAnsi="宋体" w:eastAsia="宋体" w:cs="宋体"/>
                <w:sz w:val="20"/>
                <w:szCs w:val="20"/>
                <w:lang w:val="en-US" w:eastAsia="zh-CN"/>
              </w:rPr>
              <w:t>群众投诉反映:“锡林郭勒盟西乌珠穆沁旗白音华镇三号矿、四号矿，开采煤矿时震动导致村民房屋开裂，地下水水位下降、尘土飞扬，噪声严重影响村民生活，垃圾遍地、水源受到污染。”的问题。</w:t>
            </w:r>
          </w:p>
        </w:tc>
        <w:tc>
          <w:tcPr>
            <w:tcW w:w="832"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rPr>
            </w:pPr>
            <w:r>
              <w:rPr>
                <w:rFonts w:hint="eastAsia" w:ascii="宋体" w:hAnsi="宋体" w:eastAsia="宋体" w:cs="宋体"/>
                <w:sz w:val="20"/>
                <w:szCs w:val="20"/>
                <w:lang w:val="en-US" w:eastAsia="zh-CN"/>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lang w:eastAsia="zh-CN"/>
              </w:rPr>
            </w:pPr>
            <w:r>
              <w:rPr>
                <w:rFonts w:hint="eastAsia" w:ascii="宋体" w:hAnsi="宋体" w:eastAsia="宋体" w:cs="宋体"/>
                <w:sz w:val="20"/>
                <w:szCs w:val="20"/>
                <w:lang w:val="en-US" w:eastAsia="zh-CN"/>
              </w:rPr>
              <w:t>水、噪音、大气、生态</w:t>
            </w:r>
          </w:p>
        </w:tc>
        <w:tc>
          <w:tcPr>
            <w:tcW w:w="9159" w:type="dxa"/>
            <w:tcBorders>
              <w:top w:val="single" w:color="000000" w:sz="4" w:space="0"/>
              <w:left w:val="single" w:color="000000" w:sz="4" w:space="0"/>
              <w:bottom w:val="single" w:color="000000" w:sz="4" w:space="0"/>
              <w:right w:val="single" w:color="auto" w:sz="4" w:space="0"/>
              <w:tl2br w:val="nil"/>
              <w:tr2bl w:val="nil"/>
            </w:tcBorders>
            <w:noWrap w:val="0"/>
            <w:vAlign w:val="top"/>
          </w:tcPr>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1.关于“锡林郭勒盟西乌珠穆沁旗白音华镇三号矿、四号矿，开采煤矿时震动导致村民房屋开裂”问题。经调查核实，该问题部分属实。</w:t>
            </w:r>
          </w:p>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经核实，内蒙古白音华海州露天煤矿有限公司（四号矿）采用挖掘方式开采，不实施爆破作业。内蒙古白音华蒙东露天煤业有限公司（三号矿）为露天煤矿，主要采用挖掘方式开采，仅在剥离土方遇到硬岩时实施松动爆破作业。经核实企业作业记录，爆破工作相关技术参数和施工方法符合《爆破安全规程》（GB6722—2014）.2020年8月，西乌珠穆沁旗政府委托陕西中爆检测检验有限责任公司对三号矿爆破振动进行了监测。检测机构连续进行了2次爆破振动监测，每次在距离矿区较近的民房布设2个测点。监测报告明确，爆破振动对监测点处的住宅未造成危害。2021年，旗住建部门委托专家组对全旗9244户牧区房屋开展了安全隐患排查，未发现白音华三号矿、四号矿周边嘎查房屋存在安全隐患。2021年11月，西乌珠穆沁旗政府委托呼和浩特市金威特工程技术有限公司对白音华三号矿周边的乌兰图嘎嘎查9户牧民房屋和棚圈进行了安全鉴定和专家论证。根据专家论证报告，部分房屋和棚圈出现裂缝的主要原因是房屋（棚圈）未经正规设计、冻胀及不均匀沉降综合因素造成。2022年4月2日，住建部门联合白音华工业园区管委会对两矿周边巴彦都日格嘎查距离最近的5户居民走访调查，未发现房屋裂缝现象。旗住建部门已聘请5名专家成立专家论证组，再次对矿区周边牧户的房屋进行现场勘查论证，预计30天内出具结论。</w:t>
            </w:r>
          </w:p>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2.关于“地下水水位下降、尘土飞扬”问题。经调查核实，该问题部分属实。</w:t>
            </w:r>
          </w:p>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经核实，两家煤矿均按照环评文件要求建设了污染防治设施并通过环保竣工验收，各设有露天储煤场1处，四周均按要求建设了防风抑尘网，并用苫布苫盖。近两年两家煤炭企业对颗粒物无组织排放的自主监测数据显示，颗粒物无组织排放均符合《环境空气质量标准》（GB3095-2012）及《环境空气质量标准第1号修改单》（GB3095-2012XGI-2018）二级标准限制要求。2022年4月2日，锡林郭勒盟生态环境局和西乌珠穆沁旗政府分别委托第三方检测机构在三号矿、四号矿厂界和储煤场分别选取4个点位对悬浮颗粒物无组织排放进行监测，结果显示厂界最高浓度值分别为0.317mg/m³、0.233mg/m³，符合《大气污染物综合排放标准》（GB16297-1996）规定的国家标准限值1.0mg/m³要求；储煤场最高浓度值分别为0.333mg/m³、0.283mg/m³，符合《煤炭工业污染物排放标准》（GB20426-2006）规定的1.0mg/m³国家限值排放要求。虽然两家煤矿颗粒物无组织排放符合国家限值要求，但露天开采中，在遇大风等极端气象条件下，仍有扬尘产生。</w:t>
            </w:r>
          </w:p>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另经核查，2017年末，西乌珠穆沁旗在白音华三号矿和四号矿周边设置2眼地下水位监测井，其中，四号矿监测井位于矿区东北2公里处，3号矿监测井位于矿区北侧8公里处。经监测，三号矿监测井2018年4月水位埋深35.06米，2022年月水位埋深30.8米，水位上升4.26米；四号矿监测井2018年4月水位埋深4.62米，2022年4月水位埋深4.4米，水位上升0.22米。4月18日，旗水利局技术人员对两矿周边2公里范围内2013—2016年建设水源井的4户牧户水源井静水位进行现场抽检，静水位分别为2.4米、20.2米、3.0米、4.3米，竣工验收时静水位4.8米、20.8米、3米、3.9米，经数据比对，前两户牧户水源井水位分别上升2.4米、0.6米，第三户持平，第四户下降0.4米。综合比较，该区域地下水水位变化不大。</w:t>
            </w:r>
          </w:p>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3.关于“噪声严重影响村民生活”问题。经调查核实，该问题部分属实。</w:t>
            </w:r>
          </w:p>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经核实，两家煤矿均采取了操作室双层密封玻璃隔音降噪、带式输送机全封闭廊道、锅炉鼓引风机配置隔声罩消声器、车间设备设置减振基础、车间门窗采用隔声门窗等降噪措施，符合环评报告及验收批复要求。通过调取两矿近3年自行检测报告，厂界噪声检测结果均符合《工业企业厂界环境噪声排放标准》（GB12348-2008）规定。4月3日，西乌珠穆沁旗委托第三方检测机构分别选取两家煤矿厂界8个点位及周边最近敏感点（群众居住场所）4个点位开展夜间噪音监测，夜间时段厂界、敏感点监测最大数值为46分贝，低于《工业企业厂界环境噪声排放标准》（GB12348-2008）《声环境质量标准》（GB3096-2008）规定的55分贝标准限值。</w:t>
            </w:r>
          </w:p>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4.关于“垃圾遍地、水源受到污染”问题。经调查核实，该问题部分属实。</w:t>
            </w:r>
          </w:p>
          <w:p>
            <w:pPr>
              <w:rPr>
                <w:rFonts w:hint="eastAsia" w:ascii="宋体" w:hAnsi="宋体" w:eastAsia="宋体" w:cs="宋体"/>
                <w:sz w:val="20"/>
                <w:szCs w:val="20"/>
              </w:rPr>
            </w:pPr>
            <w:r>
              <w:rPr>
                <w:rFonts w:hint="eastAsia" w:ascii="宋体" w:hAnsi="宋体" w:eastAsia="宋体" w:cs="宋体"/>
                <w:sz w:val="20"/>
                <w:szCs w:val="20"/>
                <w:lang w:val="en-US" w:eastAsia="zh-CN"/>
              </w:rPr>
              <w:t>经核查，白音华三号矿投运前期按照环评建设的入河排水口已于2016年4月封闭停用，2019年4月拆除。建有生活污水处理站1处，日处理能力800m³，正常使用。产生的疏干水及生活水经处理后，达到《污水综合排放标准》(GB8978-1996)，用于矿坑洒水降尘和矿区复垦绿化，无外排。经调阅企业《疏干水取用水台账》和旗水利部门《取用水量核定书》，2021年，企业产生疏干水57.5万m³，其中，用于坑下洒水降尘53.1万m³、坑上洒水与复垦绿化4.4万m³。疏干水蓄水池容积5万m³，满足存水条件。白音华四号矿建有生活污水处理站2处，其中，1处日处理能力1200m³正常使用，另一处日处理能力480m³备用。产生的疏干水及生活水经处理后，达到《污水综合排放标准》(GB8978-1996)，用于洒水降尘和复垦绿化外，部分水通过管道运输供白音华金山电厂使用（每年约70万m³），无外排。经调阅企业《疏干水取用水台账》和旗水利部门《取用水量核定书》，2021年，企业产生疏干水163.08万m³，用于洒水降尘和复垦绿化98.55万m³，供白音华金山电厂64.53万m³。疏干水蓄水池容积5万m³，满足存水条件。两家煤矿周边为彦吉嘎河，经调取2021年自治区环境监测总站锡林郭勒分站对上下游断面水质监测数据，与2019年1月水利部牧区水利科学研究所出具的《锡林郭勒盟河流本底值调查评价》报告记载的该流域2015年至2017年水质监测数据比对，上下游水质监测数据基本相同，符合规定的Ⅳ类水质标准。根据西乌珠穆沁旗牧区水井水质监测情况，约三分之一常驻牧户水井水质不同程度存在铁、锰、氟化物和溶解性总固体指标超标问题。4月2日至3日，西乌珠穆沁旗水利、疾控部门再次对该区域进行水质抽检，结果与西乌旗2019—2021年牧区饮用水水样抽检结果比对，符合全旗牧区水井水质基本情况，属于区域性水本底高。2019年以来，西乌旗已陆续为水质不达标牧户安装净水设备3707套，其中为巴彦都日格嘎查牧户安装净水设备64套。经净水设备处理后，水质抽检结果符合《生活饮用水卫生标准》（GB5749—2006）。目前，旗水利局正在组织开展2个嘎查牧户净水设备入户安装工作，预计5月底前全部安装到位。另经核实，巴彦花镇政府通过网格化管理，定期组织开展牧区环境卫生整治，委托第三方对垃圾进行统一收运，2021年累计出动人员1200余次，清理垃圾9000余吨。同时，两家煤矿也积极投入人员、机械设备协助矿区周边嘎查开展人居环境整治整治工作。实地核查发现，矿区周边环境卫生状况良好，未发现垃圾遍地现象。</w:t>
            </w:r>
          </w:p>
        </w:tc>
        <w:tc>
          <w:tcPr>
            <w:tcW w:w="728" w:type="dxa"/>
            <w:tcBorders>
              <w:top w:val="single" w:color="auto" w:sz="4" w:space="0"/>
              <w:left w:val="single" w:color="auto" w:sz="4" w:space="0"/>
              <w:bottom w:val="single" w:color="auto" w:sz="4" w:space="0"/>
              <w:right w:val="single" w:color="auto" w:sz="4" w:space="0"/>
              <w:tl2br w:val="nil"/>
              <w:tr2bl w:val="nil"/>
            </w:tcBorders>
            <w:noWrap w:val="0"/>
            <w:textDirection w:val="tbLrV"/>
            <w:vAlign w:val="center"/>
          </w:tcPr>
          <w:p>
            <w:pPr>
              <w:ind w:left="113" w:right="113"/>
              <w:jc w:val="center"/>
              <w:rPr>
                <w:rFonts w:hint="eastAsia" w:ascii="宋体" w:hAnsi="宋体" w:eastAsia="宋体" w:cs="宋体"/>
                <w:sz w:val="20"/>
                <w:szCs w:val="20"/>
              </w:rPr>
            </w:pPr>
            <w:r>
              <w:rPr>
                <w:rFonts w:hint="eastAsia" w:ascii="宋体" w:hAnsi="宋体" w:eastAsia="宋体" w:cs="宋体"/>
                <w:sz w:val="20"/>
                <w:szCs w:val="20"/>
                <w:lang w:val="en-US" w:eastAsia="zh-CN"/>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noWrap w:val="0"/>
            <w:vAlign w:val="center"/>
          </w:tcPr>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一是加快推进该区域牧户房屋专家论证，根据论证结果，分类落实维修加固等综合措施，确保牧区群众住房安全。责成公安、工信等部门加强监管，督促企业采用先进技术实施精准爆破，降低爆破振动带来的影响。</w:t>
            </w:r>
          </w:p>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二是责成行业监管部门不定期开展监测，督促企业规范开展自行监测。要求企业完善防尘抑尘工作制度，增加采坑、排土场道路洒水抑尘频次，及时清理碾压道路浮土，控制粉尘产生量。进一步加强矿区周边地下水位监测，做好地下水水位管控工作。</w:t>
            </w:r>
          </w:p>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三是督促企业严格落实噪声控制措施，合理安排作业时间，从源头上控制噪声污染。责成西乌珠穆沁旗生态环境分局加强日常监测，及时处理群众反映的噪声污染问题。</w:t>
            </w:r>
          </w:p>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四是责成生态环境分局加大巡查力度，发动群众监督，坚决杜绝企业违法违规排水行为。加强地表水断面监测，动态掌握辖内河流水质情况。加强牧区饮水安全工作，强化重点地区饮用水水质监测，积极推进净水设备安装维护，全力保障牧区群众饮水安全。持续开展牧区人居环境整治，加强矿区及周边生态环境保护。四是督促企业继续履行社会责任，定期走访周边群众，面对面了解群众需求，帮助解决实际困难，及时排查化解涉企矛盾，构建更加和谐的牧企关系。</w:t>
            </w:r>
          </w:p>
        </w:tc>
        <w:tc>
          <w:tcPr>
            <w:tcW w:w="721"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rPr>
            </w:pPr>
            <w:r>
              <w:rPr>
                <w:rFonts w:hint="eastAsia" w:ascii="宋体" w:hAnsi="宋体" w:eastAsia="宋体" w:cs="宋体"/>
                <w:sz w:val="20"/>
                <w:szCs w:val="20"/>
                <w:lang w:val="en-US" w:eastAsia="zh-CN"/>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lang w:eastAsia="zh-CN"/>
              </w:rPr>
            </w:pPr>
            <w:r>
              <w:rPr>
                <w:rFonts w:hint="eastAsia" w:ascii="宋体" w:hAnsi="宋体" w:eastAsia="宋体" w:cs="宋体"/>
                <w:sz w:val="20"/>
                <w:szCs w:val="20"/>
                <w:lang w:val="en-US" w:eastAsia="zh-CN"/>
              </w:rPr>
              <w:t>无</w:t>
            </w:r>
          </w:p>
        </w:tc>
      </w:tr>
    </w:tbl>
    <w:p>
      <w:pPr>
        <w:pStyle w:val="5"/>
        <w:ind w:firstLine="0" w:firstLineChars="0"/>
        <w:rPr>
          <w:rFonts w:hint="eastAsia" w:ascii="宋体" w:hAnsi="宋体" w:eastAsia="宋体" w:cs="宋体"/>
          <w:b w:val="0"/>
          <w:bCs w:val="0"/>
          <w:color w:val="auto"/>
          <w:sz w:val="20"/>
          <w:szCs w:val="20"/>
        </w:rPr>
      </w:pPr>
    </w:p>
    <w:p>
      <w:pPr>
        <w:pStyle w:val="5"/>
        <w:rPr>
          <w:rFonts w:hint="eastAsia"/>
          <w:color w:val="auto"/>
        </w:rPr>
      </w:pPr>
    </w:p>
    <w:sectPr>
      <w:pgSz w:w="23811" w:h="16838" w:orient="landscape"/>
      <w:pgMar w:top="1134" w:right="1440" w:bottom="1134"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A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doNotValidateAgainstSchema/>
  <w:doNotDemarcateInvalidXml/>
  <w:footnotePr>
    <w:footnote w:id="0"/>
    <w:footnote w:id="1"/>
  </w:foot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2F427D"/>
    <w:rsid w:val="004F2AEE"/>
    <w:rsid w:val="007201D9"/>
    <w:rsid w:val="00C467C6"/>
    <w:rsid w:val="01E724B4"/>
    <w:rsid w:val="022D740E"/>
    <w:rsid w:val="02761F5A"/>
    <w:rsid w:val="029666F6"/>
    <w:rsid w:val="031F62AF"/>
    <w:rsid w:val="03337134"/>
    <w:rsid w:val="0376524D"/>
    <w:rsid w:val="03AA6382"/>
    <w:rsid w:val="03C37ED2"/>
    <w:rsid w:val="03EC63C9"/>
    <w:rsid w:val="04230D52"/>
    <w:rsid w:val="042973A7"/>
    <w:rsid w:val="046E5326"/>
    <w:rsid w:val="04AA1BDF"/>
    <w:rsid w:val="0541248F"/>
    <w:rsid w:val="05934E72"/>
    <w:rsid w:val="061B11E8"/>
    <w:rsid w:val="0737091A"/>
    <w:rsid w:val="07926EDC"/>
    <w:rsid w:val="07FC1A2E"/>
    <w:rsid w:val="086662A7"/>
    <w:rsid w:val="08A850E1"/>
    <w:rsid w:val="09D313E2"/>
    <w:rsid w:val="09E61312"/>
    <w:rsid w:val="0A792A63"/>
    <w:rsid w:val="0ACE6829"/>
    <w:rsid w:val="0ADE4913"/>
    <w:rsid w:val="0B0C7351"/>
    <w:rsid w:val="0B5D5338"/>
    <w:rsid w:val="0B626F71"/>
    <w:rsid w:val="0BD4628E"/>
    <w:rsid w:val="0BE02D3B"/>
    <w:rsid w:val="0C0E5053"/>
    <w:rsid w:val="0C601702"/>
    <w:rsid w:val="0C785CE1"/>
    <w:rsid w:val="0C7D4D2E"/>
    <w:rsid w:val="0C8436C3"/>
    <w:rsid w:val="0D834EE9"/>
    <w:rsid w:val="0DD7058C"/>
    <w:rsid w:val="0E372937"/>
    <w:rsid w:val="0EB355FD"/>
    <w:rsid w:val="0EEF7F38"/>
    <w:rsid w:val="0F0314C9"/>
    <w:rsid w:val="0F9848F1"/>
    <w:rsid w:val="0F9F636F"/>
    <w:rsid w:val="101D36EA"/>
    <w:rsid w:val="104853E6"/>
    <w:rsid w:val="105E23FD"/>
    <w:rsid w:val="10CA4947"/>
    <w:rsid w:val="10EE3D58"/>
    <w:rsid w:val="11C2568C"/>
    <w:rsid w:val="11F272A1"/>
    <w:rsid w:val="12241DEC"/>
    <w:rsid w:val="131B6B83"/>
    <w:rsid w:val="137839EF"/>
    <w:rsid w:val="14AB1989"/>
    <w:rsid w:val="14D71823"/>
    <w:rsid w:val="153A3AD2"/>
    <w:rsid w:val="156222A6"/>
    <w:rsid w:val="163B77B8"/>
    <w:rsid w:val="16876302"/>
    <w:rsid w:val="17463BEB"/>
    <w:rsid w:val="178F7340"/>
    <w:rsid w:val="18FD426B"/>
    <w:rsid w:val="19603882"/>
    <w:rsid w:val="19A62205"/>
    <w:rsid w:val="19C54C0F"/>
    <w:rsid w:val="19ED5EC7"/>
    <w:rsid w:val="1A774194"/>
    <w:rsid w:val="1B60171F"/>
    <w:rsid w:val="1C9B0535"/>
    <w:rsid w:val="1CCD4266"/>
    <w:rsid w:val="1D40430A"/>
    <w:rsid w:val="1DEC1665"/>
    <w:rsid w:val="1E5135A1"/>
    <w:rsid w:val="1ECC0A24"/>
    <w:rsid w:val="1ED639AC"/>
    <w:rsid w:val="1F126AC2"/>
    <w:rsid w:val="202B59E2"/>
    <w:rsid w:val="20DB01C7"/>
    <w:rsid w:val="20FA1CCE"/>
    <w:rsid w:val="21DF7DD7"/>
    <w:rsid w:val="220B17A9"/>
    <w:rsid w:val="23A84E28"/>
    <w:rsid w:val="23B343B6"/>
    <w:rsid w:val="245E4EC9"/>
    <w:rsid w:val="2461734A"/>
    <w:rsid w:val="247104F9"/>
    <w:rsid w:val="24E82C83"/>
    <w:rsid w:val="24F750CD"/>
    <w:rsid w:val="250A44A9"/>
    <w:rsid w:val="266E5C97"/>
    <w:rsid w:val="26A34CAF"/>
    <w:rsid w:val="26D05377"/>
    <w:rsid w:val="276353BB"/>
    <w:rsid w:val="2764723C"/>
    <w:rsid w:val="278D39F6"/>
    <w:rsid w:val="28976054"/>
    <w:rsid w:val="29556CCF"/>
    <w:rsid w:val="29957303"/>
    <w:rsid w:val="29E07E9C"/>
    <w:rsid w:val="2A946CEF"/>
    <w:rsid w:val="2B2B78CB"/>
    <w:rsid w:val="2B7E692D"/>
    <w:rsid w:val="2BE617CC"/>
    <w:rsid w:val="2C9128D6"/>
    <w:rsid w:val="2C944AFD"/>
    <w:rsid w:val="2E9D3FDD"/>
    <w:rsid w:val="2F2357DB"/>
    <w:rsid w:val="2F7E0DD0"/>
    <w:rsid w:val="2FE07114"/>
    <w:rsid w:val="30EE0767"/>
    <w:rsid w:val="322A19E4"/>
    <w:rsid w:val="32497E6B"/>
    <w:rsid w:val="32757FE6"/>
    <w:rsid w:val="33570B76"/>
    <w:rsid w:val="33752B2D"/>
    <w:rsid w:val="33DE6FB0"/>
    <w:rsid w:val="34294E9F"/>
    <w:rsid w:val="34642809"/>
    <w:rsid w:val="346825B6"/>
    <w:rsid w:val="358979B9"/>
    <w:rsid w:val="36056CF3"/>
    <w:rsid w:val="36C821F7"/>
    <w:rsid w:val="37046FAB"/>
    <w:rsid w:val="37277DE7"/>
    <w:rsid w:val="384829D0"/>
    <w:rsid w:val="3894354B"/>
    <w:rsid w:val="38BA4C91"/>
    <w:rsid w:val="39074B30"/>
    <w:rsid w:val="395C34D5"/>
    <w:rsid w:val="3A03179B"/>
    <w:rsid w:val="3A23618E"/>
    <w:rsid w:val="3A670E49"/>
    <w:rsid w:val="3AD252C3"/>
    <w:rsid w:val="3B7B1805"/>
    <w:rsid w:val="3BFC3324"/>
    <w:rsid w:val="3C8B250B"/>
    <w:rsid w:val="3D354402"/>
    <w:rsid w:val="3DBE1A18"/>
    <w:rsid w:val="3E874C97"/>
    <w:rsid w:val="3E975D85"/>
    <w:rsid w:val="3EB71FB6"/>
    <w:rsid w:val="3ECE62F0"/>
    <w:rsid w:val="3F285D49"/>
    <w:rsid w:val="3FCF485A"/>
    <w:rsid w:val="3FF9513B"/>
    <w:rsid w:val="411918A4"/>
    <w:rsid w:val="419C0587"/>
    <w:rsid w:val="41C44885"/>
    <w:rsid w:val="41DD0428"/>
    <w:rsid w:val="42663757"/>
    <w:rsid w:val="428B1C17"/>
    <w:rsid w:val="428B3C42"/>
    <w:rsid w:val="42C230FD"/>
    <w:rsid w:val="43956A04"/>
    <w:rsid w:val="44242FC1"/>
    <w:rsid w:val="444B2926"/>
    <w:rsid w:val="4513485D"/>
    <w:rsid w:val="45AD1E82"/>
    <w:rsid w:val="45F53823"/>
    <w:rsid w:val="46284338"/>
    <w:rsid w:val="464C20DC"/>
    <w:rsid w:val="46AE3B8B"/>
    <w:rsid w:val="46D30747"/>
    <w:rsid w:val="48023D6D"/>
    <w:rsid w:val="48042E78"/>
    <w:rsid w:val="484F3DFE"/>
    <w:rsid w:val="48CC36A0"/>
    <w:rsid w:val="48FA2106"/>
    <w:rsid w:val="49A31568"/>
    <w:rsid w:val="49F216E7"/>
    <w:rsid w:val="4A1B3325"/>
    <w:rsid w:val="4A3D2BE0"/>
    <w:rsid w:val="4A6D4A0F"/>
    <w:rsid w:val="4A791606"/>
    <w:rsid w:val="4BC10C51"/>
    <w:rsid w:val="4C904F4C"/>
    <w:rsid w:val="4CAF3E21"/>
    <w:rsid w:val="4CB850CC"/>
    <w:rsid w:val="4D06634C"/>
    <w:rsid w:val="4D5123C6"/>
    <w:rsid w:val="4D752730"/>
    <w:rsid w:val="4D7F7D7C"/>
    <w:rsid w:val="4D9D385D"/>
    <w:rsid w:val="4DD86643"/>
    <w:rsid w:val="4E96731C"/>
    <w:rsid w:val="4E9E788D"/>
    <w:rsid w:val="4ED20BEB"/>
    <w:rsid w:val="4EED4AD2"/>
    <w:rsid w:val="4F24454E"/>
    <w:rsid w:val="4F2F6737"/>
    <w:rsid w:val="4F3F2653"/>
    <w:rsid w:val="4F4C6AE6"/>
    <w:rsid w:val="4F746578"/>
    <w:rsid w:val="4F9517EC"/>
    <w:rsid w:val="4FBF252F"/>
    <w:rsid w:val="4FCB6460"/>
    <w:rsid w:val="509D5617"/>
    <w:rsid w:val="50BF4FED"/>
    <w:rsid w:val="51476482"/>
    <w:rsid w:val="51D412F6"/>
    <w:rsid w:val="527E6B12"/>
    <w:rsid w:val="52EF42F1"/>
    <w:rsid w:val="53B0506E"/>
    <w:rsid w:val="541A7FB6"/>
    <w:rsid w:val="54B855BE"/>
    <w:rsid w:val="55572544"/>
    <w:rsid w:val="565175FF"/>
    <w:rsid w:val="571B0D2A"/>
    <w:rsid w:val="57E72E3F"/>
    <w:rsid w:val="57EE3FE4"/>
    <w:rsid w:val="584414A7"/>
    <w:rsid w:val="584440DE"/>
    <w:rsid w:val="58880970"/>
    <w:rsid w:val="58DE6CF7"/>
    <w:rsid w:val="58FF730F"/>
    <w:rsid w:val="59286696"/>
    <w:rsid w:val="592D0334"/>
    <w:rsid w:val="5953795C"/>
    <w:rsid w:val="59D86349"/>
    <w:rsid w:val="59F04968"/>
    <w:rsid w:val="59F514B4"/>
    <w:rsid w:val="5A911AE0"/>
    <w:rsid w:val="5AF65DFD"/>
    <w:rsid w:val="5B6B43B1"/>
    <w:rsid w:val="5C14118E"/>
    <w:rsid w:val="5C7A36E7"/>
    <w:rsid w:val="5C8E5E6F"/>
    <w:rsid w:val="5C9B3D14"/>
    <w:rsid w:val="5C9F1EC7"/>
    <w:rsid w:val="5DA60021"/>
    <w:rsid w:val="5DCD545C"/>
    <w:rsid w:val="5DF8495F"/>
    <w:rsid w:val="5E224037"/>
    <w:rsid w:val="5E6E5BA9"/>
    <w:rsid w:val="5F0F2C9A"/>
    <w:rsid w:val="5FFF22A7"/>
    <w:rsid w:val="607641C6"/>
    <w:rsid w:val="60C16E5C"/>
    <w:rsid w:val="611E6F16"/>
    <w:rsid w:val="614940AB"/>
    <w:rsid w:val="61B632BB"/>
    <w:rsid w:val="61ED6D3C"/>
    <w:rsid w:val="6260157C"/>
    <w:rsid w:val="6260609C"/>
    <w:rsid w:val="6290228F"/>
    <w:rsid w:val="62FF4946"/>
    <w:rsid w:val="63905DDA"/>
    <w:rsid w:val="651E3C01"/>
    <w:rsid w:val="65913850"/>
    <w:rsid w:val="66592B36"/>
    <w:rsid w:val="66B15CF5"/>
    <w:rsid w:val="66EF2B81"/>
    <w:rsid w:val="67632F3A"/>
    <w:rsid w:val="67694C01"/>
    <w:rsid w:val="685D1D6A"/>
    <w:rsid w:val="6A927061"/>
    <w:rsid w:val="6AD42215"/>
    <w:rsid w:val="6B4F4316"/>
    <w:rsid w:val="6B614B81"/>
    <w:rsid w:val="6B8579B3"/>
    <w:rsid w:val="6BDE0C9D"/>
    <w:rsid w:val="6CD81D64"/>
    <w:rsid w:val="6D3C7EFA"/>
    <w:rsid w:val="6D4A21CE"/>
    <w:rsid w:val="6E25722B"/>
    <w:rsid w:val="6E3E27A8"/>
    <w:rsid w:val="6E423939"/>
    <w:rsid w:val="6EC35D4A"/>
    <w:rsid w:val="6F690107"/>
    <w:rsid w:val="6FD8262E"/>
    <w:rsid w:val="70383062"/>
    <w:rsid w:val="70967F6C"/>
    <w:rsid w:val="70AF0705"/>
    <w:rsid w:val="70DB66B0"/>
    <w:rsid w:val="7105409D"/>
    <w:rsid w:val="71463740"/>
    <w:rsid w:val="718E5DB3"/>
    <w:rsid w:val="72403457"/>
    <w:rsid w:val="72B168CD"/>
    <w:rsid w:val="7337747D"/>
    <w:rsid w:val="739358D2"/>
    <w:rsid w:val="73A94701"/>
    <w:rsid w:val="748862C1"/>
    <w:rsid w:val="74A2206E"/>
    <w:rsid w:val="74F579ED"/>
    <w:rsid w:val="75607A57"/>
    <w:rsid w:val="75B50E95"/>
    <w:rsid w:val="75C80BC8"/>
    <w:rsid w:val="76F37B7F"/>
    <w:rsid w:val="7710549F"/>
    <w:rsid w:val="77EC2986"/>
    <w:rsid w:val="787A59E1"/>
    <w:rsid w:val="788F6C44"/>
    <w:rsid w:val="791E6F1F"/>
    <w:rsid w:val="79555698"/>
    <w:rsid w:val="797D43BF"/>
    <w:rsid w:val="7A060275"/>
    <w:rsid w:val="7A2605B3"/>
    <w:rsid w:val="7A4F6836"/>
    <w:rsid w:val="7A9E639B"/>
    <w:rsid w:val="7AB23A7B"/>
    <w:rsid w:val="7B5543B1"/>
    <w:rsid w:val="7BE532AE"/>
    <w:rsid w:val="7C2130C5"/>
    <w:rsid w:val="7C4A4A58"/>
    <w:rsid w:val="7DA67C73"/>
    <w:rsid w:val="7E5E4A2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iPriority="99"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iPriority="0" w:semiHidden="0" w:name="Title"/>
    <w:lsdException w:qFormat="1" w:unhideWhenUsed="0" w:uiPriority="0" w:semiHidden="0" w:name="Closing"/>
    <w:lsdException w:qFormat="1" w:unhideWhenUsed="0" w:uiPriority="0" w:semiHidden="0" w:name="Signature"/>
    <w:lsdException w:qFormat="1" w:uiPriority="1" w:semiHidden="0" w:name="Default Paragraph Font"/>
    <w:lsdException w:qFormat="1" w:uiPriority="0" w:semiHidden="0" w:name="Body Text"/>
    <w:lsdException w:qFormat="1"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iPriority="0" w:semiHidden="0" w:name="Plain Text"/>
    <w:lsdException w:qFormat="1" w:unhideWhenUsed="0" w:uiPriority="0" w:semiHidden="0" w:name="E-mail Signature"/>
    <w:lsdException w:qFormat="1"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99" w:semiHidden="0" w:name="Normal Table"/>
    <w:lsdException w:qFormat="1" w:unhideWhenUsed="0" w:uiPriority="0" w:semiHidden="0" w:name="annotation subject"/>
    <w:lsdException w:qFormat="1" w:unhideWhenUsed="0" w:uiPriority="0" w:semiHidden="0" w:name="Table Simple 1"/>
    <w:lsdException w:qFormat="1" w:unhideWhenUsed="0" w:uiPriority="0" w:semiHidden="0" w:name="Table Simple 2"/>
    <w:lsdException w:qFormat="1" w:unhideWhenUsed="0" w:uiPriority="0" w:semiHidden="0" w:name="Table Simple 3"/>
    <w:lsdException w:qFormat="1" w:unhideWhenUsed="0" w:uiPriority="0" w:semiHidden="0" w:name="Table Classic 1"/>
    <w:lsdException w:qFormat="1" w:unhideWhenUsed="0" w:uiPriority="0" w:semiHidden="0" w:name="Table Classic 2"/>
    <w:lsdException w:qFormat="1" w:unhideWhenUsed="0" w:uiPriority="0" w:semiHidden="0" w:name="Table Classic 3"/>
    <w:lsdException w:qFormat="1" w:unhideWhenUsed="0" w:uiPriority="0" w:semiHidden="0" w:name="Table Classic 4"/>
    <w:lsdException w:qFormat="1" w:unhideWhenUsed="0" w:uiPriority="0" w:semiHidden="0" w:name="Table Colorful 1"/>
    <w:lsdException w:qFormat="1" w:unhideWhenUsed="0" w:uiPriority="0" w:semiHidden="0" w:name="Table Colorful 2"/>
    <w:lsdException w:qFormat="1" w:unhideWhenUsed="0" w:uiPriority="0" w:semiHidden="0" w:name="Table Colorful 3"/>
    <w:lsdException w:qFormat="1" w:unhideWhenUsed="0" w:uiPriority="0" w:semiHidden="0" w:name="Table Columns 1"/>
    <w:lsdException w:qFormat="1" w:unhideWhenUsed="0" w:uiPriority="0" w:semiHidden="0" w:name="Table Columns 2"/>
    <w:lsdException w:qFormat="1" w:unhideWhenUsed="0" w:uiPriority="0" w:semiHidden="0" w:name="Table Columns 3"/>
    <w:lsdException w:qFormat="1" w:unhideWhenUsed="0" w:uiPriority="0" w:semiHidden="0" w:name="Table Columns 4"/>
    <w:lsdException w:qFormat="1" w:unhideWhenUsed="0" w:uiPriority="0" w:semiHidden="0" w:name="Table Columns 5"/>
    <w:lsdException w:qFormat="1" w:unhideWhenUsed="0" w:uiPriority="0" w:semiHidden="0" w:name="Table Grid 1"/>
    <w:lsdException w:qFormat="1" w:unhideWhenUsed="0" w:uiPriority="0" w:semiHidden="0" w:name="Table Grid 2"/>
    <w:lsdException w:qFormat="1" w:unhideWhenUsed="0" w:uiPriority="0" w:semiHidden="0" w:name="Table Grid 3"/>
    <w:lsdException w:qFormat="1" w:unhideWhenUsed="0" w:uiPriority="0" w:semiHidden="0" w:name="Table Grid 4"/>
    <w:lsdException w:qFormat="1" w:unhideWhenUsed="0" w:uiPriority="0" w:semiHidden="0" w:name="Table Grid 5"/>
    <w:lsdException w:qFormat="1" w:unhideWhenUsed="0" w:uiPriority="0" w:semiHidden="0" w:name="Table Grid 6"/>
    <w:lsdException w:qFormat="1" w:unhideWhenUsed="0" w:uiPriority="0" w:semiHidden="0" w:name="Table Grid 7"/>
    <w:lsdException w:qFormat="1" w:unhideWhenUsed="0" w:uiPriority="0" w:semiHidden="0" w:name="Table Grid 8"/>
    <w:lsdException w:qFormat="1" w:unhideWhenUsed="0" w:uiPriority="0" w:semiHidden="0" w:name="Table List 1"/>
    <w:lsdException w:qFormat="1" w:unhideWhenUsed="0" w:uiPriority="0" w:semiHidden="0" w:name="Table List 2"/>
    <w:lsdException w:qFormat="1" w:unhideWhenUsed="0" w:uiPriority="0" w:semiHidden="0" w:name="Table List 3"/>
    <w:lsdException w:qFormat="1" w:unhideWhenUsed="0" w:uiPriority="0" w:semiHidden="0" w:name="Table List 4"/>
    <w:lsdException w:qFormat="1" w:unhideWhenUsed="0" w:uiPriority="0" w:semiHidden="0" w:name="Table List 5"/>
    <w:lsdException w:qFormat="1" w:unhideWhenUsed="0" w:uiPriority="0" w:semiHidden="0" w:name="Table List 6"/>
    <w:lsdException w:qFormat="1" w:unhideWhenUsed="0" w:uiPriority="0" w:semiHidden="0" w:name="Table List 7"/>
    <w:lsdException w:qFormat="1" w:unhideWhenUsed="0" w:uiPriority="0" w:semiHidden="0" w:name="Table List 8"/>
    <w:lsdException w:qFormat="1" w:unhideWhenUsed="0" w:uiPriority="0" w:semiHidden="0" w:name="Table 3D effects 1"/>
    <w:lsdException w:qFormat="1" w:unhideWhenUsed="0" w:uiPriority="0" w:semiHidden="0" w:name="Table 3D effects 2"/>
    <w:lsdException w:qFormat="1" w:unhideWhenUsed="0" w:uiPriority="0" w:semiHidden="0" w:name="Table 3D effects 3"/>
    <w:lsdException w:qFormat="1" w:unhideWhenUsed="0" w:uiPriority="0" w:semiHidden="0" w:name="Table Contemporary"/>
    <w:lsdException w:qFormat="1" w:unhideWhenUsed="0" w:uiPriority="0" w:semiHidden="0" w:name="Table Elegant"/>
    <w:lsdException w:qFormat="1" w:unhideWhenUsed="0" w:uiPriority="0" w:semiHidden="0" w:name="Table Professional"/>
    <w:lsdException w:qFormat="1" w:unhideWhenUsed="0" w:uiPriority="0" w:semiHidden="0" w:name="Table Subtle 1"/>
    <w:lsdException w:qFormat="1" w:unhideWhenUsed="0" w:uiPriority="0" w:semiHidden="0" w:name="Table Subtle 2"/>
    <w:lsdException w:qFormat="1" w:unhideWhenUsed="0" w:uiPriority="0" w:semiHidden="0" w:name="Table Web 1"/>
    <w:lsdException w:qFormat="1" w:unhideWhenUsed="0" w:uiPriority="0" w:semiHidden="0" w:name="Table Web 2"/>
    <w:lsdException w:qFormat="1" w:unhideWhenUsed="0" w:uiPriority="0" w:semiHidden="0" w:name="Table Web 3"/>
    <w:lsdException w:qFormat="1" w:uiPriority="0" w:semiHidden="0" w:name="Balloon Text"/>
    <w:lsdException w:qFormat="1" w:unhideWhenUsed="0" w:uiPriority="0" w:semiHidden="0" w:name="Table Grid"/>
    <w:lsdException w:qFormat="1"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nhideWhenUsed/>
    <w:qFormat/>
    <w:uiPriority w:val="0"/>
    <w:pPr>
      <w:widowControl w:val="0"/>
      <w:spacing w:beforeLines="0" w:afterLines="0"/>
      <w:jc w:val="both"/>
    </w:pPr>
    <w:rPr>
      <w:rFonts w:hint="default" w:ascii="Calibri" w:hAnsi="Calibri" w:eastAsia="宋体" w:cs="Times New Roman"/>
      <w:kern w:val="2"/>
      <w:sz w:val="21"/>
      <w:lang w:val="en-US" w:eastAsia="zh-CN"/>
    </w:rPr>
  </w:style>
  <w:style w:type="paragraph" w:styleId="3">
    <w:name w:val="heading 4"/>
    <w:basedOn w:val="1"/>
    <w:next w:val="1"/>
    <w:qFormat/>
    <w:uiPriority w:val="0"/>
    <w:pPr>
      <w:keepNext/>
      <w:keepLines/>
      <w:spacing w:before="280" w:beforeLines="0" w:after="290" w:afterLines="0" w:line="376" w:lineRule="auto"/>
      <w:outlineLvl w:val="3"/>
    </w:pPr>
    <w:rPr>
      <w:rFonts w:ascii="Arial" w:hAnsi="Arial" w:eastAsia="黑体"/>
      <w:b/>
      <w:bCs/>
      <w:sz w:val="28"/>
      <w:szCs w:val="28"/>
    </w:rPr>
  </w:style>
  <w:style w:type="character" w:default="1" w:styleId="19">
    <w:name w:val="Default Paragraph Font"/>
    <w:unhideWhenUsed/>
    <w:qFormat/>
    <w:uiPriority w:val="1"/>
    <w:rPr>
      <w:rFonts w:hint="default"/>
      <w:sz w:val="24"/>
    </w:rPr>
  </w:style>
  <w:style w:type="table" w:default="1" w:styleId="17">
    <w:name w:val="Normal Table"/>
    <w:qFormat/>
    <w:uiPriority w:val="99"/>
    <w:tblPr>
      <w:tblCellMar>
        <w:top w:w="0" w:type="dxa"/>
        <w:left w:w="108" w:type="dxa"/>
        <w:bottom w:w="0" w:type="dxa"/>
        <w:right w:w="108" w:type="dxa"/>
      </w:tblCellMar>
    </w:tblPr>
  </w:style>
  <w:style w:type="paragraph" w:customStyle="1" w:styleId="2">
    <w:name w:val="正文缩进1"/>
    <w:unhideWhenUsed/>
    <w:qFormat/>
    <w:uiPriority w:val="0"/>
    <w:pPr>
      <w:widowControl w:val="0"/>
      <w:spacing w:beforeLines="0" w:afterLines="0"/>
      <w:ind w:firstLine="420" w:firstLineChars="200"/>
      <w:jc w:val="both"/>
    </w:pPr>
    <w:rPr>
      <w:rFonts w:hint="default" w:ascii="Calibri" w:hAnsi="Calibri" w:eastAsia="宋体" w:cs="Times New Roman"/>
      <w:kern w:val="2"/>
      <w:sz w:val="21"/>
      <w:lang w:val="en-US" w:eastAsia="zh-CN"/>
    </w:rPr>
  </w:style>
  <w:style w:type="paragraph" w:styleId="4">
    <w:name w:val="table of authorities"/>
    <w:basedOn w:val="1"/>
    <w:next w:val="1"/>
    <w:qFormat/>
    <w:uiPriority w:val="0"/>
    <w:pPr>
      <w:ind w:left="420" w:leftChars="200"/>
    </w:pPr>
  </w:style>
  <w:style w:type="paragraph" w:styleId="5">
    <w:name w:val="Normal Indent"/>
    <w:basedOn w:val="1"/>
    <w:unhideWhenUsed/>
    <w:qFormat/>
    <w:uiPriority w:val="99"/>
    <w:pPr>
      <w:spacing w:beforeLines="0" w:afterLines="0"/>
      <w:ind w:firstLine="420" w:firstLineChars="200"/>
    </w:pPr>
    <w:rPr>
      <w:rFonts w:hint="default"/>
      <w:sz w:val="21"/>
    </w:rPr>
  </w:style>
  <w:style w:type="paragraph" w:styleId="6">
    <w:name w:val="Body Text"/>
    <w:basedOn w:val="1"/>
    <w:next w:val="7"/>
    <w:unhideWhenUsed/>
    <w:qFormat/>
    <w:uiPriority w:val="0"/>
    <w:pPr>
      <w:spacing w:beforeLines="0" w:after="120" w:afterLines="0"/>
    </w:pPr>
    <w:rPr>
      <w:rFonts w:hint="default"/>
      <w:sz w:val="21"/>
    </w:rPr>
  </w:style>
  <w:style w:type="paragraph" w:styleId="7">
    <w:name w:val="Normal (Web)"/>
    <w:basedOn w:val="1"/>
    <w:next w:val="8"/>
    <w:unhideWhenUsed/>
    <w:qFormat/>
    <w:uiPriority w:val="0"/>
    <w:pPr>
      <w:widowControl/>
      <w:spacing w:before="100" w:beforeLines="0" w:beforeAutospacing="1" w:after="100" w:afterLines="0" w:afterAutospacing="1"/>
      <w:jc w:val="left"/>
    </w:pPr>
    <w:rPr>
      <w:rFonts w:hint="eastAsia" w:ascii="宋体" w:hAnsi="宋体"/>
      <w:sz w:val="24"/>
    </w:rPr>
  </w:style>
  <w:style w:type="paragraph" w:styleId="8">
    <w:name w:val="Body Text First Indent"/>
    <w:basedOn w:val="6"/>
    <w:next w:val="1"/>
    <w:qFormat/>
    <w:uiPriority w:val="0"/>
    <w:pPr>
      <w:ind w:firstLine="420"/>
    </w:pPr>
  </w:style>
  <w:style w:type="paragraph" w:styleId="9">
    <w:name w:val="Body Text Indent"/>
    <w:basedOn w:val="1"/>
    <w:next w:val="10"/>
    <w:unhideWhenUsed/>
    <w:qFormat/>
    <w:uiPriority w:val="0"/>
    <w:pPr>
      <w:spacing w:beforeLines="0" w:after="120"/>
      <w:ind w:left="420" w:leftChars="200"/>
    </w:pPr>
    <w:rPr>
      <w:rFonts w:hint="default"/>
      <w:sz w:val="21"/>
    </w:rPr>
  </w:style>
  <w:style w:type="paragraph" w:styleId="10">
    <w:name w:val="toc 2"/>
    <w:basedOn w:val="1"/>
    <w:next w:val="1"/>
    <w:qFormat/>
    <w:uiPriority w:val="0"/>
    <w:pPr>
      <w:ind w:left="420"/>
      <w:jc w:val="center"/>
    </w:pPr>
    <w:rPr>
      <w:rFonts w:ascii="黑体" w:eastAsia="黑体"/>
      <w:szCs w:val="32"/>
    </w:rPr>
  </w:style>
  <w:style w:type="paragraph" w:styleId="11">
    <w:name w:val="Plain Text"/>
    <w:basedOn w:val="1"/>
    <w:unhideWhenUsed/>
    <w:qFormat/>
    <w:uiPriority w:val="0"/>
    <w:pPr>
      <w:spacing w:beforeLines="0" w:afterLines="0"/>
    </w:pPr>
    <w:rPr>
      <w:rFonts w:hint="default" w:hAnsi="Courier New"/>
      <w:sz w:val="21"/>
    </w:rPr>
  </w:style>
  <w:style w:type="paragraph" w:styleId="12">
    <w:name w:val="Balloon Text"/>
    <w:basedOn w:val="1"/>
    <w:link w:val="24"/>
    <w:unhideWhenUsed/>
    <w:qFormat/>
    <w:uiPriority w:val="0"/>
    <w:pPr>
      <w:spacing w:beforeLines="0" w:afterLines="0"/>
    </w:pPr>
    <w:rPr>
      <w:rFonts w:hint="default"/>
      <w:sz w:val="18"/>
    </w:rPr>
  </w:style>
  <w:style w:type="paragraph" w:styleId="13">
    <w:name w:val="header"/>
    <w:basedOn w:val="1"/>
    <w:next w:val="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4">
    <w:name w:val="index 9"/>
    <w:basedOn w:val="1"/>
    <w:next w:val="1"/>
    <w:qFormat/>
    <w:uiPriority w:val="0"/>
    <w:pPr>
      <w:ind w:left="3360"/>
    </w:pPr>
  </w:style>
  <w:style w:type="paragraph" w:styleId="15">
    <w:name w:val="Title"/>
    <w:basedOn w:val="1"/>
    <w:next w:val="1"/>
    <w:unhideWhenUsed/>
    <w:qFormat/>
    <w:uiPriority w:val="0"/>
    <w:pPr>
      <w:spacing w:before="240" w:beforeLines="0" w:after="60" w:afterLines="0"/>
      <w:jc w:val="center"/>
      <w:outlineLvl w:val="0"/>
    </w:pPr>
    <w:rPr>
      <w:rFonts w:hint="default" w:ascii="Cambria" w:hAnsi="Cambria"/>
      <w:b/>
      <w:kern w:val="0"/>
      <w:sz w:val="32"/>
    </w:rPr>
  </w:style>
  <w:style w:type="paragraph" w:styleId="16">
    <w:name w:val="Body Text First Indent 2"/>
    <w:basedOn w:val="9"/>
    <w:next w:val="1"/>
    <w:unhideWhenUsed/>
    <w:qFormat/>
    <w:uiPriority w:val="0"/>
    <w:pPr>
      <w:spacing w:beforeLines="0"/>
      <w:ind w:firstLine="420" w:firstLineChars="200"/>
    </w:pPr>
    <w:rPr>
      <w:rFonts w:hint="default"/>
      <w:sz w:val="21"/>
    </w:r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0">
    <w:name w:val="List Paragraph"/>
    <w:basedOn w:val="1"/>
    <w:unhideWhenUsed/>
    <w:qFormat/>
    <w:uiPriority w:val="99"/>
    <w:pPr>
      <w:spacing w:beforeLines="0" w:afterLines="0"/>
      <w:ind w:firstLine="420" w:firstLineChars="200"/>
    </w:pPr>
    <w:rPr>
      <w:rFonts w:hint="default"/>
      <w:sz w:val="21"/>
    </w:rPr>
  </w:style>
  <w:style w:type="character" w:customStyle="1" w:styleId="21">
    <w:name w:val="font01"/>
    <w:basedOn w:val="19"/>
    <w:unhideWhenUsed/>
    <w:qFormat/>
    <w:uiPriority w:val="0"/>
    <w:rPr>
      <w:rFonts w:hint="eastAsia" w:ascii="宋体" w:hAnsi="宋体" w:eastAsia="宋体"/>
      <w:color w:val="FF0000"/>
      <w:sz w:val="16"/>
    </w:rPr>
  </w:style>
  <w:style w:type="character" w:customStyle="1" w:styleId="22">
    <w:name w:val="font21"/>
    <w:basedOn w:val="19"/>
    <w:unhideWhenUsed/>
    <w:qFormat/>
    <w:uiPriority w:val="0"/>
    <w:rPr>
      <w:rFonts w:hint="eastAsia" w:ascii="仿宋_GB2312" w:hAnsi="Times New Roman" w:eastAsia="仿宋_GB2312"/>
      <w:color w:val="000000"/>
      <w:sz w:val="20"/>
    </w:rPr>
  </w:style>
  <w:style w:type="character" w:customStyle="1" w:styleId="23">
    <w:name w:val="font51"/>
    <w:basedOn w:val="19"/>
    <w:unhideWhenUsed/>
    <w:qFormat/>
    <w:uiPriority w:val="0"/>
    <w:rPr>
      <w:rFonts w:hint="eastAsia" w:ascii="宋体" w:hAnsi="宋体" w:eastAsia="宋体"/>
      <w:color w:val="FF0000"/>
      <w:sz w:val="20"/>
    </w:rPr>
  </w:style>
  <w:style w:type="character" w:customStyle="1" w:styleId="24">
    <w:name w:val="批注框文本 Char"/>
    <w:basedOn w:val="19"/>
    <w:link w:val="12"/>
    <w:unhideWhenUsed/>
    <w:qFormat/>
    <w:uiPriority w:val="0"/>
    <w:rPr>
      <w:rFonts w:hint="default"/>
      <w:kern w:val="2"/>
      <w:sz w:val="18"/>
    </w:rPr>
  </w:style>
  <w:style w:type="character" w:customStyle="1" w:styleId="25">
    <w:name w:val="font31"/>
    <w:basedOn w:val="19"/>
    <w:unhideWhenUsed/>
    <w:qFormat/>
    <w:uiPriority w:val="0"/>
    <w:rPr>
      <w:rFonts w:hint="eastAsia" w:ascii="仿宋_GB2312" w:hAnsi="Times New Roman" w:eastAsia="仿宋_GB2312"/>
      <w:color w:val="000000"/>
      <w:sz w:val="20"/>
    </w:rPr>
  </w:style>
  <w:style w:type="character" w:customStyle="1" w:styleId="26">
    <w:name w:val="font11"/>
    <w:basedOn w:val="19"/>
    <w:unhideWhenUsed/>
    <w:qFormat/>
    <w:uiPriority w:val="0"/>
    <w:rPr>
      <w:rFonts w:hint="eastAsia" w:ascii="宋体" w:hAnsi="宋体" w:eastAsia="宋体"/>
      <w:b/>
      <w:color w:val="000000"/>
      <w:sz w:val="16"/>
    </w:rPr>
  </w:style>
  <w:style w:type="character" w:customStyle="1" w:styleId="27">
    <w:name w:val="font41"/>
    <w:basedOn w:val="19"/>
    <w:unhideWhenUsed/>
    <w:qFormat/>
    <w:uiPriority w:val="0"/>
    <w:rPr>
      <w:rFonts w:hint="eastAsia" w:ascii="宋体" w:hAnsi="宋体" w:eastAsia="宋体"/>
      <w:color w:val="000000"/>
      <w:sz w:val="16"/>
    </w:rPr>
  </w:style>
  <w:style w:type="table" w:customStyle="1" w:styleId="28">
    <w:name w:val="Table Normal"/>
    <w:semiHidden/>
    <w:unhideWhenUsed/>
    <w:qFormat/>
    <w:uiPriority w:val="0"/>
    <w:tblPr>
      <w:tblCellMar>
        <w:top w:w="0" w:type="dxa"/>
        <w:left w:w="0" w:type="dxa"/>
        <w:bottom w:w="0" w:type="dxa"/>
        <w:right w:w="0" w:type="dxa"/>
      </w:tblCellMar>
    </w:tblPr>
  </w:style>
  <w:style w:type="character" w:customStyle="1" w:styleId="29">
    <w:name w:val="font71"/>
    <w:basedOn w:val="19"/>
    <w:qFormat/>
    <w:uiPriority w:val="0"/>
    <w:rPr>
      <w:rFonts w:hint="eastAsia" w:ascii="宋体" w:hAnsi="宋体" w:eastAsia="宋体" w:cs="宋体"/>
      <w:color w:val="0070C0"/>
      <w:sz w:val="20"/>
      <w:szCs w:val="20"/>
      <w:u w:val="none"/>
    </w:rPr>
  </w:style>
  <w:style w:type="character" w:customStyle="1" w:styleId="30">
    <w:name w:val="font61"/>
    <w:basedOn w:val="19"/>
    <w:qFormat/>
    <w:uiPriority w:val="0"/>
    <w:rPr>
      <w:rFonts w:hint="eastAsia" w:ascii="宋体" w:hAnsi="宋体" w:eastAsia="宋体" w:cs="宋体"/>
      <w:color w:val="000000"/>
      <w:sz w:val="24"/>
      <w:szCs w:val="24"/>
      <w:u w:val="none"/>
    </w:rPr>
  </w:style>
  <w:style w:type="character" w:customStyle="1" w:styleId="31">
    <w:name w:val="font101"/>
    <w:basedOn w:val="19"/>
    <w:qFormat/>
    <w:uiPriority w:val="0"/>
    <w:rPr>
      <w:rFonts w:hint="eastAsia" w:ascii="宋体" w:hAnsi="宋体" w:eastAsia="宋体" w:cs="宋体"/>
      <w:color w:val="FF0000"/>
      <w:sz w:val="20"/>
      <w:szCs w:val="20"/>
      <w:u w:val="none"/>
    </w:rPr>
  </w:style>
  <w:style w:type="character" w:customStyle="1" w:styleId="32">
    <w:name w:val="font112"/>
    <w:basedOn w:val="19"/>
    <w:qFormat/>
    <w:uiPriority w:val="0"/>
    <w:rPr>
      <w:rFonts w:hint="eastAsia" w:ascii="宋体" w:hAnsi="宋体" w:eastAsia="宋体" w:cs="宋体"/>
      <w:color w:val="0066CC"/>
      <w:sz w:val="22"/>
      <w:szCs w:val="22"/>
      <w:u w:val="none"/>
    </w:rPr>
  </w:style>
  <w:style w:type="character" w:customStyle="1" w:styleId="33">
    <w:name w:val="font121"/>
    <w:basedOn w:val="19"/>
    <w:qFormat/>
    <w:uiPriority w:val="0"/>
    <w:rPr>
      <w:rFonts w:hint="eastAsia" w:ascii="宋体" w:hAnsi="宋体" w:eastAsia="宋体" w:cs="宋体"/>
      <w:color w:val="FF0000"/>
      <w:sz w:val="22"/>
      <w:szCs w:val="22"/>
      <w:u w:val="none"/>
    </w:rPr>
  </w:style>
  <w:style w:type="character" w:customStyle="1" w:styleId="34">
    <w:name w:val="font131"/>
    <w:basedOn w:val="19"/>
    <w:qFormat/>
    <w:uiPriority w:val="0"/>
    <w:rPr>
      <w:rFonts w:hint="eastAsia" w:ascii="宋体" w:hAnsi="宋体" w:eastAsia="宋体" w:cs="宋体"/>
      <w:color w:val="FF0000"/>
      <w:sz w:val="24"/>
      <w:szCs w:val="24"/>
      <w:u w:val="none"/>
    </w:rPr>
  </w:style>
  <w:style w:type="character" w:customStyle="1" w:styleId="35">
    <w:name w:val="font81"/>
    <w:basedOn w:val="19"/>
    <w:qFormat/>
    <w:uiPriority w:val="0"/>
    <w:rPr>
      <w:rFonts w:hint="eastAsia" w:ascii="宋体" w:hAnsi="宋体" w:eastAsia="宋体" w:cs="宋体"/>
      <w:color w:val="FF0000"/>
      <w:sz w:val="14"/>
      <w:szCs w:val="14"/>
      <w:u w:val="none"/>
    </w:rPr>
  </w:style>
  <w:style w:type="character" w:customStyle="1" w:styleId="36">
    <w:name w:val="font91"/>
    <w:basedOn w:val="19"/>
    <w:qFormat/>
    <w:uiPriority w:val="0"/>
    <w:rPr>
      <w:rFonts w:hint="eastAsia" w:ascii="宋体" w:hAnsi="宋体" w:eastAsia="宋体" w:cs="宋体"/>
      <w:color w:val="FF0000"/>
      <w:sz w:val="24"/>
      <w:szCs w:val="24"/>
      <w:u w:val="none"/>
    </w:rPr>
  </w:style>
  <w:style w:type="character" w:customStyle="1" w:styleId="37">
    <w:name w:val="font111"/>
    <w:basedOn w:val="19"/>
    <w:qFormat/>
    <w:uiPriority w:val="0"/>
    <w:rPr>
      <w:rFonts w:hint="default" w:ascii="Arial" w:hAnsi="Arial" w:cs="Arial"/>
      <w:color w:val="000000"/>
      <w:sz w:val="14"/>
      <w:szCs w:val="14"/>
      <w:u w:val="none"/>
    </w:rPr>
  </w:style>
  <w:style w:type="character" w:customStyle="1" w:styleId="38">
    <w:name w:val="font122"/>
    <w:basedOn w:val="19"/>
    <w:qFormat/>
    <w:uiPriority w:val="0"/>
    <w:rPr>
      <w:rFonts w:hint="eastAsia" w:ascii="宋体" w:hAnsi="宋体" w:eastAsia="宋体" w:cs="宋体"/>
      <w:color w:val="FF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69</Pages>
  <Words>135640</Words>
  <Characters>147446</Characters>
  <TotalTime>4</TotalTime>
  <ScaleCrop>false</ScaleCrop>
  <LinksUpToDate>false</LinksUpToDate>
  <CharactersWithSpaces>147639</CharactersWithSpaces>
  <Application>WPS Office_11.1.0.11194_F1E327BC-269C-435d-A152-05C5408002CA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2022-04-08T18:17:00Z</dcterms:created>
  <dc:creator>翟邵昀</dc:creator>
  <cp:lastModifiedBy>vingsoft1</cp:lastModifiedBy>
  <dcterms:modified xsi:type="dcterms:W3CDTF">2022-04-26T06:52:59Z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B28E6D147E544258A57CDBEC9F0AAFC6</vt:lpwstr>
  </property>
</Properties>
</file>