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2279E64D">
      <w:pPr>
        <w:jc w:val="center"/>
        <w:rPr>
          <w:rFonts w:hint="eastAsia" w:ascii="黑体" w:hAnsi="宋体" w:eastAsia="黑体"/>
          <w:b w:val="0"/>
          <w:bCs w:val="0"/>
          <w:color w:val="auto"/>
          <w:kern w:val="0"/>
          <w:sz w:val="44"/>
        </w:rPr>
      </w:pPr>
      <w:bookmarkStart w:id="0" w:name="_GoBack"/>
      <w:bookmarkEnd w:id="0"/>
      <w:r>
        <w:rPr>
          <w:rFonts w:hint="eastAsia" w:ascii="黑体" w:hAnsi="宋体" w:eastAsia="黑体"/>
          <w:b w:val="0"/>
          <w:bCs w:val="0"/>
          <w:color w:val="auto"/>
          <w:kern w:val="0"/>
          <w:sz w:val="44"/>
        </w:rPr>
        <w:t>中央生态环境保护督察群众信访举报边督边改公开情况一览表</w:t>
      </w:r>
    </w:p>
    <w:p w14:paraId="6F1C7AEE">
      <w:pPr>
        <w:wordWrap w:val="0"/>
        <w:jc w:val="right"/>
      </w:pPr>
      <w:r>
        <w:rPr>
          <w:rFonts w:hint="eastAsia" w:ascii="仿宋" w:hAnsi="仿宋" w:eastAsia="仿宋"/>
          <w:b w:val="0"/>
          <w:bCs w:val="0"/>
          <w:color w:val="auto"/>
          <w:kern w:val="0"/>
          <w:sz w:val="24"/>
        </w:rPr>
        <w:t>（第</w:t>
      </w:r>
      <w:r>
        <w:rPr>
          <w:rFonts w:hint="eastAsia" w:ascii="仿宋" w:hAnsi="仿宋" w:eastAsia="仿宋"/>
          <w:b w:val="0"/>
          <w:bCs w:val="0"/>
          <w:color w:val="auto"/>
          <w:kern w:val="0"/>
          <w:sz w:val="24"/>
          <w:lang w:val="en-US" w:eastAsia="zh-CN"/>
        </w:rPr>
        <w:t>32</w:t>
      </w:r>
      <w:r>
        <w:rPr>
          <w:rFonts w:hint="eastAsia" w:ascii="仿宋" w:hAnsi="仿宋" w:eastAsia="仿宋"/>
          <w:b w:val="0"/>
          <w:bCs w:val="0"/>
          <w:color w:val="auto"/>
          <w:kern w:val="0"/>
          <w:sz w:val="24"/>
        </w:rPr>
        <w:t>批 2022年</w:t>
      </w:r>
      <w:r>
        <w:rPr>
          <w:rFonts w:hint="eastAsia" w:ascii="仿宋" w:hAnsi="仿宋" w:eastAsia="仿宋"/>
          <w:b w:val="0"/>
          <w:bCs w:val="0"/>
          <w:color w:val="auto"/>
          <w:kern w:val="0"/>
          <w:sz w:val="24"/>
          <w:lang w:val="en-US" w:eastAsia="zh-CN"/>
        </w:rPr>
        <w:t>5</w:t>
      </w:r>
      <w:r>
        <w:rPr>
          <w:rFonts w:hint="eastAsia" w:ascii="仿宋" w:hAnsi="仿宋" w:eastAsia="仿宋"/>
          <w:b w:val="0"/>
          <w:bCs w:val="0"/>
          <w:color w:val="auto"/>
          <w:kern w:val="0"/>
          <w:sz w:val="24"/>
        </w:rPr>
        <w:t>月</w:t>
      </w:r>
      <w:r>
        <w:rPr>
          <w:rFonts w:hint="eastAsia" w:ascii="仿宋" w:hAnsi="仿宋" w:eastAsia="仿宋"/>
          <w:b w:val="0"/>
          <w:bCs w:val="0"/>
          <w:color w:val="auto"/>
          <w:kern w:val="0"/>
          <w:sz w:val="24"/>
          <w:lang w:val="en-US" w:eastAsia="zh-CN"/>
        </w:rPr>
        <w:t>4</w:t>
      </w:r>
      <w:r>
        <w:rPr>
          <w:rFonts w:hint="eastAsia" w:ascii="仿宋" w:hAnsi="仿宋" w:eastAsia="仿宋"/>
          <w:b w:val="0"/>
          <w:bCs w:val="0"/>
          <w:color w:val="auto"/>
          <w:kern w:val="0"/>
          <w:sz w:val="24"/>
        </w:rPr>
        <w:t>日）</w:t>
      </w:r>
    </w:p>
    <w:tbl>
      <w:tblPr>
        <w:tblStyle w:val="16"/>
        <w:tblpPr w:leftFromText="180" w:rightFromText="180" w:vertAnchor="text" w:horzAnchor="page" w:tblpX="1539" w:tblpY="304"/>
        <w:tblOverlap w:val="never"/>
        <w:tblW w:w="0" w:type="auto"/>
        <w:tblInd w:w="0" w:type="dxa"/>
        <w:tblLayout w:type="fixed"/>
        <w:tblCellMar>
          <w:top w:w="0" w:type="dxa"/>
          <w:left w:w="108" w:type="dxa"/>
          <w:bottom w:w="0" w:type="dxa"/>
          <w:right w:w="108" w:type="dxa"/>
        </w:tblCellMar>
      </w:tblPr>
      <w:tblGrid>
        <w:gridCol w:w="572"/>
        <w:gridCol w:w="710"/>
        <w:gridCol w:w="2146"/>
        <w:gridCol w:w="732"/>
        <w:gridCol w:w="725"/>
        <w:gridCol w:w="9234"/>
        <w:gridCol w:w="728"/>
        <w:gridCol w:w="4140"/>
        <w:gridCol w:w="721"/>
        <w:gridCol w:w="1238"/>
      </w:tblGrid>
      <w:tr w14:paraId="4FDB6CF0">
        <w:tblPrEx>
          <w:tblCellMar>
            <w:top w:w="0" w:type="dxa"/>
            <w:left w:w="108" w:type="dxa"/>
            <w:bottom w:w="0" w:type="dxa"/>
            <w:right w:w="108" w:type="dxa"/>
          </w:tblCellMar>
        </w:tblPrEx>
        <w:trPr>
          <w:cantSplit/>
          <w:trHeight w:val="1134" w:hRule="atLeast"/>
          <w:tblHeader/>
        </w:trPr>
        <w:tc>
          <w:tcPr>
            <w:tcW w:w="57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14:paraId="078E96D0">
            <w:pPr>
              <w:jc w:val="center"/>
              <w:rPr>
                <w:rFonts w:hint="eastAsia" w:ascii="黑体" w:hAnsi="黑体" w:eastAsia="黑体" w:cs="黑体"/>
                <w:sz w:val="24"/>
                <w:szCs w:val="24"/>
              </w:rPr>
            </w:pPr>
            <w:r>
              <w:rPr>
                <w:rFonts w:hint="eastAsia" w:ascii="黑体" w:hAnsi="黑体" w:eastAsia="黑体" w:cs="黑体"/>
                <w:sz w:val="24"/>
                <w:szCs w:val="24"/>
                <w:lang w:val="en-US" w:eastAsia="zh-CN"/>
              </w:rPr>
              <w:t>序号</w:t>
            </w:r>
          </w:p>
        </w:tc>
        <w:tc>
          <w:tcPr>
            <w:tcW w:w="71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14:paraId="121E790B">
            <w:pPr>
              <w:jc w:val="center"/>
              <w:rPr>
                <w:rFonts w:hint="eastAsia" w:ascii="黑体" w:hAnsi="黑体" w:eastAsia="黑体" w:cs="黑体"/>
                <w:sz w:val="24"/>
                <w:szCs w:val="24"/>
              </w:rPr>
            </w:pPr>
            <w:r>
              <w:rPr>
                <w:rFonts w:hint="eastAsia" w:ascii="黑体" w:hAnsi="黑体" w:eastAsia="黑体" w:cs="黑体"/>
                <w:sz w:val="24"/>
                <w:szCs w:val="24"/>
              </w:rPr>
              <w:t>受理</w:t>
            </w:r>
          </w:p>
          <w:p w14:paraId="160E43B7">
            <w:pPr>
              <w:jc w:val="center"/>
              <w:rPr>
                <w:rFonts w:hint="eastAsia" w:ascii="黑体" w:hAnsi="黑体" w:eastAsia="黑体" w:cs="黑体"/>
                <w:sz w:val="24"/>
                <w:szCs w:val="24"/>
              </w:rPr>
            </w:pPr>
            <w:r>
              <w:rPr>
                <w:rFonts w:hint="eastAsia" w:ascii="黑体" w:hAnsi="黑体" w:eastAsia="黑体" w:cs="黑体"/>
                <w:sz w:val="24"/>
                <w:szCs w:val="24"/>
              </w:rPr>
              <w:t>编号</w:t>
            </w:r>
          </w:p>
        </w:tc>
        <w:tc>
          <w:tcPr>
            <w:tcW w:w="214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14:paraId="20A881C5">
            <w:pPr>
              <w:jc w:val="center"/>
              <w:rPr>
                <w:rFonts w:hint="eastAsia" w:ascii="黑体" w:hAnsi="黑体" w:eastAsia="黑体" w:cs="黑体"/>
                <w:sz w:val="24"/>
                <w:szCs w:val="24"/>
              </w:rPr>
            </w:pPr>
            <w:r>
              <w:rPr>
                <w:rFonts w:hint="eastAsia" w:ascii="黑体" w:hAnsi="黑体" w:eastAsia="黑体" w:cs="黑体"/>
                <w:sz w:val="24"/>
                <w:szCs w:val="24"/>
              </w:rPr>
              <w:t>交办问题基本情况</w:t>
            </w:r>
          </w:p>
        </w:tc>
        <w:tc>
          <w:tcPr>
            <w:tcW w:w="73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14:paraId="0392EADA">
            <w:pPr>
              <w:jc w:val="center"/>
              <w:rPr>
                <w:rFonts w:hint="eastAsia" w:ascii="黑体" w:hAnsi="黑体" w:eastAsia="黑体" w:cs="黑体"/>
                <w:sz w:val="24"/>
                <w:szCs w:val="24"/>
              </w:rPr>
            </w:pPr>
            <w:r>
              <w:rPr>
                <w:rFonts w:hint="eastAsia" w:ascii="黑体" w:hAnsi="黑体" w:eastAsia="黑体" w:cs="黑体"/>
                <w:sz w:val="24"/>
                <w:szCs w:val="24"/>
              </w:rPr>
              <w:t>行政区域</w:t>
            </w:r>
          </w:p>
        </w:tc>
        <w:tc>
          <w:tcPr>
            <w:tcW w:w="7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14:paraId="3B004196">
            <w:pPr>
              <w:jc w:val="center"/>
              <w:rPr>
                <w:rFonts w:hint="eastAsia" w:ascii="黑体" w:hAnsi="黑体" w:eastAsia="黑体" w:cs="黑体"/>
                <w:sz w:val="24"/>
                <w:szCs w:val="24"/>
              </w:rPr>
            </w:pPr>
            <w:r>
              <w:rPr>
                <w:rFonts w:hint="eastAsia" w:ascii="黑体" w:hAnsi="黑体" w:eastAsia="黑体" w:cs="黑体"/>
                <w:sz w:val="24"/>
                <w:szCs w:val="24"/>
              </w:rPr>
              <w:t>污染类型</w:t>
            </w:r>
          </w:p>
        </w:tc>
        <w:tc>
          <w:tcPr>
            <w:tcW w:w="9234" w:type="dxa"/>
            <w:tcBorders>
              <w:top w:val="single" w:color="000000" w:sz="4" w:space="0"/>
              <w:left w:val="single" w:color="000000" w:sz="4" w:space="0"/>
              <w:bottom w:val="single" w:color="000000" w:sz="4" w:space="0"/>
              <w:right w:val="single" w:color="auto" w:sz="4" w:space="0"/>
              <w:tl2br w:val="nil"/>
              <w:tr2bl w:val="nil"/>
            </w:tcBorders>
            <w:noWrap w:val="0"/>
            <w:vAlign w:val="center"/>
          </w:tcPr>
          <w:p w14:paraId="4E462CFA">
            <w:pPr>
              <w:jc w:val="center"/>
              <w:rPr>
                <w:rFonts w:hint="eastAsia" w:ascii="黑体" w:hAnsi="黑体" w:eastAsia="黑体" w:cs="黑体"/>
                <w:sz w:val="24"/>
                <w:szCs w:val="24"/>
              </w:rPr>
            </w:pPr>
            <w:r>
              <w:rPr>
                <w:rFonts w:hint="eastAsia" w:ascii="黑体" w:hAnsi="黑体" w:eastAsia="黑体" w:cs="黑体"/>
                <w:sz w:val="24"/>
                <w:szCs w:val="24"/>
              </w:rPr>
              <w:t>调查核实情况</w:t>
            </w:r>
          </w:p>
        </w:tc>
        <w:tc>
          <w:tcPr>
            <w:tcW w:w="728"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F4407F1">
            <w:pPr>
              <w:jc w:val="center"/>
              <w:rPr>
                <w:rFonts w:hint="eastAsia" w:ascii="黑体" w:hAnsi="黑体" w:eastAsia="黑体" w:cs="黑体"/>
                <w:sz w:val="24"/>
                <w:szCs w:val="24"/>
                <w:lang w:eastAsia="zh-CN"/>
              </w:rPr>
            </w:pPr>
            <w:r>
              <w:rPr>
                <w:rFonts w:hint="eastAsia" w:ascii="黑体" w:hAnsi="黑体" w:eastAsia="黑体" w:cs="黑体"/>
                <w:sz w:val="24"/>
                <w:szCs w:val="24"/>
                <w:lang w:eastAsia="zh-CN"/>
              </w:rPr>
              <w:t>是否属实</w:t>
            </w:r>
          </w:p>
        </w:tc>
        <w:tc>
          <w:tcPr>
            <w:tcW w:w="4140" w:type="dxa"/>
            <w:tcBorders>
              <w:top w:val="single" w:color="000000" w:sz="4" w:space="0"/>
              <w:left w:val="single" w:color="auto" w:sz="4" w:space="0"/>
              <w:bottom w:val="single" w:color="000000" w:sz="4" w:space="0"/>
              <w:right w:val="single" w:color="000000" w:sz="4" w:space="0"/>
              <w:tl2br w:val="nil"/>
              <w:tr2bl w:val="nil"/>
            </w:tcBorders>
            <w:noWrap w:val="0"/>
            <w:vAlign w:val="center"/>
          </w:tcPr>
          <w:p w14:paraId="2C021C24">
            <w:pPr>
              <w:jc w:val="center"/>
              <w:rPr>
                <w:rFonts w:hint="eastAsia" w:ascii="黑体" w:hAnsi="黑体" w:eastAsia="黑体" w:cs="黑体"/>
                <w:sz w:val="24"/>
                <w:szCs w:val="24"/>
              </w:rPr>
            </w:pPr>
            <w:r>
              <w:rPr>
                <w:rFonts w:hint="eastAsia" w:ascii="黑体" w:hAnsi="黑体" w:eastAsia="黑体" w:cs="黑体"/>
                <w:sz w:val="24"/>
                <w:szCs w:val="24"/>
              </w:rPr>
              <w:t>处理和整改情况</w:t>
            </w:r>
          </w:p>
        </w:tc>
        <w:tc>
          <w:tcPr>
            <w:tcW w:w="7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14:paraId="798E4CA2">
            <w:pPr>
              <w:jc w:val="center"/>
              <w:rPr>
                <w:rFonts w:hint="eastAsia" w:ascii="黑体" w:hAnsi="黑体" w:eastAsia="黑体" w:cs="黑体"/>
                <w:sz w:val="24"/>
                <w:szCs w:val="24"/>
              </w:rPr>
            </w:pPr>
            <w:r>
              <w:rPr>
                <w:rFonts w:hint="eastAsia" w:ascii="黑体" w:hAnsi="黑体" w:eastAsia="黑体" w:cs="黑体"/>
                <w:sz w:val="24"/>
                <w:szCs w:val="24"/>
              </w:rPr>
              <w:t>是否</w:t>
            </w:r>
          </w:p>
          <w:p w14:paraId="0C4BF192">
            <w:pPr>
              <w:jc w:val="center"/>
              <w:rPr>
                <w:rFonts w:hint="eastAsia" w:ascii="黑体" w:hAnsi="黑体" w:eastAsia="黑体" w:cs="黑体"/>
                <w:sz w:val="24"/>
                <w:szCs w:val="24"/>
              </w:rPr>
            </w:pPr>
            <w:r>
              <w:rPr>
                <w:rFonts w:hint="eastAsia" w:ascii="黑体" w:hAnsi="黑体" w:eastAsia="黑体" w:cs="黑体"/>
                <w:sz w:val="24"/>
                <w:szCs w:val="24"/>
              </w:rPr>
              <w:t>办结</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14:paraId="2AACEF58">
            <w:pPr>
              <w:jc w:val="center"/>
              <w:rPr>
                <w:rFonts w:hint="eastAsia" w:ascii="黑体" w:hAnsi="黑体" w:eastAsia="黑体" w:cs="黑体"/>
                <w:sz w:val="24"/>
                <w:szCs w:val="24"/>
              </w:rPr>
            </w:pPr>
            <w:r>
              <w:rPr>
                <w:rFonts w:hint="eastAsia" w:ascii="黑体" w:hAnsi="黑体" w:eastAsia="黑体" w:cs="黑体"/>
                <w:sz w:val="24"/>
                <w:szCs w:val="24"/>
              </w:rPr>
              <w:t>责任人被处理情况</w:t>
            </w:r>
          </w:p>
        </w:tc>
      </w:tr>
      <w:tr w14:paraId="20818EE3">
        <w:tblPrEx>
          <w:tblCellMar>
            <w:top w:w="0" w:type="dxa"/>
            <w:left w:w="108" w:type="dxa"/>
            <w:bottom w:w="0" w:type="dxa"/>
            <w:right w:w="108" w:type="dxa"/>
          </w:tblCellMar>
        </w:tblPrEx>
        <w:trPr>
          <w:trHeight w:val="1792" w:hRule="atLeast"/>
        </w:trPr>
        <w:tc>
          <w:tcPr>
            <w:tcW w:w="57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14:paraId="2DA98EE7">
            <w:pPr>
              <w:jc w:val="center"/>
              <w:rPr>
                <w:rFonts w:hint="default" w:ascii="宋体" w:hAnsi="宋体" w:eastAsia="宋体" w:cs="宋体"/>
                <w:sz w:val="20"/>
                <w:szCs w:val="20"/>
                <w:lang w:val="en-US" w:eastAsia="zh-CN"/>
              </w:rPr>
            </w:pPr>
            <w:r>
              <w:rPr>
                <w:rFonts w:hint="eastAsia" w:ascii="宋体" w:hAnsi="宋体" w:cs="宋体"/>
                <w:sz w:val="20"/>
                <w:szCs w:val="20"/>
                <w:lang w:val="en-US" w:eastAsia="zh-CN"/>
              </w:rPr>
              <w:t>1</w:t>
            </w:r>
          </w:p>
        </w:tc>
        <w:tc>
          <w:tcPr>
            <w:tcW w:w="71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14:paraId="3CE548F2">
            <w:pPr>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D2NM202204250059</w:t>
            </w:r>
          </w:p>
        </w:tc>
        <w:tc>
          <w:tcPr>
            <w:tcW w:w="214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14:paraId="4DBACAB2">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群众投诉反应：“锡林郭勒盟锡林浩特市锡林金街祥和家苑小区5、6号楼后有一个垃圾转运站，离住户特别近，而且清理不及时，垃圾经常堆积，异味特别严重，夜间经常有转运作业，</w:t>
            </w:r>
            <w:r>
              <w:rPr>
                <w:rFonts w:hint="eastAsia" w:ascii="宋体" w:hAnsi="宋体" w:cs="宋体"/>
                <w:sz w:val="20"/>
                <w:szCs w:val="20"/>
                <w:lang w:val="en-US" w:eastAsia="zh-CN"/>
              </w:rPr>
              <w:t>噪声污染</w:t>
            </w:r>
            <w:r>
              <w:rPr>
                <w:rFonts w:hint="eastAsia" w:ascii="宋体" w:hAnsi="宋体" w:eastAsia="宋体" w:cs="宋体"/>
                <w:sz w:val="20"/>
                <w:szCs w:val="20"/>
                <w:lang w:val="en-US" w:eastAsia="zh-CN"/>
              </w:rPr>
              <w:t>严重”的问题。</w:t>
            </w:r>
          </w:p>
        </w:tc>
        <w:tc>
          <w:tcPr>
            <w:tcW w:w="732"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14:paraId="405ADC4C">
            <w:pPr>
              <w:ind w:left="113"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锡林郭勒盟</w:t>
            </w:r>
          </w:p>
        </w:tc>
        <w:tc>
          <w:tcPr>
            <w:tcW w:w="725"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14:paraId="488AFC38">
            <w:pPr>
              <w:ind w:left="113"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大气，噪音，土壤</w:t>
            </w:r>
          </w:p>
        </w:tc>
        <w:tc>
          <w:tcPr>
            <w:tcW w:w="9234" w:type="dxa"/>
            <w:tcBorders>
              <w:top w:val="single" w:color="000000" w:sz="4" w:space="0"/>
              <w:left w:val="single" w:color="000000" w:sz="4" w:space="0"/>
              <w:bottom w:val="single" w:color="000000" w:sz="4" w:space="0"/>
              <w:right w:val="single" w:color="auto" w:sz="4" w:space="0"/>
              <w:tl2br w:val="nil"/>
              <w:tr2bl w:val="nil"/>
            </w:tcBorders>
            <w:noWrap w:val="0"/>
            <w:vAlign w:val="center"/>
          </w:tcPr>
          <w:p w14:paraId="1ABC0F3B">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经核查，群众反映的垃圾转运站为锡林浩特市环境卫生服务中心巴达日呼垃圾转运站，2005年建成投用，日处理量约10吨。该站位于祥和家苑小区东区北侧，投诉人所反映的5、6号楼为距离垃圾站最近的居民楼，直线距离约20米。站内安排专人，采取人工方式，使用高效氯氰菊酯和战影卫大夫药剂，每周进行三次消杀和除异味，符合住建部《生活垃圾转运站技术规范》（CJJ/T47-2016）有关标准。4月27日，已委托第三方检测公司进行异味检测，预计5月7日出具检测报告。</w:t>
            </w:r>
          </w:p>
          <w:p w14:paraId="69A289B5">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该站工作时间为上午6:30至12:00、</w:t>
            </w:r>
            <w:r>
              <w:rPr>
                <w:rFonts w:hint="eastAsia" w:ascii="宋体" w:hAnsi="宋体" w:cs="宋体"/>
                <w:sz w:val="20"/>
                <w:szCs w:val="20"/>
                <w:lang w:val="en-US" w:eastAsia="zh-CN"/>
              </w:rPr>
              <w:t>下午2点</w:t>
            </w:r>
            <w:r>
              <w:rPr>
                <w:rFonts w:hint="eastAsia" w:ascii="宋体" w:hAnsi="宋体" w:eastAsia="宋体" w:cs="宋体"/>
                <w:sz w:val="20"/>
                <w:szCs w:val="20"/>
                <w:lang w:val="en-US" w:eastAsia="zh-CN"/>
              </w:rPr>
              <w:t>至17:30，每日早7：00统一清运垃圾，若垃圾量较多，则调整清运频次，在工作时间内及时清运，不存在夜间转运作业情况。但在垃圾量较少情况下，确实存在垃圾在站过夜现象，一定程度会产生异味。每日关站后，对站内及周边环境卫生集中清扫。在转运垃圾时，每次装卸作业时长约5分钟，但车辆、机械作业声响较大。为此，根据该站运行需求，已将上午工作结束时间提前至11:30、下午开始时间延迟至14：30，最大限度减少对周边居民午间休息的影响。</w:t>
            </w:r>
          </w:p>
          <w:p w14:paraId="3D8A985A">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走访调查发现，该站西侧设有祥和家苑小区生活垃圾收集桶，存在随意倾倒、丢弃垃圾现象。4月27日，杭盖街道办事处已完成清理。锡林浩特市责令街道办事处，加密周边小区环境卫生日常巡查频次，发现生活垃圾随意堆存现象，立即组织清运。</w:t>
            </w:r>
          </w:p>
        </w:tc>
        <w:tc>
          <w:tcPr>
            <w:tcW w:w="728" w:type="dxa"/>
            <w:tcBorders>
              <w:top w:val="single" w:color="auto" w:sz="4" w:space="0"/>
              <w:left w:val="single" w:color="auto" w:sz="4" w:space="0"/>
              <w:bottom w:val="single" w:color="auto" w:sz="4" w:space="0"/>
              <w:right w:val="single" w:color="auto" w:sz="4" w:space="0"/>
              <w:tl2br w:val="nil"/>
              <w:tr2bl w:val="nil"/>
            </w:tcBorders>
            <w:noWrap w:val="0"/>
            <w:textDirection w:val="tbLrV"/>
            <w:vAlign w:val="center"/>
          </w:tcPr>
          <w:p w14:paraId="63712A9B">
            <w:pPr>
              <w:ind w:left="113"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noWrap w:val="0"/>
            <w:vAlign w:val="center"/>
          </w:tcPr>
          <w:p w14:paraId="72A35043">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下一步，一是在该区域选址新建压缩式转运站，预计2022年11月底建成后，停用现有转运站，从源头减少对周边居民影响。在新建垃圾站投用前，对该站周边垃圾每日清扫，每日开展消杀、除异味作业。二是选取有意愿、有实力的物业企业进驻祥和家苑小区，做好服务管理，引导居民自觉定点投放生活垃圾，共同维护良好居住环境。三是做好群众走访工作，及时解答群众关注问题，依法依规解决群众合理诉求。</w:t>
            </w:r>
          </w:p>
        </w:tc>
        <w:tc>
          <w:tcPr>
            <w:tcW w:w="721"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14:paraId="0F7260DE">
            <w:pPr>
              <w:ind w:left="113"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14:paraId="2C87A0B2">
            <w:pPr>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无</w:t>
            </w:r>
          </w:p>
        </w:tc>
      </w:tr>
    </w:tbl>
    <w:p w14:paraId="0D8F2FBE">
      <w:pPr>
        <w:pStyle w:val="5"/>
        <w:rPr>
          <w:rFonts w:hint="eastAsia"/>
          <w:color w:val="auto"/>
        </w:rPr>
      </w:pPr>
    </w:p>
    <w:sectPr>
      <w:pgSz w:w="23811" w:h="16838" w:orient="landscape"/>
      <w:pgMar w:top="1134" w:right="1440" w:bottom="1134"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doNotValidateAgainstSchema/>
  <w:doNotDemarcateInvalidXml/>
  <w:footnotePr>
    <w:footnote w:id="0"/>
    <w:footnote w:id="1"/>
  </w:foot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ViM2I2YjQ1MmRjZDkwMTlhOTYzNTUwNTE0ZTlmNDEifQ=="/>
  </w:docVars>
  <w:rsids>
    <w:rsidRoot w:val="00172A27"/>
    <w:rsid w:val="002F427D"/>
    <w:rsid w:val="004F2AEE"/>
    <w:rsid w:val="007201D9"/>
    <w:rsid w:val="00C467C6"/>
    <w:rsid w:val="01E724B4"/>
    <w:rsid w:val="022D740E"/>
    <w:rsid w:val="02761F5A"/>
    <w:rsid w:val="029666F6"/>
    <w:rsid w:val="031F62AF"/>
    <w:rsid w:val="03337134"/>
    <w:rsid w:val="0376524D"/>
    <w:rsid w:val="03AA6382"/>
    <w:rsid w:val="03C37ED2"/>
    <w:rsid w:val="03EC63C9"/>
    <w:rsid w:val="04230D52"/>
    <w:rsid w:val="042973A7"/>
    <w:rsid w:val="046E5326"/>
    <w:rsid w:val="04AA1BDF"/>
    <w:rsid w:val="0541248F"/>
    <w:rsid w:val="05934E72"/>
    <w:rsid w:val="061B11E8"/>
    <w:rsid w:val="0737091A"/>
    <w:rsid w:val="07926EDC"/>
    <w:rsid w:val="07FC1A2E"/>
    <w:rsid w:val="086662A7"/>
    <w:rsid w:val="08A850E1"/>
    <w:rsid w:val="09D313E2"/>
    <w:rsid w:val="09E61312"/>
    <w:rsid w:val="0A792A63"/>
    <w:rsid w:val="0ACE6829"/>
    <w:rsid w:val="0ADE4913"/>
    <w:rsid w:val="0B0C7351"/>
    <w:rsid w:val="0B5D5338"/>
    <w:rsid w:val="0B626F71"/>
    <w:rsid w:val="0BD4628E"/>
    <w:rsid w:val="0BE02D3B"/>
    <w:rsid w:val="0C0E5053"/>
    <w:rsid w:val="0C601702"/>
    <w:rsid w:val="0C785CE1"/>
    <w:rsid w:val="0C7D4D2E"/>
    <w:rsid w:val="0C8436C3"/>
    <w:rsid w:val="0D834EE9"/>
    <w:rsid w:val="0DD7058C"/>
    <w:rsid w:val="0E372937"/>
    <w:rsid w:val="0EB355FD"/>
    <w:rsid w:val="0EEF7F38"/>
    <w:rsid w:val="0F0314C9"/>
    <w:rsid w:val="0F9848F1"/>
    <w:rsid w:val="0F9F636F"/>
    <w:rsid w:val="101D36EA"/>
    <w:rsid w:val="104853E6"/>
    <w:rsid w:val="105E23FD"/>
    <w:rsid w:val="10CA4947"/>
    <w:rsid w:val="10EE3D58"/>
    <w:rsid w:val="11C2568C"/>
    <w:rsid w:val="11F272A1"/>
    <w:rsid w:val="12241DEC"/>
    <w:rsid w:val="131B6B83"/>
    <w:rsid w:val="137839EF"/>
    <w:rsid w:val="14AB1989"/>
    <w:rsid w:val="14D71823"/>
    <w:rsid w:val="153A3AD2"/>
    <w:rsid w:val="156222A6"/>
    <w:rsid w:val="163B77B8"/>
    <w:rsid w:val="16876302"/>
    <w:rsid w:val="17463BEB"/>
    <w:rsid w:val="178F7340"/>
    <w:rsid w:val="18FD426B"/>
    <w:rsid w:val="19603882"/>
    <w:rsid w:val="19A62205"/>
    <w:rsid w:val="19C54C0F"/>
    <w:rsid w:val="19ED5EC7"/>
    <w:rsid w:val="1A774194"/>
    <w:rsid w:val="1B60171F"/>
    <w:rsid w:val="1C9B0535"/>
    <w:rsid w:val="1CCD4266"/>
    <w:rsid w:val="1D40430A"/>
    <w:rsid w:val="1DEC1665"/>
    <w:rsid w:val="1E5135A1"/>
    <w:rsid w:val="1ECC0A24"/>
    <w:rsid w:val="1ED639AC"/>
    <w:rsid w:val="1F126AC2"/>
    <w:rsid w:val="202B59E2"/>
    <w:rsid w:val="20DB01C7"/>
    <w:rsid w:val="20FA1CCE"/>
    <w:rsid w:val="21DF7DD7"/>
    <w:rsid w:val="220B17A9"/>
    <w:rsid w:val="23A84E28"/>
    <w:rsid w:val="23B343B6"/>
    <w:rsid w:val="245E4EC9"/>
    <w:rsid w:val="2461734A"/>
    <w:rsid w:val="247104F9"/>
    <w:rsid w:val="24E82C83"/>
    <w:rsid w:val="24F750CD"/>
    <w:rsid w:val="250A44A9"/>
    <w:rsid w:val="266E5C97"/>
    <w:rsid w:val="26A34CAF"/>
    <w:rsid w:val="26D05377"/>
    <w:rsid w:val="276353BB"/>
    <w:rsid w:val="2764723C"/>
    <w:rsid w:val="278D39F6"/>
    <w:rsid w:val="28976054"/>
    <w:rsid w:val="29556CCF"/>
    <w:rsid w:val="29957303"/>
    <w:rsid w:val="29E07E9C"/>
    <w:rsid w:val="2A946CEF"/>
    <w:rsid w:val="2B2B78CB"/>
    <w:rsid w:val="2B7E692D"/>
    <w:rsid w:val="2BE617CC"/>
    <w:rsid w:val="2C9128D6"/>
    <w:rsid w:val="2C944AFD"/>
    <w:rsid w:val="2E9D3FDD"/>
    <w:rsid w:val="2F2357DB"/>
    <w:rsid w:val="2F7E0DD0"/>
    <w:rsid w:val="2FE07114"/>
    <w:rsid w:val="30EE0767"/>
    <w:rsid w:val="322A19E4"/>
    <w:rsid w:val="32497E6B"/>
    <w:rsid w:val="32757FE6"/>
    <w:rsid w:val="33570B76"/>
    <w:rsid w:val="33752B2D"/>
    <w:rsid w:val="33DE6FB0"/>
    <w:rsid w:val="34294E9F"/>
    <w:rsid w:val="34642809"/>
    <w:rsid w:val="346825B6"/>
    <w:rsid w:val="358979B9"/>
    <w:rsid w:val="36056CF3"/>
    <w:rsid w:val="36C821F7"/>
    <w:rsid w:val="37046FAB"/>
    <w:rsid w:val="37277DE7"/>
    <w:rsid w:val="384829D0"/>
    <w:rsid w:val="3894354B"/>
    <w:rsid w:val="38BA4C91"/>
    <w:rsid w:val="39074B30"/>
    <w:rsid w:val="395C34D5"/>
    <w:rsid w:val="3A03179B"/>
    <w:rsid w:val="3A23618E"/>
    <w:rsid w:val="3A670E49"/>
    <w:rsid w:val="3AD252C3"/>
    <w:rsid w:val="3B7B1805"/>
    <w:rsid w:val="3BFC3324"/>
    <w:rsid w:val="3C8B250B"/>
    <w:rsid w:val="3D354402"/>
    <w:rsid w:val="3DBE1A18"/>
    <w:rsid w:val="3E874C97"/>
    <w:rsid w:val="3E975D85"/>
    <w:rsid w:val="3EB71FB6"/>
    <w:rsid w:val="3ECE62F0"/>
    <w:rsid w:val="3F285D49"/>
    <w:rsid w:val="3FCF485A"/>
    <w:rsid w:val="3FE54E65"/>
    <w:rsid w:val="3FF9513B"/>
    <w:rsid w:val="411918A4"/>
    <w:rsid w:val="419C0587"/>
    <w:rsid w:val="41C44885"/>
    <w:rsid w:val="41DD0428"/>
    <w:rsid w:val="42663757"/>
    <w:rsid w:val="428B1C17"/>
    <w:rsid w:val="428B3C42"/>
    <w:rsid w:val="42C230FD"/>
    <w:rsid w:val="43956A04"/>
    <w:rsid w:val="44242FC1"/>
    <w:rsid w:val="444B2926"/>
    <w:rsid w:val="4513485D"/>
    <w:rsid w:val="45AD1E82"/>
    <w:rsid w:val="45F53823"/>
    <w:rsid w:val="46284338"/>
    <w:rsid w:val="464C20DC"/>
    <w:rsid w:val="46AE3B8B"/>
    <w:rsid w:val="46D30747"/>
    <w:rsid w:val="48023D6D"/>
    <w:rsid w:val="48042E78"/>
    <w:rsid w:val="484F3DFE"/>
    <w:rsid w:val="48CC36A0"/>
    <w:rsid w:val="48FA2106"/>
    <w:rsid w:val="49A31568"/>
    <w:rsid w:val="49F216E7"/>
    <w:rsid w:val="4A1B3325"/>
    <w:rsid w:val="4A3D2BE0"/>
    <w:rsid w:val="4A6D4A0F"/>
    <w:rsid w:val="4A791606"/>
    <w:rsid w:val="4BC10C51"/>
    <w:rsid w:val="4C904F4C"/>
    <w:rsid w:val="4CAF3E21"/>
    <w:rsid w:val="4D06634C"/>
    <w:rsid w:val="4D5123C6"/>
    <w:rsid w:val="4D752730"/>
    <w:rsid w:val="4D7F7D7C"/>
    <w:rsid w:val="4D9D385D"/>
    <w:rsid w:val="4DD86643"/>
    <w:rsid w:val="4E96731C"/>
    <w:rsid w:val="4E9E788D"/>
    <w:rsid w:val="4ED20BEB"/>
    <w:rsid w:val="4EED4AD2"/>
    <w:rsid w:val="4F24454E"/>
    <w:rsid w:val="4F2F6737"/>
    <w:rsid w:val="4F3F2653"/>
    <w:rsid w:val="4F4C6AE6"/>
    <w:rsid w:val="4F746578"/>
    <w:rsid w:val="4F9517EC"/>
    <w:rsid w:val="4FBF252F"/>
    <w:rsid w:val="4FCB6460"/>
    <w:rsid w:val="509D5617"/>
    <w:rsid w:val="50BF4FED"/>
    <w:rsid w:val="51476482"/>
    <w:rsid w:val="51D412F6"/>
    <w:rsid w:val="527E6B12"/>
    <w:rsid w:val="52EF42F1"/>
    <w:rsid w:val="53B0506E"/>
    <w:rsid w:val="541A7FB6"/>
    <w:rsid w:val="54B855BE"/>
    <w:rsid w:val="55572544"/>
    <w:rsid w:val="565175FF"/>
    <w:rsid w:val="571B0D2A"/>
    <w:rsid w:val="57E72E3F"/>
    <w:rsid w:val="57EE3FE4"/>
    <w:rsid w:val="584414A7"/>
    <w:rsid w:val="58880970"/>
    <w:rsid w:val="58DE6CF7"/>
    <w:rsid w:val="58FF730F"/>
    <w:rsid w:val="59286696"/>
    <w:rsid w:val="592D0334"/>
    <w:rsid w:val="5953795C"/>
    <w:rsid w:val="59D86349"/>
    <w:rsid w:val="59F04968"/>
    <w:rsid w:val="59F514B4"/>
    <w:rsid w:val="5A911AE0"/>
    <w:rsid w:val="5AF65DFD"/>
    <w:rsid w:val="5B6B43B1"/>
    <w:rsid w:val="5C14118E"/>
    <w:rsid w:val="5C7A36E7"/>
    <w:rsid w:val="5C8E5E6F"/>
    <w:rsid w:val="5C9B3D14"/>
    <w:rsid w:val="5C9F1EC7"/>
    <w:rsid w:val="5DA60021"/>
    <w:rsid w:val="5DCD545C"/>
    <w:rsid w:val="5DF8495F"/>
    <w:rsid w:val="5E224037"/>
    <w:rsid w:val="5E6E5BA9"/>
    <w:rsid w:val="5F0F2C9A"/>
    <w:rsid w:val="5FFF22A7"/>
    <w:rsid w:val="607641C6"/>
    <w:rsid w:val="60C16E5C"/>
    <w:rsid w:val="611E6F16"/>
    <w:rsid w:val="614940AB"/>
    <w:rsid w:val="616C5602"/>
    <w:rsid w:val="61B632BB"/>
    <w:rsid w:val="61ED6D3C"/>
    <w:rsid w:val="6260157C"/>
    <w:rsid w:val="6260609C"/>
    <w:rsid w:val="6290228F"/>
    <w:rsid w:val="62FF4946"/>
    <w:rsid w:val="63905DDA"/>
    <w:rsid w:val="651E3C01"/>
    <w:rsid w:val="65913850"/>
    <w:rsid w:val="66592B36"/>
    <w:rsid w:val="66B15CF5"/>
    <w:rsid w:val="66EF2B81"/>
    <w:rsid w:val="67632F3A"/>
    <w:rsid w:val="67694C01"/>
    <w:rsid w:val="685D1D6A"/>
    <w:rsid w:val="6A927061"/>
    <w:rsid w:val="6AD42215"/>
    <w:rsid w:val="6B4F4316"/>
    <w:rsid w:val="6B614B81"/>
    <w:rsid w:val="6B8579B3"/>
    <w:rsid w:val="6BDE0C9D"/>
    <w:rsid w:val="6CD81D64"/>
    <w:rsid w:val="6D3C7EFA"/>
    <w:rsid w:val="6D4A21CE"/>
    <w:rsid w:val="6E25722B"/>
    <w:rsid w:val="6E3E27A8"/>
    <w:rsid w:val="6E423939"/>
    <w:rsid w:val="6EC35D4A"/>
    <w:rsid w:val="6F690107"/>
    <w:rsid w:val="6FD8262E"/>
    <w:rsid w:val="70383062"/>
    <w:rsid w:val="70967F6C"/>
    <w:rsid w:val="70AF0705"/>
    <w:rsid w:val="70DB66B0"/>
    <w:rsid w:val="7105409D"/>
    <w:rsid w:val="71463740"/>
    <w:rsid w:val="715D3A61"/>
    <w:rsid w:val="718E5DB3"/>
    <w:rsid w:val="72403457"/>
    <w:rsid w:val="72B168CD"/>
    <w:rsid w:val="7337747D"/>
    <w:rsid w:val="739358D2"/>
    <w:rsid w:val="73A94701"/>
    <w:rsid w:val="748862C1"/>
    <w:rsid w:val="74A2206E"/>
    <w:rsid w:val="74F579ED"/>
    <w:rsid w:val="75607A57"/>
    <w:rsid w:val="75B50E95"/>
    <w:rsid w:val="75C80BC8"/>
    <w:rsid w:val="76F37B7F"/>
    <w:rsid w:val="7710549F"/>
    <w:rsid w:val="77EC2986"/>
    <w:rsid w:val="787A59E1"/>
    <w:rsid w:val="788F6C44"/>
    <w:rsid w:val="791E6F1F"/>
    <w:rsid w:val="792F146A"/>
    <w:rsid w:val="79555698"/>
    <w:rsid w:val="797D43BF"/>
    <w:rsid w:val="7A060275"/>
    <w:rsid w:val="7A2605B3"/>
    <w:rsid w:val="7A4F6836"/>
    <w:rsid w:val="7A9E639B"/>
    <w:rsid w:val="7AB23A7B"/>
    <w:rsid w:val="7B5543B1"/>
    <w:rsid w:val="7BE532AE"/>
    <w:rsid w:val="7C2130C5"/>
    <w:rsid w:val="7C4A4A58"/>
    <w:rsid w:val="7DA67C73"/>
    <w:rsid w:val="7E5E4A2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iPriority="99"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iPriority="0" w:semiHidden="0" w:name="Title"/>
    <w:lsdException w:qFormat="1" w:unhideWhenUsed="0" w:uiPriority="0" w:semiHidden="0" w:name="Closing"/>
    <w:lsdException w:qFormat="1" w:unhideWhenUsed="0" w:uiPriority="0" w:semiHidden="0" w:name="Signature"/>
    <w:lsdException w:qFormat="1" w:uiPriority="1" w:semiHidden="0" w:name="Default Paragraph Font"/>
    <w:lsdException w:qFormat="1" w:uiPriority="0" w:semiHidden="0" w:name="Body Text"/>
    <w:lsdException w:qFormat="1"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iPriority="0" w:semiHidden="0" w:name="Plain Text"/>
    <w:lsdException w:qFormat="1" w:unhideWhenUsed="0" w:uiPriority="0" w:semiHidden="0" w:name="E-mail Signature"/>
    <w:lsdException w:qFormat="1"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99" w:semiHidden="0" w:name="Normal Table"/>
    <w:lsdException w:qFormat="1" w:unhideWhenUsed="0" w:uiPriority="0" w:semiHidden="0" w:name="annotation subject"/>
    <w:lsdException w:qFormat="1" w:unhideWhenUsed="0" w:uiPriority="0" w:semiHidden="0" w:name="Table Simple 1"/>
    <w:lsdException w:qFormat="1" w:unhideWhenUsed="0" w:uiPriority="0" w:semiHidden="0" w:name="Table Simple 2"/>
    <w:lsdException w:qFormat="1" w:unhideWhenUsed="0" w:uiPriority="0" w:semiHidden="0" w:name="Table Simple 3"/>
    <w:lsdException w:qFormat="1" w:unhideWhenUsed="0" w:uiPriority="0" w:semiHidden="0" w:name="Table Classic 1"/>
    <w:lsdException w:qFormat="1" w:unhideWhenUsed="0" w:uiPriority="0" w:semiHidden="0" w:name="Table Classic 2"/>
    <w:lsdException w:qFormat="1" w:unhideWhenUsed="0" w:uiPriority="0" w:semiHidden="0" w:name="Table Classic 3"/>
    <w:lsdException w:qFormat="1" w:unhideWhenUsed="0" w:uiPriority="0" w:semiHidden="0" w:name="Table Classic 4"/>
    <w:lsdException w:qFormat="1" w:unhideWhenUsed="0" w:uiPriority="0" w:semiHidden="0" w:name="Table Colorful 1"/>
    <w:lsdException w:qFormat="1" w:unhideWhenUsed="0" w:uiPriority="0" w:semiHidden="0" w:name="Table Colorful 2"/>
    <w:lsdException w:qFormat="1" w:unhideWhenUsed="0" w:uiPriority="0" w:semiHidden="0" w:name="Table Colorful 3"/>
    <w:lsdException w:qFormat="1" w:unhideWhenUsed="0" w:uiPriority="0" w:semiHidden="0" w:name="Table Columns 1"/>
    <w:lsdException w:qFormat="1" w:unhideWhenUsed="0" w:uiPriority="0" w:semiHidden="0" w:name="Table Columns 2"/>
    <w:lsdException w:qFormat="1" w:unhideWhenUsed="0" w:uiPriority="0" w:semiHidden="0" w:name="Table Columns 3"/>
    <w:lsdException w:qFormat="1" w:unhideWhenUsed="0" w:uiPriority="0" w:semiHidden="0" w:name="Table Columns 4"/>
    <w:lsdException w:qFormat="1" w:unhideWhenUsed="0" w:uiPriority="0" w:semiHidden="0" w:name="Table Columns 5"/>
    <w:lsdException w:qFormat="1" w:unhideWhenUsed="0" w:uiPriority="0" w:semiHidden="0" w:name="Table Grid 1"/>
    <w:lsdException w:qFormat="1" w:unhideWhenUsed="0" w:uiPriority="0" w:semiHidden="0" w:name="Table Grid 2"/>
    <w:lsdException w:qFormat="1" w:unhideWhenUsed="0" w:uiPriority="0" w:semiHidden="0" w:name="Table Grid 3"/>
    <w:lsdException w:qFormat="1" w:unhideWhenUsed="0" w:uiPriority="0" w:semiHidden="0" w:name="Table Grid 4"/>
    <w:lsdException w:qFormat="1" w:unhideWhenUsed="0" w:uiPriority="0" w:semiHidden="0" w:name="Table Grid 5"/>
    <w:lsdException w:qFormat="1" w:unhideWhenUsed="0" w:uiPriority="0" w:semiHidden="0" w:name="Table Grid 6"/>
    <w:lsdException w:qFormat="1" w:unhideWhenUsed="0" w:uiPriority="0" w:semiHidden="0" w:name="Table Grid 7"/>
    <w:lsdException w:qFormat="1" w:unhideWhenUsed="0" w:uiPriority="0" w:semiHidden="0" w:name="Table Grid 8"/>
    <w:lsdException w:qFormat="1" w:unhideWhenUsed="0" w:uiPriority="0" w:semiHidden="0" w:name="Table List 1"/>
    <w:lsdException w:qFormat="1" w:unhideWhenUsed="0" w:uiPriority="0" w:semiHidden="0" w:name="Table List 2"/>
    <w:lsdException w:qFormat="1" w:unhideWhenUsed="0" w:uiPriority="0" w:semiHidden="0" w:name="Table List 3"/>
    <w:lsdException w:qFormat="1" w:unhideWhenUsed="0" w:uiPriority="0" w:semiHidden="0" w:name="Table List 4"/>
    <w:lsdException w:qFormat="1" w:unhideWhenUsed="0" w:uiPriority="0" w:semiHidden="0" w:name="Table List 5"/>
    <w:lsdException w:qFormat="1" w:unhideWhenUsed="0" w:uiPriority="0" w:semiHidden="0" w:name="Table List 6"/>
    <w:lsdException w:qFormat="1" w:unhideWhenUsed="0" w:uiPriority="0" w:semiHidden="0" w:name="Table List 7"/>
    <w:lsdException w:qFormat="1" w:unhideWhenUsed="0" w:uiPriority="0" w:semiHidden="0" w:name="Table List 8"/>
    <w:lsdException w:qFormat="1" w:unhideWhenUsed="0" w:uiPriority="0" w:semiHidden="0" w:name="Table 3D effects 1"/>
    <w:lsdException w:qFormat="1" w:unhideWhenUsed="0" w:uiPriority="0" w:semiHidden="0" w:name="Table 3D effects 2"/>
    <w:lsdException w:qFormat="1" w:unhideWhenUsed="0" w:uiPriority="0" w:semiHidden="0" w:name="Table 3D effects 3"/>
    <w:lsdException w:qFormat="1" w:unhideWhenUsed="0" w:uiPriority="0" w:semiHidden="0" w:name="Table Contemporary"/>
    <w:lsdException w:qFormat="1" w:unhideWhenUsed="0" w:uiPriority="0" w:semiHidden="0" w:name="Table Elegant"/>
    <w:lsdException w:qFormat="1" w:unhideWhenUsed="0" w:uiPriority="0" w:semiHidden="0" w:name="Table Professional"/>
    <w:lsdException w:qFormat="1" w:unhideWhenUsed="0" w:uiPriority="0" w:semiHidden="0" w:name="Table Subtle 1"/>
    <w:lsdException w:qFormat="1" w:unhideWhenUsed="0" w:uiPriority="0" w:semiHidden="0" w:name="Table Subtle 2"/>
    <w:lsdException w:qFormat="1" w:unhideWhenUsed="0" w:uiPriority="0" w:semiHidden="0" w:name="Table Web 1"/>
    <w:lsdException w:qFormat="1" w:unhideWhenUsed="0" w:uiPriority="0" w:semiHidden="0" w:name="Table Web 2"/>
    <w:lsdException w:qFormat="1" w:unhideWhenUsed="0" w:uiPriority="0" w:semiHidden="0" w:name="Table Web 3"/>
    <w:lsdException w:qFormat="1" w:uiPriority="0" w:semiHidden="0" w:name="Balloon Text"/>
    <w:lsdException w:qFormat="1" w:unhideWhenUsed="0" w:uiPriority="0" w:semiHidden="0" w:name="Table Grid"/>
    <w:lsdException w:qFormat="1"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nhideWhenUsed/>
    <w:qFormat/>
    <w:uiPriority w:val="0"/>
    <w:pPr>
      <w:widowControl w:val="0"/>
      <w:spacing w:beforeLines="0" w:afterLines="0"/>
      <w:jc w:val="both"/>
    </w:pPr>
    <w:rPr>
      <w:rFonts w:hint="default" w:ascii="Calibri" w:hAnsi="Calibri" w:eastAsia="宋体" w:cs="Times New Roman"/>
      <w:kern w:val="2"/>
      <w:sz w:val="21"/>
      <w:lang w:val="en-US" w:eastAsia="zh-CN"/>
    </w:rPr>
  </w:style>
  <w:style w:type="paragraph" w:styleId="3">
    <w:name w:val="heading 4"/>
    <w:basedOn w:val="1"/>
    <w:next w:val="1"/>
    <w:qFormat/>
    <w:uiPriority w:val="0"/>
    <w:pPr>
      <w:keepNext/>
      <w:keepLines/>
      <w:spacing w:before="280" w:beforeLines="0" w:after="290" w:afterLines="0" w:line="376" w:lineRule="auto"/>
      <w:outlineLvl w:val="3"/>
    </w:pPr>
    <w:rPr>
      <w:rFonts w:ascii="Arial" w:hAnsi="Arial" w:eastAsia="黑体"/>
      <w:b/>
      <w:bCs/>
      <w:sz w:val="28"/>
      <w:szCs w:val="28"/>
    </w:rPr>
  </w:style>
  <w:style w:type="character" w:default="1" w:styleId="18">
    <w:name w:val="Default Paragraph Font"/>
    <w:unhideWhenUsed/>
    <w:qFormat/>
    <w:uiPriority w:val="1"/>
    <w:rPr>
      <w:rFonts w:hint="default"/>
      <w:sz w:val="24"/>
    </w:rPr>
  </w:style>
  <w:style w:type="table" w:default="1" w:styleId="16">
    <w:name w:val="Normal Table"/>
    <w:qFormat/>
    <w:uiPriority w:val="99"/>
    <w:tblPr>
      <w:tblCellMar>
        <w:top w:w="0" w:type="dxa"/>
        <w:left w:w="108" w:type="dxa"/>
        <w:bottom w:w="0" w:type="dxa"/>
        <w:right w:w="108" w:type="dxa"/>
      </w:tblCellMar>
    </w:tblPr>
  </w:style>
  <w:style w:type="paragraph" w:styleId="2">
    <w:name w:val="Body Text"/>
    <w:basedOn w:val="1"/>
    <w:next w:val="1"/>
    <w:unhideWhenUsed/>
    <w:qFormat/>
    <w:uiPriority w:val="0"/>
    <w:pPr>
      <w:spacing w:beforeLines="0" w:after="120" w:afterLines="0"/>
    </w:pPr>
    <w:rPr>
      <w:rFonts w:hint="default"/>
      <w:sz w:val="21"/>
    </w:rPr>
  </w:style>
  <w:style w:type="paragraph" w:styleId="4">
    <w:name w:val="table of authorities"/>
    <w:basedOn w:val="1"/>
    <w:next w:val="1"/>
    <w:qFormat/>
    <w:uiPriority w:val="0"/>
    <w:pPr>
      <w:ind w:left="420" w:leftChars="200"/>
    </w:pPr>
  </w:style>
  <w:style w:type="paragraph" w:styleId="5">
    <w:name w:val="Normal Indent"/>
    <w:basedOn w:val="1"/>
    <w:unhideWhenUsed/>
    <w:qFormat/>
    <w:uiPriority w:val="99"/>
    <w:pPr>
      <w:spacing w:beforeLines="0" w:afterLines="0"/>
      <w:ind w:firstLine="420" w:firstLineChars="200"/>
    </w:pPr>
    <w:rPr>
      <w:rFonts w:hint="default"/>
      <w:sz w:val="21"/>
    </w:rPr>
  </w:style>
  <w:style w:type="paragraph" w:styleId="6">
    <w:name w:val="Body Text Indent"/>
    <w:basedOn w:val="1"/>
    <w:next w:val="7"/>
    <w:unhideWhenUsed/>
    <w:qFormat/>
    <w:uiPriority w:val="0"/>
    <w:pPr>
      <w:spacing w:beforeLines="0" w:after="120"/>
      <w:ind w:left="420" w:leftChars="200"/>
    </w:pPr>
    <w:rPr>
      <w:rFonts w:hint="default"/>
      <w:sz w:val="21"/>
    </w:rPr>
  </w:style>
  <w:style w:type="paragraph" w:styleId="7">
    <w:name w:val="toc 2"/>
    <w:basedOn w:val="1"/>
    <w:next w:val="1"/>
    <w:qFormat/>
    <w:uiPriority w:val="0"/>
    <w:pPr>
      <w:ind w:left="420"/>
      <w:jc w:val="center"/>
    </w:pPr>
    <w:rPr>
      <w:rFonts w:ascii="黑体" w:eastAsia="黑体"/>
      <w:szCs w:val="32"/>
    </w:rPr>
  </w:style>
  <w:style w:type="paragraph" w:styleId="8">
    <w:name w:val="Plain Text"/>
    <w:basedOn w:val="1"/>
    <w:unhideWhenUsed/>
    <w:qFormat/>
    <w:uiPriority w:val="0"/>
    <w:pPr>
      <w:spacing w:beforeLines="0" w:afterLines="0"/>
    </w:pPr>
    <w:rPr>
      <w:rFonts w:hint="default" w:hAnsi="Courier New"/>
      <w:sz w:val="21"/>
    </w:rPr>
  </w:style>
  <w:style w:type="paragraph" w:styleId="9">
    <w:name w:val="Balloon Text"/>
    <w:basedOn w:val="1"/>
    <w:link w:val="24"/>
    <w:unhideWhenUsed/>
    <w:qFormat/>
    <w:uiPriority w:val="0"/>
    <w:pPr>
      <w:spacing w:beforeLines="0" w:afterLines="0"/>
    </w:pPr>
    <w:rPr>
      <w:rFonts w:hint="default"/>
      <w:sz w:val="18"/>
    </w:rPr>
  </w:style>
  <w:style w:type="paragraph" w:styleId="10">
    <w:name w:val="header"/>
    <w:basedOn w:val="1"/>
    <w:next w:val="6"/>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1">
    <w:name w:val="index 9"/>
    <w:basedOn w:val="1"/>
    <w:next w:val="1"/>
    <w:qFormat/>
    <w:uiPriority w:val="0"/>
    <w:pPr>
      <w:ind w:left="3360"/>
    </w:pPr>
  </w:style>
  <w:style w:type="paragraph" w:styleId="12">
    <w:name w:val="Normal (Web)"/>
    <w:basedOn w:val="1"/>
    <w:next w:val="13"/>
    <w:unhideWhenUsed/>
    <w:qFormat/>
    <w:uiPriority w:val="0"/>
    <w:pPr>
      <w:widowControl/>
      <w:spacing w:before="100" w:beforeLines="0" w:beforeAutospacing="1" w:after="100" w:afterLines="0" w:afterAutospacing="1"/>
      <w:jc w:val="left"/>
    </w:pPr>
    <w:rPr>
      <w:rFonts w:hint="eastAsia" w:ascii="宋体" w:hAnsi="宋体"/>
      <w:sz w:val="24"/>
    </w:rPr>
  </w:style>
  <w:style w:type="paragraph" w:styleId="13">
    <w:name w:val="Body Text First Indent"/>
    <w:basedOn w:val="2"/>
    <w:next w:val="1"/>
    <w:qFormat/>
    <w:uiPriority w:val="0"/>
    <w:pPr>
      <w:ind w:firstLine="420"/>
    </w:pPr>
  </w:style>
  <w:style w:type="paragraph" w:styleId="14">
    <w:name w:val="Title"/>
    <w:basedOn w:val="1"/>
    <w:next w:val="1"/>
    <w:unhideWhenUsed/>
    <w:qFormat/>
    <w:uiPriority w:val="0"/>
    <w:pPr>
      <w:spacing w:before="240" w:beforeLines="0" w:after="60" w:afterLines="0"/>
      <w:jc w:val="center"/>
      <w:outlineLvl w:val="0"/>
    </w:pPr>
    <w:rPr>
      <w:rFonts w:hint="default" w:ascii="Cambria" w:hAnsi="Cambria"/>
      <w:b/>
      <w:kern w:val="0"/>
      <w:sz w:val="32"/>
    </w:rPr>
  </w:style>
  <w:style w:type="paragraph" w:styleId="15">
    <w:name w:val="Body Text First Indent 2"/>
    <w:basedOn w:val="6"/>
    <w:next w:val="1"/>
    <w:unhideWhenUsed/>
    <w:qFormat/>
    <w:uiPriority w:val="0"/>
    <w:pPr>
      <w:spacing w:beforeLines="0"/>
      <w:ind w:firstLine="420" w:firstLineChars="200"/>
    </w:pPr>
    <w:rPr>
      <w:rFonts w:hint="default"/>
      <w:sz w:val="21"/>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9">
    <w:name w:val="正文缩进1"/>
    <w:unhideWhenUsed/>
    <w:qFormat/>
    <w:uiPriority w:val="0"/>
    <w:pPr>
      <w:widowControl w:val="0"/>
      <w:spacing w:beforeLines="0" w:afterLines="0"/>
      <w:ind w:firstLine="420" w:firstLineChars="200"/>
      <w:jc w:val="both"/>
    </w:pPr>
    <w:rPr>
      <w:rFonts w:hint="default" w:ascii="Calibri" w:hAnsi="Calibri" w:eastAsia="宋体" w:cs="Times New Roman"/>
      <w:kern w:val="2"/>
      <w:sz w:val="21"/>
      <w:lang w:val="en-US" w:eastAsia="zh-CN"/>
    </w:rPr>
  </w:style>
  <w:style w:type="paragraph" w:styleId="20">
    <w:name w:val="List Paragraph"/>
    <w:basedOn w:val="1"/>
    <w:unhideWhenUsed/>
    <w:qFormat/>
    <w:uiPriority w:val="99"/>
    <w:pPr>
      <w:spacing w:beforeLines="0" w:afterLines="0"/>
      <w:ind w:firstLine="420" w:firstLineChars="200"/>
    </w:pPr>
    <w:rPr>
      <w:rFonts w:hint="default"/>
      <w:sz w:val="21"/>
    </w:rPr>
  </w:style>
  <w:style w:type="character" w:customStyle="1" w:styleId="21">
    <w:name w:val="font01"/>
    <w:basedOn w:val="18"/>
    <w:unhideWhenUsed/>
    <w:qFormat/>
    <w:uiPriority w:val="0"/>
    <w:rPr>
      <w:rFonts w:hint="eastAsia" w:ascii="宋体" w:hAnsi="宋体" w:eastAsia="宋体"/>
      <w:color w:val="FF0000"/>
      <w:sz w:val="16"/>
    </w:rPr>
  </w:style>
  <w:style w:type="character" w:customStyle="1" w:styleId="22">
    <w:name w:val="font21"/>
    <w:basedOn w:val="18"/>
    <w:unhideWhenUsed/>
    <w:qFormat/>
    <w:uiPriority w:val="0"/>
    <w:rPr>
      <w:rFonts w:hint="eastAsia" w:ascii="仿宋_GB2312" w:hAnsi="Times New Roman" w:eastAsia="仿宋_GB2312"/>
      <w:color w:val="000000"/>
      <w:sz w:val="20"/>
    </w:rPr>
  </w:style>
  <w:style w:type="character" w:customStyle="1" w:styleId="23">
    <w:name w:val="font51"/>
    <w:basedOn w:val="18"/>
    <w:unhideWhenUsed/>
    <w:qFormat/>
    <w:uiPriority w:val="0"/>
    <w:rPr>
      <w:rFonts w:hint="eastAsia" w:ascii="宋体" w:hAnsi="宋体" w:eastAsia="宋体"/>
      <w:color w:val="FF0000"/>
      <w:sz w:val="20"/>
    </w:rPr>
  </w:style>
  <w:style w:type="character" w:customStyle="1" w:styleId="24">
    <w:name w:val="批注框文本 Char"/>
    <w:basedOn w:val="18"/>
    <w:link w:val="9"/>
    <w:unhideWhenUsed/>
    <w:qFormat/>
    <w:uiPriority w:val="0"/>
    <w:rPr>
      <w:rFonts w:hint="default"/>
      <w:kern w:val="2"/>
      <w:sz w:val="18"/>
    </w:rPr>
  </w:style>
  <w:style w:type="character" w:customStyle="1" w:styleId="25">
    <w:name w:val="font31"/>
    <w:basedOn w:val="18"/>
    <w:unhideWhenUsed/>
    <w:qFormat/>
    <w:uiPriority w:val="0"/>
    <w:rPr>
      <w:rFonts w:hint="eastAsia" w:ascii="仿宋_GB2312" w:hAnsi="Times New Roman" w:eastAsia="仿宋_GB2312"/>
      <w:color w:val="000000"/>
      <w:sz w:val="20"/>
    </w:rPr>
  </w:style>
  <w:style w:type="character" w:customStyle="1" w:styleId="26">
    <w:name w:val="font11"/>
    <w:basedOn w:val="18"/>
    <w:unhideWhenUsed/>
    <w:qFormat/>
    <w:uiPriority w:val="0"/>
    <w:rPr>
      <w:rFonts w:hint="eastAsia" w:ascii="宋体" w:hAnsi="宋体" w:eastAsia="宋体"/>
      <w:b/>
      <w:color w:val="000000"/>
      <w:sz w:val="16"/>
    </w:rPr>
  </w:style>
  <w:style w:type="character" w:customStyle="1" w:styleId="27">
    <w:name w:val="font41"/>
    <w:basedOn w:val="18"/>
    <w:unhideWhenUsed/>
    <w:qFormat/>
    <w:uiPriority w:val="0"/>
    <w:rPr>
      <w:rFonts w:hint="eastAsia" w:ascii="宋体" w:hAnsi="宋体" w:eastAsia="宋体"/>
      <w:color w:val="000000"/>
      <w:sz w:val="16"/>
    </w:rPr>
  </w:style>
  <w:style w:type="table" w:customStyle="1" w:styleId="28">
    <w:name w:val="Table Normal"/>
    <w:semiHidden/>
    <w:unhideWhenUsed/>
    <w:qFormat/>
    <w:uiPriority w:val="0"/>
    <w:tblPr>
      <w:tblCellMar>
        <w:top w:w="0" w:type="dxa"/>
        <w:left w:w="0" w:type="dxa"/>
        <w:bottom w:w="0" w:type="dxa"/>
        <w:right w:w="0" w:type="dxa"/>
      </w:tblCellMar>
    </w:tblPr>
  </w:style>
  <w:style w:type="character" w:customStyle="1" w:styleId="29">
    <w:name w:val="font71"/>
    <w:basedOn w:val="18"/>
    <w:qFormat/>
    <w:uiPriority w:val="0"/>
    <w:rPr>
      <w:rFonts w:hint="eastAsia" w:ascii="宋体" w:hAnsi="宋体" w:eastAsia="宋体" w:cs="宋体"/>
      <w:color w:val="0070C0"/>
      <w:sz w:val="20"/>
      <w:szCs w:val="20"/>
      <w:u w:val="none"/>
    </w:rPr>
  </w:style>
  <w:style w:type="character" w:customStyle="1" w:styleId="30">
    <w:name w:val="font61"/>
    <w:basedOn w:val="18"/>
    <w:qFormat/>
    <w:uiPriority w:val="0"/>
    <w:rPr>
      <w:rFonts w:hint="eastAsia" w:ascii="宋体" w:hAnsi="宋体" w:eastAsia="宋体" w:cs="宋体"/>
      <w:color w:val="000000"/>
      <w:sz w:val="24"/>
      <w:szCs w:val="24"/>
      <w:u w:val="none"/>
    </w:rPr>
  </w:style>
  <w:style w:type="character" w:customStyle="1" w:styleId="31">
    <w:name w:val="font101"/>
    <w:basedOn w:val="18"/>
    <w:qFormat/>
    <w:uiPriority w:val="0"/>
    <w:rPr>
      <w:rFonts w:hint="eastAsia" w:ascii="宋体" w:hAnsi="宋体" w:eastAsia="宋体" w:cs="宋体"/>
      <w:color w:val="FF0000"/>
      <w:sz w:val="20"/>
      <w:szCs w:val="20"/>
      <w:u w:val="none"/>
    </w:rPr>
  </w:style>
  <w:style w:type="character" w:customStyle="1" w:styleId="32">
    <w:name w:val="font112"/>
    <w:basedOn w:val="18"/>
    <w:qFormat/>
    <w:uiPriority w:val="0"/>
    <w:rPr>
      <w:rFonts w:hint="eastAsia" w:ascii="宋体" w:hAnsi="宋体" w:eastAsia="宋体" w:cs="宋体"/>
      <w:color w:val="0066CC"/>
      <w:sz w:val="22"/>
      <w:szCs w:val="22"/>
      <w:u w:val="none"/>
    </w:rPr>
  </w:style>
  <w:style w:type="character" w:customStyle="1" w:styleId="33">
    <w:name w:val="font121"/>
    <w:basedOn w:val="18"/>
    <w:qFormat/>
    <w:uiPriority w:val="0"/>
    <w:rPr>
      <w:rFonts w:hint="eastAsia" w:ascii="宋体" w:hAnsi="宋体" w:eastAsia="宋体" w:cs="宋体"/>
      <w:color w:val="FF0000"/>
      <w:sz w:val="22"/>
      <w:szCs w:val="22"/>
      <w:u w:val="none"/>
    </w:rPr>
  </w:style>
  <w:style w:type="character" w:customStyle="1" w:styleId="34">
    <w:name w:val="font131"/>
    <w:basedOn w:val="18"/>
    <w:qFormat/>
    <w:uiPriority w:val="0"/>
    <w:rPr>
      <w:rFonts w:hint="eastAsia" w:ascii="宋体" w:hAnsi="宋体" w:eastAsia="宋体" w:cs="宋体"/>
      <w:color w:val="FF0000"/>
      <w:sz w:val="24"/>
      <w:szCs w:val="24"/>
      <w:u w:val="none"/>
    </w:rPr>
  </w:style>
  <w:style w:type="character" w:customStyle="1" w:styleId="35">
    <w:name w:val="font81"/>
    <w:basedOn w:val="18"/>
    <w:qFormat/>
    <w:uiPriority w:val="0"/>
    <w:rPr>
      <w:rFonts w:hint="eastAsia" w:ascii="宋体" w:hAnsi="宋体" w:eastAsia="宋体" w:cs="宋体"/>
      <w:color w:val="FF0000"/>
      <w:sz w:val="14"/>
      <w:szCs w:val="14"/>
      <w:u w:val="none"/>
    </w:rPr>
  </w:style>
  <w:style w:type="character" w:customStyle="1" w:styleId="36">
    <w:name w:val="font91"/>
    <w:basedOn w:val="18"/>
    <w:qFormat/>
    <w:uiPriority w:val="0"/>
    <w:rPr>
      <w:rFonts w:hint="eastAsia" w:ascii="宋体" w:hAnsi="宋体" w:eastAsia="宋体" w:cs="宋体"/>
      <w:color w:val="FF0000"/>
      <w:sz w:val="24"/>
      <w:szCs w:val="24"/>
      <w:u w:val="none"/>
    </w:rPr>
  </w:style>
  <w:style w:type="character" w:customStyle="1" w:styleId="37">
    <w:name w:val="font111"/>
    <w:basedOn w:val="18"/>
    <w:qFormat/>
    <w:uiPriority w:val="0"/>
    <w:rPr>
      <w:rFonts w:hint="default" w:ascii="Arial" w:hAnsi="Arial" w:cs="Arial"/>
      <w:color w:val="000000"/>
      <w:sz w:val="14"/>
      <w:szCs w:val="14"/>
      <w:u w:val="none"/>
    </w:rPr>
  </w:style>
  <w:style w:type="character" w:customStyle="1" w:styleId="38">
    <w:name w:val="font122"/>
    <w:basedOn w:val="18"/>
    <w:qFormat/>
    <w:uiPriority w:val="0"/>
    <w:rPr>
      <w:rFonts w:hint="eastAsia" w:ascii="宋体" w:hAnsi="宋体" w:eastAsia="宋体" w:cs="宋体"/>
      <w:color w:val="FF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Pages>
  <Words>920</Words>
  <Characters>983</Characters>
  <TotalTime>3</TotalTime>
  <ScaleCrop>false</ScaleCrop>
  <LinksUpToDate>false</LinksUpToDate>
  <CharactersWithSpaces>984</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2022-04-08T18:17:00Z</dcterms:created>
  <dc:creator>翟邵昀</dc:creator>
  <cp:lastModifiedBy>劉</cp:lastModifiedBy>
  <dcterms:modified xsi:type="dcterms:W3CDTF">2024-08-09T01:26:44Z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AFF819AD9C8441CB909E72A6C6858694</vt:lpwstr>
  </property>
</Properties>
</file>