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both"/>
        <w:rPr>
          <w:rFonts w:ascii="方正粗宋简体" w:hAnsi="黑体" w:eastAsia="方正粗宋简体"/>
          <w:b/>
          <w:sz w:val="28"/>
          <w:szCs w:val="28"/>
        </w:rPr>
      </w:pPr>
    </w:p>
    <w:p>
      <w:pPr>
        <w:spacing w:line="900" w:lineRule="exact"/>
        <w:jc w:val="center"/>
        <w:rPr>
          <w:rFonts w:hint="eastAsia" w:ascii="方正小标宋简体" w:hAnsi="方正小标宋简体" w:eastAsia="方正小标宋简体" w:cs="方正小标宋简体"/>
          <w:bCs/>
          <w:color w:val="000000" w:themeColor="text1"/>
          <w:sz w:val="48"/>
          <w:szCs w:val="48"/>
        </w:rPr>
      </w:pPr>
      <w:r>
        <w:rPr>
          <w:rFonts w:hint="eastAsia" w:ascii="方正小标宋简体" w:hAnsi="方正小标宋简体" w:eastAsia="方正小标宋简体" w:cs="方正小标宋简体"/>
          <w:bCs/>
          <w:color w:val="000000" w:themeColor="text1"/>
          <w:sz w:val="48"/>
          <w:szCs w:val="48"/>
        </w:rPr>
        <w:t>锡林郭勒盟</w:t>
      </w:r>
      <w:r>
        <w:rPr>
          <w:rFonts w:hint="eastAsia" w:ascii="仿宋" w:hAnsi="仿宋" w:eastAsia="仿宋" w:cs="仿宋"/>
          <w:bCs/>
          <w:color w:val="000000" w:themeColor="text1"/>
          <w:sz w:val="48"/>
          <w:szCs w:val="48"/>
        </w:rPr>
        <w:t>“</w:t>
      </w:r>
      <w:r>
        <w:rPr>
          <w:rFonts w:hint="eastAsia" w:ascii="方正小标宋简体" w:hAnsi="方正小标宋简体" w:eastAsia="方正小标宋简体" w:cs="方正小标宋简体"/>
          <w:bCs/>
          <w:color w:val="000000" w:themeColor="text1"/>
          <w:sz w:val="48"/>
          <w:szCs w:val="48"/>
        </w:rPr>
        <w:t>十四五</w:t>
      </w:r>
      <w:r>
        <w:rPr>
          <w:rFonts w:hint="eastAsia" w:ascii="仿宋" w:hAnsi="仿宋" w:eastAsia="仿宋" w:cs="仿宋"/>
          <w:bCs/>
          <w:color w:val="000000" w:themeColor="text1"/>
          <w:sz w:val="48"/>
          <w:szCs w:val="48"/>
        </w:rPr>
        <w:t>”</w:t>
      </w:r>
      <w:r>
        <w:rPr>
          <w:rFonts w:hint="eastAsia" w:ascii="方正小标宋简体" w:hAnsi="方正小标宋简体" w:eastAsia="方正小标宋简体" w:cs="方正小标宋简体"/>
          <w:bCs/>
          <w:color w:val="000000" w:themeColor="text1"/>
          <w:sz w:val="48"/>
          <w:szCs w:val="48"/>
        </w:rPr>
        <w:t>推进农牧业</w:t>
      </w:r>
    </w:p>
    <w:p>
      <w:pPr>
        <w:spacing w:line="900" w:lineRule="exact"/>
        <w:jc w:val="center"/>
        <w:rPr>
          <w:rFonts w:ascii="方正小标宋简体" w:hAnsi="方正小标宋简体" w:eastAsia="方正小标宋简体" w:cs="方正小标宋简体"/>
          <w:bCs/>
          <w:color w:val="000000" w:themeColor="text1"/>
          <w:sz w:val="48"/>
          <w:szCs w:val="48"/>
        </w:rPr>
      </w:pPr>
      <w:r>
        <w:rPr>
          <w:rFonts w:hint="eastAsia" w:ascii="方正小标宋简体" w:hAnsi="方正小标宋简体" w:eastAsia="方正小标宋简体" w:cs="方正小标宋简体"/>
          <w:bCs/>
          <w:color w:val="000000" w:themeColor="text1"/>
          <w:sz w:val="48"/>
          <w:szCs w:val="48"/>
        </w:rPr>
        <w:t>农村牧区现代化发展规划</w:t>
      </w:r>
    </w:p>
    <w:p>
      <w:pPr>
        <w:pStyle w:val="2"/>
        <w:spacing w:before="156" w:beforeLines="50" w:line="900" w:lineRule="exact"/>
        <w:jc w:val="center"/>
        <w:rPr>
          <w:rFonts w:ascii="黑体" w:hAnsi="黑体" w:eastAsia="黑体"/>
          <w:b/>
          <w:sz w:val="28"/>
          <w:szCs w:val="28"/>
        </w:rPr>
      </w:pPr>
      <w:r>
        <w:rPr>
          <w:rFonts w:hint="eastAsia" w:ascii="方正小标宋简体" w:hAnsi="方正小标宋简体" w:eastAsia="方正小标宋简体" w:cs="方正小标宋简体"/>
          <w:bCs/>
          <w:color w:val="000000" w:themeColor="text1"/>
          <w:sz w:val="44"/>
          <w:szCs w:val="44"/>
        </w:rPr>
        <w:t>（2021—2025年）</w:t>
      </w:r>
    </w:p>
    <w:p/>
    <w:p>
      <w:pPr>
        <w:pStyle w:val="2"/>
      </w:pPr>
    </w:p>
    <w:p/>
    <w:p>
      <w:pPr>
        <w:rPr>
          <w:rFonts w:ascii="黑体" w:hAnsi="黑体" w:eastAsia="黑体"/>
          <w:b/>
          <w:sz w:val="28"/>
          <w:szCs w:val="28"/>
        </w:rPr>
      </w:pPr>
    </w:p>
    <w:p>
      <w:pPr>
        <w:pStyle w:val="2"/>
      </w:pPr>
    </w:p>
    <w:p>
      <w:pPr>
        <w:pStyle w:val="2"/>
        <w:jc w:val="left"/>
        <w:rPr>
          <w:sz w:val="44"/>
          <w:szCs w:val="44"/>
        </w:rPr>
      </w:pPr>
    </w:p>
    <w:p>
      <w:pPr>
        <w:spacing w:line="600" w:lineRule="exact"/>
        <w:jc w:val="center"/>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2022年</w:t>
      </w:r>
      <w:r>
        <w:rPr>
          <w:rFonts w:hint="eastAsia" w:ascii="方正小标宋简体" w:hAnsi="方正小标宋简体" w:eastAsia="方正小标宋简体" w:cs="方正小标宋简体"/>
          <w:b w:val="0"/>
          <w:bCs w:val="0"/>
          <w:sz w:val="44"/>
          <w:szCs w:val="44"/>
          <w:lang w:val="en-US" w:eastAsia="zh-CN"/>
        </w:rPr>
        <w:t>4</w:t>
      </w:r>
      <w:r>
        <w:rPr>
          <w:rFonts w:hint="eastAsia" w:ascii="方正小标宋简体" w:hAnsi="方正小标宋简体" w:eastAsia="方正小标宋简体" w:cs="方正小标宋简体"/>
          <w:b w:val="0"/>
          <w:bCs w:val="0"/>
          <w:sz w:val="44"/>
          <w:szCs w:val="44"/>
        </w:rPr>
        <w:t>月</w:t>
      </w:r>
    </w:p>
    <w:p>
      <w:pPr>
        <w:pStyle w:val="2"/>
        <w:spacing w:line="900" w:lineRule="exact"/>
        <w:sectPr>
          <w:footerReference r:id="rId3" w:type="even"/>
          <w:pgSz w:w="11900" w:h="16840"/>
          <w:pgMar w:top="1440" w:right="1800" w:bottom="1440" w:left="1800" w:header="851" w:footer="992" w:gutter="0"/>
          <w:pgBorders>
            <w:top w:val="none" w:sz="0" w:space="0"/>
            <w:left w:val="none" w:sz="0" w:space="0"/>
            <w:bottom w:val="none" w:sz="0" w:space="0"/>
            <w:right w:val="none" w:sz="0" w:space="0"/>
          </w:pgBorders>
          <w:pgNumType w:fmt="numberInDash"/>
          <w:cols w:space="425" w:num="1"/>
          <w:docGrid w:type="lines" w:linePitch="312" w:charSpace="0"/>
        </w:sectPr>
      </w:pPr>
    </w:p>
    <w:sdt>
      <w:sdtPr>
        <w:rPr>
          <w:rFonts w:hint="eastAsia" w:ascii="方正小标宋简体" w:hAnsi="方正小标宋简体" w:eastAsia="方正小标宋简体" w:cs="方正小标宋简体"/>
          <w:kern w:val="2"/>
          <w:sz w:val="44"/>
          <w:szCs w:val="44"/>
          <w:lang w:val="en-US" w:eastAsia="zh-CN" w:bidi="ar-SA"/>
        </w:rPr>
        <w:id w:val="357570069"/>
        <w:docPartObj>
          <w:docPartGallery w:val="Table of Contents"/>
          <w:docPartUnique/>
        </w:docPartObj>
      </w:sdtPr>
      <w:sdtEndPr>
        <w:rPr>
          <w:rFonts w:hint="eastAsia" w:ascii="等线" w:hAnsi="等线" w:eastAsia="等线" w:cs="宋体"/>
          <w:kern w:val="2"/>
          <w:sz w:val="44"/>
          <w:szCs w:val="44"/>
          <w:lang w:val="en-US" w:eastAsia="zh-CN" w:bidi="ar-SA"/>
        </w:rPr>
      </w:sdtEndPr>
      <w:sdtContent>
        <w:p>
          <w:pPr>
            <w:spacing w:before="0" w:beforeLines="0" w:after="0" w:afterLines="0" w:line="240" w:lineRule="auto"/>
            <w:ind w:left="0" w:leftChars="0" w:right="0" w:rightChars="0" w:firstLine="0" w:firstLineChars="0"/>
            <w:jc w:val="center"/>
            <w:rPr>
              <w:rFonts w:hint="eastAsia" w:ascii="方正小标宋简体" w:hAnsi="方正小标宋简体" w:eastAsia="方正小标宋简体" w:cs="方正小标宋简体"/>
              <w:sz w:val="44"/>
              <w:szCs w:val="44"/>
            </w:rPr>
          </w:pPr>
          <w:bookmarkStart w:id="0" w:name="_Toc1310849214_WPSOffice_Type2"/>
          <w:bookmarkStart w:id="1" w:name="_Toc59000468"/>
          <w:bookmarkStart w:id="2" w:name="_Toc58870060"/>
          <w:bookmarkStart w:id="3" w:name="_Toc60561644"/>
          <w:bookmarkStart w:id="4" w:name="_Toc24162"/>
          <w:bookmarkStart w:id="5" w:name="_Toc59000476"/>
          <w:bookmarkStart w:id="6" w:name="_Toc58870068"/>
          <w:bookmarkStart w:id="7" w:name="_Toc16327"/>
          <w:bookmarkStart w:id="8" w:name="_Toc24731"/>
          <w:bookmarkStart w:id="9" w:name="_Toc31598"/>
          <w:r>
            <w:rPr>
              <w:rFonts w:hint="eastAsia" w:ascii="方正小标宋简体" w:hAnsi="方正小标宋简体" w:eastAsia="方正小标宋简体" w:cs="方正小标宋简体"/>
              <w:sz w:val="44"/>
              <w:szCs w:val="44"/>
            </w:rPr>
            <w:t>目</w:t>
          </w:r>
          <w:r>
            <w:rPr>
              <w:rFonts w:hint="eastAsia" w:ascii="方正小标宋简体" w:hAnsi="方正小标宋简体" w:eastAsia="方正小标宋简体" w:cs="方正小标宋简体"/>
              <w:sz w:val="44"/>
              <w:szCs w:val="44"/>
              <w:lang w:val="en-US" w:eastAsia="zh-CN"/>
            </w:rPr>
            <w:t xml:space="preserve">  </w:t>
          </w:r>
          <w:r>
            <w:rPr>
              <w:rFonts w:hint="eastAsia" w:ascii="方正小标宋简体" w:hAnsi="方正小标宋简体" w:eastAsia="方正小标宋简体" w:cs="方正小标宋简体"/>
              <w:sz w:val="44"/>
              <w:szCs w:val="44"/>
            </w:rPr>
            <w:t>录</w:t>
          </w:r>
        </w:p>
        <w:p>
          <w:pPr>
            <w:pStyle w:val="47"/>
            <w:tabs>
              <w:tab w:val="right" w:leader="dot" w:pos="8300"/>
            </w:tabs>
            <w:rPr>
              <w:rFonts w:hint="eastAsia" w:ascii="宋体" w:hAnsi="宋体" w:eastAsia="宋体" w:cs="宋体"/>
              <w:sz w:val="32"/>
              <w:szCs w:val="32"/>
            </w:rPr>
          </w:pPr>
          <w:r>
            <w:rPr>
              <w:rFonts w:hint="eastAsia" w:ascii="宋体" w:hAnsi="宋体" w:eastAsia="宋体" w:cs="宋体"/>
              <w:b/>
              <w:bCs/>
              <w:sz w:val="32"/>
              <w:szCs w:val="32"/>
            </w:rPr>
            <w:fldChar w:fldCharType="begin"/>
          </w:r>
          <w:r>
            <w:rPr>
              <w:rFonts w:hint="eastAsia" w:ascii="宋体" w:hAnsi="宋体" w:eastAsia="宋体" w:cs="宋体"/>
              <w:sz w:val="32"/>
              <w:szCs w:val="32"/>
            </w:rPr>
            <w:instrText xml:space="preserve"> HYPERLINK \l _Toc729357472_WPSOffice_Level1 </w:instrText>
          </w:r>
          <w:r>
            <w:rPr>
              <w:rFonts w:hint="eastAsia" w:ascii="宋体" w:hAnsi="宋体" w:eastAsia="宋体" w:cs="宋体"/>
              <w:b/>
              <w:bCs/>
              <w:sz w:val="32"/>
              <w:szCs w:val="32"/>
            </w:rPr>
            <w:fldChar w:fldCharType="separate"/>
          </w:r>
          <w:sdt>
            <w:sdtPr>
              <w:rPr>
                <w:rFonts w:hint="eastAsia" w:ascii="宋体" w:hAnsi="宋体" w:eastAsia="宋体" w:cs="宋体"/>
                <w:b/>
                <w:bCs/>
                <w:kern w:val="2"/>
                <w:sz w:val="32"/>
                <w:szCs w:val="32"/>
                <w:lang w:val="en-US" w:eastAsia="zh-CN" w:bidi="ar-SA"/>
              </w:rPr>
              <w:id w:val="357570069"/>
              <w:placeholder>
                <w:docPart w:val="{44078201-c3b5-44c8-ac97-9206c593e9f6}"/>
              </w:placeholder>
            </w:sdtPr>
            <w:sdtEndPr>
              <w:rPr>
                <w:rFonts w:hint="eastAsia" w:ascii="宋体" w:hAnsi="宋体" w:eastAsia="宋体" w:cs="宋体"/>
                <w:b/>
                <w:bCs/>
                <w:kern w:val="2"/>
                <w:sz w:val="32"/>
                <w:szCs w:val="32"/>
                <w:lang w:val="en-US" w:eastAsia="zh-CN" w:bidi="ar-SA"/>
              </w:rPr>
            </w:sdtEndPr>
            <w:sdtContent>
              <w:r>
                <w:rPr>
                  <w:rFonts w:hint="eastAsia" w:ascii="宋体" w:hAnsi="宋体" w:eastAsia="宋体" w:cs="宋体"/>
                  <w:b/>
                  <w:bCs/>
                  <w:sz w:val="32"/>
                  <w:szCs w:val="32"/>
                </w:rPr>
                <w:t>前  言</w:t>
              </w:r>
            </w:sdtContent>
          </w:sdt>
          <w:r>
            <w:rPr>
              <w:rFonts w:hint="eastAsia" w:ascii="宋体" w:hAnsi="宋体" w:eastAsia="宋体" w:cs="宋体"/>
              <w:b/>
              <w:bCs/>
              <w:sz w:val="32"/>
              <w:szCs w:val="32"/>
            </w:rPr>
            <w:tab/>
          </w:r>
          <w:bookmarkStart w:id="10" w:name="_Toc729357472_WPSOffice_Level1Page"/>
          <w:r>
            <w:rPr>
              <w:rFonts w:hint="eastAsia" w:ascii="宋体" w:hAnsi="宋体" w:eastAsia="宋体" w:cs="宋体"/>
              <w:b/>
              <w:bCs/>
              <w:sz w:val="32"/>
              <w:szCs w:val="32"/>
            </w:rPr>
            <w:t>1</w:t>
          </w:r>
          <w:bookmarkEnd w:id="10"/>
          <w:r>
            <w:rPr>
              <w:rFonts w:hint="eastAsia" w:ascii="宋体" w:hAnsi="宋体" w:eastAsia="宋体" w:cs="宋体"/>
              <w:b/>
              <w:bCs/>
              <w:sz w:val="32"/>
              <w:szCs w:val="32"/>
            </w:rPr>
            <w:fldChar w:fldCharType="end"/>
          </w:r>
        </w:p>
        <w:p>
          <w:pPr>
            <w:pStyle w:val="47"/>
            <w:tabs>
              <w:tab w:val="right" w:leader="dot" w:pos="8300"/>
            </w:tabs>
            <w:rPr>
              <w:rFonts w:hint="eastAsia" w:ascii="宋体" w:hAnsi="宋体" w:eastAsia="宋体" w:cs="宋体"/>
              <w:sz w:val="32"/>
              <w:szCs w:val="32"/>
            </w:rPr>
          </w:pPr>
          <w:r>
            <w:rPr>
              <w:rFonts w:hint="eastAsia" w:ascii="宋体" w:hAnsi="宋体" w:eastAsia="宋体" w:cs="宋体"/>
              <w:b/>
              <w:bCs/>
              <w:sz w:val="32"/>
              <w:szCs w:val="32"/>
            </w:rPr>
            <w:fldChar w:fldCharType="begin"/>
          </w:r>
          <w:r>
            <w:rPr>
              <w:rFonts w:hint="eastAsia" w:ascii="宋体" w:hAnsi="宋体" w:eastAsia="宋体" w:cs="宋体"/>
              <w:sz w:val="32"/>
              <w:szCs w:val="32"/>
            </w:rPr>
            <w:instrText xml:space="preserve"> HYPERLINK \l _Toc1310849214_WPSOffice_Level1 </w:instrText>
          </w:r>
          <w:r>
            <w:rPr>
              <w:rFonts w:hint="eastAsia" w:ascii="宋体" w:hAnsi="宋体" w:eastAsia="宋体" w:cs="宋体"/>
              <w:b/>
              <w:bCs/>
              <w:sz w:val="32"/>
              <w:szCs w:val="32"/>
            </w:rPr>
            <w:fldChar w:fldCharType="separate"/>
          </w:r>
          <w:sdt>
            <w:sdtPr>
              <w:rPr>
                <w:rFonts w:hint="eastAsia" w:ascii="宋体" w:hAnsi="宋体" w:eastAsia="宋体" w:cs="宋体"/>
                <w:b/>
                <w:bCs/>
                <w:kern w:val="2"/>
                <w:sz w:val="32"/>
                <w:szCs w:val="32"/>
                <w:lang w:val="en-US" w:eastAsia="zh-CN" w:bidi="ar-SA"/>
              </w:rPr>
              <w:id w:val="357570069"/>
              <w:placeholder>
                <w:docPart w:val="{77b10b90-ff35-456f-a258-953a1b93bd78}"/>
              </w:placeholder>
            </w:sdtPr>
            <w:sdtEndPr>
              <w:rPr>
                <w:rFonts w:hint="eastAsia" w:ascii="宋体" w:hAnsi="宋体" w:eastAsia="宋体" w:cs="宋体"/>
                <w:b/>
                <w:bCs/>
                <w:kern w:val="2"/>
                <w:sz w:val="32"/>
                <w:szCs w:val="32"/>
                <w:lang w:val="en-US" w:eastAsia="zh-CN" w:bidi="ar-SA"/>
              </w:rPr>
            </w:sdtEndPr>
            <w:sdtContent>
              <w:r>
                <w:rPr>
                  <w:rFonts w:hint="eastAsia" w:ascii="宋体" w:hAnsi="宋体" w:eastAsia="宋体" w:cs="宋体"/>
                  <w:b/>
                  <w:bCs/>
                  <w:sz w:val="32"/>
                  <w:szCs w:val="32"/>
                </w:rPr>
                <w:t>第一章 发展基础及环境</w:t>
              </w:r>
            </w:sdtContent>
          </w:sdt>
          <w:r>
            <w:rPr>
              <w:rFonts w:hint="eastAsia" w:ascii="宋体" w:hAnsi="宋体" w:eastAsia="宋体" w:cs="宋体"/>
              <w:b/>
              <w:bCs/>
              <w:sz w:val="32"/>
              <w:szCs w:val="32"/>
            </w:rPr>
            <w:tab/>
          </w:r>
          <w:bookmarkStart w:id="11" w:name="_Toc1310849214_WPSOffice_Level1Page"/>
          <w:r>
            <w:rPr>
              <w:rFonts w:hint="eastAsia" w:ascii="宋体" w:hAnsi="宋体" w:eastAsia="宋体" w:cs="宋体"/>
              <w:b/>
              <w:bCs/>
              <w:sz w:val="32"/>
              <w:szCs w:val="32"/>
            </w:rPr>
            <w:t>2</w:t>
          </w:r>
          <w:bookmarkEnd w:id="11"/>
          <w:r>
            <w:rPr>
              <w:rFonts w:hint="eastAsia" w:ascii="宋体" w:hAnsi="宋体" w:eastAsia="宋体" w:cs="宋体"/>
              <w:b/>
              <w:bCs/>
              <w:sz w:val="32"/>
              <w:szCs w:val="32"/>
            </w:rPr>
            <w:fldChar w:fldCharType="end"/>
          </w:r>
        </w:p>
        <w:p>
          <w:pPr>
            <w:pStyle w:val="43"/>
            <w:tabs>
              <w:tab w:val="right" w:leader="dot" w:pos="8300"/>
            </w:tabs>
            <w:rPr>
              <w:rFonts w:hint="eastAsia" w:ascii="宋体" w:hAnsi="宋体" w:eastAsia="宋体" w:cs="宋体"/>
              <w:sz w:val="32"/>
              <w:szCs w:val="32"/>
            </w:rPr>
          </w:pPr>
          <w:r>
            <w:rPr>
              <w:rFonts w:hint="eastAsia" w:ascii="宋体" w:hAnsi="宋体" w:eastAsia="宋体" w:cs="宋体"/>
              <w:sz w:val="32"/>
              <w:szCs w:val="32"/>
            </w:rPr>
            <w:fldChar w:fldCharType="begin"/>
          </w:r>
          <w:r>
            <w:rPr>
              <w:rFonts w:hint="eastAsia" w:ascii="宋体" w:hAnsi="宋体" w:eastAsia="宋体" w:cs="宋体"/>
              <w:sz w:val="32"/>
              <w:szCs w:val="32"/>
            </w:rPr>
            <w:instrText xml:space="preserve"> HYPERLINK \l _Toc1310849214_WPSOffice_Level2 </w:instrText>
          </w:r>
          <w:r>
            <w:rPr>
              <w:rFonts w:hint="eastAsia" w:ascii="宋体" w:hAnsi="宋体" w:eastAsia="宋体" w:cs="宋体"/>
              <w:sz w:val="32"/>
              <w:szCs w:val="32"/>
            </w:rPr>
            <w:fldChar w:fldCharType="separate"/>
          </w:r>
          <w:sdt>
            <w:sdtPr>
              <w:rPr>
                <w:rFonts w:hint="eastAsia" w:ascii="宋体" w:hAnsi="宋体" w:eastAsia="宋体" w:cs="宋体"/>
                <w:kern w:val="2"/>
                <w:sz w:val="32"/>
                <w:szCs w:val="32"/>
                <w:lang w:val="en-US" w:eastAsia="zh-CN" w:bidi="ar-SA"/>
              </w:rPr>
              <w:id w:val="357570069"/>
              <w:placeholder>
                <w:docPart w:val="{402d8ef3-1d03-418b-a5a4-95dd3050e0a5}"/>
              </w:placeholder>
            </w:sdtPr>
            <w:sdtEndPr>
              <w:rPr>
                <w:rFonts w:hint="eastAsia" w:ascii="宋体" w:hAnsi="宋体" w:eastAsia="宋体" w:cs="宋体"/>
                <w:kern w:val="2"/>
                <w:sz w:val="32"/>
                <w:szCs w:val="32"/>
                <w:lang w:val="en-US" w:eastAsia="zh-CN" w:bidi="ar-SA"/>
              </w:rPr>
            </w:sdtEndPr>
            <w:sdtContent>
              <w:r>
                <w:rPr>
                  <w:rFonts w:hint="eastAsia" w:ascii="宋体" w:hAnsi="宋体" w:eastAsia="宋体" w:cs="宋体"/>
                  <w:sz w:val="32"/>
                  <w:szCs w:val="32"/>
                </w:rPr>
                <w:t>第一节 发展基础</w:t>
              </w:r>
            </w:sdtContent>
          </w:sdt>
          <w:r>
            <w:rPr>
              <w:rFonts w:hint="eastAsia" w:ascii="宋体" w:hAnsi="宋体" w:eastAsia="宋体" w:cs="宋体"/>
              <w:sz w:val="32"/>
              <w:szCs w:val="32"/>
            </w:rPr>
            <w:tab/>
          </w:r>
          <w:bookmarkStart w:id="12" w:name="_Toc1310849214_WPSOffice_Level2Page"/>
          <w:r>
            <w:rPr>
              <w:rFonts w:hint="eastAsia" w:ascii="宋体" w:hAnsi="宋体" w:eastAsia="宋体" w:cs="宋体"/>
              <w:sz w:val="32"/>
              <w:szCs w:val="32"/>
            </w:rPr>
            <w:t>2</w:t>
          </w:r>
          <w:bookmarkEnd w:id="12"/>
          <w:r>
            <w:rPr>
              <w:rFonts w:hint="eastAsia" w:ascii="宋体" w:hAnsi="宋体" w:eastAsia="宋体" w:cs="宋体"/>
              <w:sz w:val="32"/>
              <w:szCs w:val="32"/>
            </w:rPr>
            <w:fldChar w:fldCharType="end"/>
          </w:r>
        </w:p>
        <w:p>
          <w:pPr>
            <w:pStyle w:val="43"/>
            <w:tabs>
              <w:tab w:val="right" w:leader="dot" w:pos="8300"/>
            </w:tabs>
            <w:rPr>
              <w:rFonts w:hint="eastAsia" w:ascii="宋体" w:hAnsi="宋体" w:eastAsia="宋体" w:cs="宋体"/>
              <w:sz w:val="32"/>
              <w:szCs w:val="32"/>
            </w:rPr>
          </w:pPr>
          <w:r>
            <w:rPr>
              <w:rFonts w:hint="eastAsia" w:ascii="宋体" w:hAnsi="宋体" w:eastAsia="宋体" w:cs="宋体"/>
              <w:sz w:val="32"/>
              <w:szCs w:val="32"/>
            </w:rPr>
            <w:fldChar w:fldCharType="begin"/>
          </w:r>
          <w:r>
            <w:rPr>
              <w:rFonts w:hint="eastAsia" w:ascii="宋体" w:hAnsi="宋体" w:eastAsia="宋体" w:cs="宋体"/>
              <w:sz w:val="32"/>
              <w:szCs w:val="32"/>
            </w:rPr>
            <w:instrText xml:space="preserve"> HYPERLINK \l _Toc71465642_WPSOffice_Level2 </w:instrText>
          </w:r>
          <w:r>
            <w:rPr>
              <w:rFonts w:hint="eastAsia" w:ascii="宋体" w:hAnsi="宋体" w:eastAsia="宋体" w:cs="宋体"/>
              <w:sz w:val="32"/>
              <w:szCs w:val="32"/>
            </w:rPr>
            <w:fldChar w:fldCharType="separate"/>
          </w:r>
          <w:sdt>
            <w:sdtPr>
              <w:rPr>
                <w:rFonts w:hint="eastAsia" w:ascii="宋体" w:hAnsi="宋体" w:eastAsia="宋体" w:cs="宋体"/>
                <w:kern w:val="2"/>
                <w:sz w:val="32"/>
                <w:szCs w:val="32"/>
                <w:lang w:val="en-US" w:eastAsia="zh-CN" w:bidi="ar-SA"/>
              </w:rPr>
              <w:id w:val="357570069"/>
              <w:placeholder>
                <w:docPart w:val="{ef0dc8b2-ff06-4e28-b252-adf3ede7eff5}"/>
              </w:placeholder>
            </w:sdtPr>
            <w:sdtEndPr>
              <w:rPr>
                <w:rFonts w:hint="eastAsia" w:ascii="宋体" w:hAnsi="宋体" w:eastAsia="宋体" w:cs="宋体"/>
                <w:kern w:val="2"/>
                <w:sz w:val="32"/>
                <w:szCs w:val="32"/>
                <w:lang w:val="en-US" w:eastAsia="zh-CN" w:bidi="ar-SA"/>
              </w:rPr>
            </w:sdtEndPr>
            <w:sdtContent>
              <w:r>
                <w:rPr>
                  <w:rFonts w:hint="eastAsia" w:ascii="宋体" w:hAnsi="宋体" w:eastAsia="宋体" w:cs="宋体"/>
                  <w:sz w:val="32"/>
                  <w:szCs w:val="32"/>
                </w:rPr>
                <w:t>第二节 发展机遇</w:t>
              </w:r>
            </w:sdtContent>
          </w:sdt>
          <w:r>
            <w:rPr>
              <w:rFonts w:hint="eastAsia" w:ascii="宋体" w:hAnsi="宋体" w:eastAsia="宋体" w:cs="宋体"/>
              <w:sz w:val="32"/>
              <w:szCs w:val="32"/>
            </w:rPr>
            <w:tab/>
          </w:r>
          <w:r>
            <w:rPr>
              <w:rFonts w:hint="default" w:ascii="宋体" w:hAnsi="宋体" w:eastAsia="宋体" w:cs="宋体"/>
              <w:sz w:val="32"/>
              <w:szCs w:val="32"/>
              <w:lang w:val="en"/>
            </w:rPr>
            <w:t>4</w:t>
          </w:r>
          <w:r>
            <w:rPr>
              <w:rFonts w:hint="eastAsia" w:ascii="宋体" w:hAnsi="宋体" w:eastAsia="宋体" w:cs="宋体"/>
              <w:sz w:val="32"/>
              <w:szCs w:val="32"/>
            </w:rPr>
            <w:fldChar w:fldCharType="end"/>
          </w:r>
        </w:p>
        <w:p>
          <w:pPr>
            <w:pStyle w:val="43"/>
            <w:tabs>
              <w:tab w:val="right" w:leader="dot" w:pos="8300"/>
            </w:tabs>
            <w:rPr>
              <w:rFonts w:hint="eastAsia" w:ascii="宋体" w:hAnsi="宋体" w:eastAsia="宋体" w:cs="宋体"/>
              <w:sz w:val="32"/>
              <w:szCs w:val="32"/>
            </w:rPr>
          </w:pPr>
          <w:r>
            <w:rPr>
              <w:rFonts w:hint="eastAsia" w:ascii="宋体" w:hAnsi="宋体" w:eastAsia="宋体" w:cs="宋体"/>
              <w:sz w:val="32"/>
              <w:szCs w:val="32"/>
            </w:rPr>
            <w:fldChar w:fldCharType="begin"/>
          </w:r>
          <w:r>
            <w:rPr>
              <w:rFonts w:hint="eastAsia" w:ascii="宋体" w:hAnsi="宋体" w:eastAsia="宋体" w:cs="宋体"/>
              <w:sz w:val="32"/>
              <w:szCs w:val="32"/>
            </w:rPr>
            <w:instrText xml:space="preserve"> HYPERLINK \l _Toc29517728_WPSOffice_Level2 </w:instrText>
          </w:r>
          <w:r>
            <w:rPr>
              <w:rFonts w:hint="eastAsia" w:ascii="宋体" w:hAnsi="宋体" w:eastAsia="宋体" w:cs="宋体"/>
              <w:sz w:val="32"/>
              <w:szCs w:val="32"/>
            </w:rPr>
            <w:fldChar w:fldCharType="separate"/>
          </w:r>
          <w:sdt>
            <w:sdtPr>
              <w:rPr>
                <w:rFonts w:hint="eastAsia" w:ascii="宋体" w:hAnsi="宋体" w:eastAsia="宋体" w:cs="宋体"/>
                <w:kern w:val="2"/>
                <w:sz w:val="32"/>
                <w:szCs w:val="32"/>
                <w:lang w:val="en-US" w:eastAsia="zh-CN" w:bidi="ar-SA"/>
              </w:rPr>
              <w:id w:val="357570069"/>
              <w:placeholder>
                <w:docPart w:val="{ecd0c986-df02-467c-852e-76f1475317d8}"/>
              </w:placeholder>
            </w:sdtPr>
            <w:sdtEndPr>
              <w:rPr>
                <w:rFonts w:hint="eastAsia" w:ascii="宋体" w:hAnsi="宋体" w:eastAsia="宋体" w:cs="宋体"/>
                <w:kern w:val="2"/>
                <w:sz w:val="32"/>
                <w:szCs w:val="32"/>
                <w:lang w:val="en-US" w:eastAsia="zh-CN" w:bidi="ar-SA"/>
              </w:rPr>
            </w:sdtEndPr>
            <w:sdtContent>
              <w:r>
                <w:rPr>
                  <w:rFonts w:hint="eastAsia" w:ascii="宋体" w:hAnsi="宋体" w:eastAsia="宋体" w:cs="宋体"/>
                  <w:sz w:val="32"/>
                  <w:szCs w:val="32"/>
                </w:rPr>
                <w:t>第三节 面临挑战</w:t>
              </w:r>
            </w:sdtContent>
          </w:sdt>
          <w:r>
            <w:rPr>
              <w:rFonts w:hint="eastAsia" w:ascii="宋体" w:hAnsi="宋体" w:eastAsia="宋体" w:cs="宋体"/>
              <w:sz w:val="32"/>
              <w:szCs w:val="32"/>
            </w:rPr>
            <w:tab/>
          </w:r>
          <w:r>
            <w:rPr>
              <w:rFonts w:hint="eastAsia" w:ascii="宋体" w:hAnsi="宋体" w:eastAsia="宋体" w:cs="宋体"/>
              <w:sz w:val="32"/>
              <w:szCs w:val="32"/>
              <w:lang w:val="en-US" w:eastAsia="zh-CN"/>
            </w:rPr>
            <w:t>6</w:t>
          </w:r>
          <w:r>
            <w:rPr>
              <w:rFonts w:hint="eastAsia" w:ascii="宋体" w:hAnsi="宋体" w:eastAsia="宋体" w:cs="宋体"/>
              <w:sz w:val="32"/>
              <w:szCs w:val="32"/>
            </w:rPr>
            <w:fldChar w:fldCharType="end"/>
          </w:r>
        </w:p>
        <w:p>
          <w:pPr>
            <w:pStyle w:val="47"/>
            <w:tabs>
              <w:tab w:val="right" w:leader="dot" w:pos="8300"/>
            </w:tabs>
            <w:rPr>
              <w:rFonts w:hint="eastAsia" w:ascii="宋体" w:hAnsi="宋体" w:eastAsia="宋体" w:cs="宋体"/>
              <w:sz w:val="32"/>
              <w:szCs w:val="32"/>
            </w:rPr>
          </w:pPr>
          <w:r>
            <w:rPr>
              <w:rFonts w:hint="eastAsia" w:ascii="宋体" w:hAnsi="宋体" w:eastAsia="宋体" w:cs="宋体"/>
              <w:b/>
              <w:bCs/>
              <w:sz w:val="32"/>
              <w:szCs w:val="32"/>
            </w:rPr>
            <w:fldChar w:fldCharType="begin"/>
          </w:r>
          <w:r>
            <w:rPr>
              <w:rFonts w:hint="eastAsia" w:ascii="宋体" w:hAnsi="宋体" w:eastAsia="宋体" w:cs="宋体"/>
              <w:sz w:val="32"/>
              <w:szCs w:val="32"/>
            </w:rPr>
            <w:instrText xml:space="preserve"> HYPERLINK \l _Toc71465642_WPSOffice_Level1 </w:instrText>
          </w:r>
          <w:r>
            <w:rPr>
              <w:rFonts w:hint="eastAsia" w:ascii="宋体" w:hAnsi="宋体" w:eastAsia="宋体" w:cs="宋体"/>
              <w:b/>
              <w:bCs/>
              <w:sz w:val="32"/>
              <w:szCs w:val="32"/>
            </w:rPr>
            <w:fldChar w:fldCharType="separate"/>
          </w:r>
          <w:sdt>
            <w:sdtPr>
              <w:rPr>
                <w:rFonts w:hint="eastAsia" w:ascii="宋体" w:hAnsi="宋体" w:eastAsia="宋体" w:cs="宋体"/>
                <w:b/>
                <w:bCs/>
                <w:kern w:val="2"/>
                <w:sz w:val="32"/>
                <w:szCs w:val="32"/>
                <w:lang w:val="en-US" w:eastAsia="zh-CN" w:bidi="ar-SA"/>
              </w:rPr>
              <w:id w:val="357570069"/>
              <w:placeholder>
                <w:docPart w:val="{150df830-af07-43ea-91db-2f3a84a6249f}"/>
              </w:placeholder>
            </w:sdtPr>
            <w:sdtEndPr>
              <w:rPr>
                <w:rFonts w:hint="eastAsia" w:ascii="宋体" w:hAnsi="宋体" w:eastAsia="宋体" w:cs="宋体"/>
                <w:b/>
                <w:bCs/>
                <w:kern w:val="2"/>
                <w:sz w:val="32"/>
                <w:szCs w:val="32"/>
                <w:lang w:val="en-US" w:eastAsia="zh-CN" w:bidi="ar-SA"/>
              </w:rPr>
            </w:sdtEndPr>
            <w:sdtContent>
              <w:r>
                <w:rPr>
                  <w:rFonts w:hint="eastAsia" w:ascii="宋体" w:hAnsi="宋体" w:eastAsia="宋体" w:cs="宋体"/>
                  <w:b/>
                  <w:bCs/>
                  <w:sz w:val="32"/>
                  <w:szCs w:val="32"/>
                </w:rPr>
                <w:t>第二章 发展思路与目标</w:t>
              </w:r>
            </w:sdtContent>
          </w:sdt>
          <w:r>
            <w:rPr>
              <w:rFonts w:hint="eastAsia" w:ascii="宋体" w:hAnsi="宋体" w:eastAsia="宋体" w:cs="宋体"/>
              <w:b/>
              <w:bCs/>
              <w:sz w:val="32"/>
              <w:szCs w:val="32"/>
            </w:rPr>
            <w:tab/>
          </w:r>
          <w:bookmarkStart w:id="13" w:name="_Toc71465642_WPSOffice_Level1Page"/>
          <w:r>
            <w:rPr>
              <w:rFonts w:hint="eastAsia" w:ascii="宋体" w:hAnsi="宋体" w:eastAsia="宋体" w:cs="宋体"/>
              <w:b/>
              <w:bCs/>
              <w:sz w:val="32"/>
              <w:szCs w:val="32"/>
            </w:rPr>
            <w:t>9</w:t>
          </w:r>
          <w:bookmarkEnd w:id="13"/>
          <w:r>
            <w:rPr>
              <w:rFonts w:hint="eastAsia" w:ascii="宋体" w:hAnsi="宋体" w:eastAsia="宋体" w:cs="宋体"/>
              <w:b/>
              <w:bCs/>
              <w:sz w:val="32"/>
              <w:szCs w:val="32"/>
            </w:rPr>
            <w:fldChar w:fldCharType="end"/>
          </w:r>
        </w:p>
        <w:p>
          <w:pPr>
            <w:pStyle w:val="43"/>
            <w:tabs>
              <w:tab w:val="right" w:leader="dot" w:pos="8300"/>
            </w:tabs>
            <w:rPr>
              <w:rFonts w:hint="eastAsia" w:ascii="宋体" w:hAnsi="宋体" w:eastAsia="宋体" w:cs="宋体"/>
              <w:sz w:val="32"/>
              <w:szCs w:val="32"/>
            </w:rPr>
          </w:pPr>
          <w:r>
            <w:rPr>
              <w:rFonts w:hint="eastAsia" w:ascii="宋体" w:hAnsi="宋体" w:eastAsia="宋体" w:cs="宋体"/>
              <w:sz w:val="32"/>
              <w:szCs w:val="32"/>
            </w:rPr>
            <w:fldChar w:fldCharType="begin"/>
          </w:r>
          <w:r>
            <w:rPr>
              <w:rFonts w:hint="eastAsia" w:ascii="宋体" w:hAnsi="宋体" w:eastAsia="宋体" w:cs="宋体"/>
              <w:sz w:val="32"/>
              <w:szCs w:val="32"/>
            </w:rPr>
            <w:instrText xml:space="preserve"> HYPERLINK \l _Toc75046881_WPSOffice_Level2 </w:instrText>
          </w:r>
          <w:r>
            <w:rPr>
              <w:rFonts w:hint="eastAsia" w:ascii="宋体" w:hAnsi="宋体" w:eastAsia="宋体" w:cs="宋体"/>
              <w:sz w:val="32"/>
              <w:szCs w:val="32"/>
            </w:rPr>
            <w:fldChar w:fldCharType="separate"/>
          </w:r>
          <w:sdt>
            <w:sdtPr>
              <w:rPr>
                <w:rFonts w:hint="eastAsia" w:ascii="宋体" w:hAnsi="宋体" w:eastAsia="宋体" w:cs="宋体"/>
                <w:kern w:val="2"/>
                <w:sz w:val="32"/>
                <w:szCs w:val="32"/>
                <w:lang w:val="en-US" w:eastAsia="zh-CN" w:bidi="ar-SA"/>
              </w:rPr>
              <w:id w:val="357570069"/>
              <w:placeholder>
                <w:docPart w:val="{8293f966-f653-498c-af5e-bf3617234f8e}"/>
              </w:placeholder>
            </w:sdtPr>
            <w:sdtEndPr>
              <w:rPr>
                <w:rFonts w:hint="eastAsia" w:ascii="宋体" w:hAnsi="宋体" w:eastAsia="宋体" w:cs="宋体"/>
                <w:kern w:val="2"/>
                <w:sz w:val="32"/>
                <w:szCs w:val="32"/>
                <w:lang w:val="en-US" w:eastAsia="zh-CN" w:bidi="ar-SA"/>
              </w:rPr>
            </w:sdtEndPr>
            <w:sdtContent>
              <w:r>
                <w:rPr>
                  <w:rFonts w:hint="eastAsia" w:ascii="宋体" w:hAnsi="宋体" w:eastAsia="宋体" w:cs="宋体"/>
                  <w:sz w:val="32"/>
                  <w:szCs w:val="32"/>
                </w:rPr>
                <w:t>第一节 战略导向</w:t>
              </w:r>
            </w:sdtContent>
          </w:sdt>
          <w:r>
            <w:rPr>
              <w:rFonts w:hint="eastAsia" w:ascii="宋体" w:hAnsi="宋体" w:eastAsia="宋体" w:cs="宋体"/>
              <w:sz w:val="32"/>
              <w:szCs w:val="32"/>
            </w:rPr>
            <w:tab/>
          </w:r>
          <w:bookmarkStart w:id="14" w:name="_Toc75046881_WPSOffice_Level2Page"/>
          <w:r>
            <w:rPr>
              <w:rFonts w:hint="eastAsia" w:ascii="宋体" w:hAnsi="宋体" w:eastAsia="宋体" w:cs="宋体"/>
              <w:sz w:val="32"/>
              <w:szCs w:val="32"/>
            </w:rPr>
            <w:t>9</w:t>
          </w:r>
          <w:bookmarkEnd w:id="14"/>
          <w:r>
            <w:rPr>
              <w:rFonts w:hint="eastAsia" w:ascii="宋体" w:hAnsi="宋体" w:eastAsia="宋体" w:cs="宋体"/>
              <w:sz w:val="32"/>
              <w:szCs w:val="32"/>
            </w:rPr>
            <w:fldChar w:fldCharType="end"/>
          </w:r>
        </w:p>
        <w:p>
          <w:pPr>
            <w:pStyle w:val="43"/>
            <w:tabs>
              <w:tab w:val="right" w:leader="dot" w:pos="8300"/>
            </w:tabs>
            <w:rPr>
              <w:rFonts w:hint="eastAsia" w:ascii="宋体" w:hAnsi="宋体" w:eastAsia="宋体" w:cs="宋体"/>
              <w:sz w:val="32"/>
              <w:szCs w:val="32"/>
            </w:rPr>
          </w:pPr>
          <w:r>
            <w:rPr>
              <w:rFonts w:hint="eastAsia" w:ascii="宋体" w:hAnsi="宋体" w:eastAsia="宋体" w:cs="宋体"/>
              <w:sz w:val="32"/>
              <w:szCs w:val="32"/>
            </w:rPr>
            <w:fldChar w:fldCharType="begin"/>
          </w:r>
          <w:r>
            <w:rPr>
              <w:rFonts w:hint="eastAsia" w:ascii="宋体" w:hAnsi="宋体" w:eastAsia="宋体" w:cs="宋体"/>
              <w:sz w:val="32"/>
              <w:szCs w:val="32"/>
            </w:rPr>
            <w:instrText xml:space="preserve"> HYPERLINK \l _Toc513815349_WPSOffice_Level2 </w:instrText>
          </w:r>
          <w:r>
            <w:rPr>
              <w:rFonts w:hint="eastAsia" w:ascii="宋体" w:hAnsi="宋体" w:eastAsia="宋体" w:cs="宋体"/>
              <w:sz w:val="32"/>
              <w:szCs w:val="32"/>
            </w:rPr>
            <w:fldChar w:fldCharType="separate"/>
          </w:r>
          <w:sdt>
            <w:sdtPr>
              <w:rPr>
                <w:rFonts w:hint="eastAsia" w:ascii="宋体" w:hAnsi="宋体" w:eastAsia="宋体" w:cs="宋体"/>
                <w:kern w:val="2"/>
                <w:sz w:val="32"/>
                <w:szCs w:val="32"/>
                <w:lang w:val="en-US" w:eastAsia="zh-CN" w:bidi="ar-SA"/>
              </w:rPr>
              <w:id w:val="357570069"/>
              <w:placeholder>
                <w:docPart w:val="{bfbcb910-e671-450a-a3c1-1127d0ed241d}"/>
              </w:placeholder>
            </w:sdtPr>
            <w:sdtEndPr>
              <w:rPr>
                <w:rFonts w:hint="eastAsia" w:ascii="宋体" w:hAnsi="宋体" w:eastAsia="宋体" w:cs="宋体"/>
                <w:kern w:val="2"/>
                <w:sz w:val="32"/>
                <w:szCs w:val="32"/>
                <w:lang w:val="en-US" w:eastAsia="zh-CN" w:bidi="ar-SA"/>
              </w:rPr>
            </w:sdtEndPr>
            <w:sdtContent>
              <w:r>
                <w:rPr>
                  <w:rFonts w:hint="eastAsia" w:ascii="宋体" w:hAnsi="宋体" w:eastAsia="宋体" w:cs="宋体"/>
                  <w:sz w:val="32"/>
                  <w:szCs w:val="32"/>
                </w:rPr>
                <w:t>第二节 指导思想</w:t>
              </w:r>
            </w:sdtContent>
          </w:sdt>
          <w:r>
            <w:rPr>
              <w:rFonts w:hint="eastAsia" w:ascii="宋体" w:hAnsi="宋体" w:eastAsia="宋体" w:cs="宋体"/>
              <w:sz w:val="32"/>
              <w:szCs w:val="32"/>
            </w:rPr>
            <w:tab/>
          </w:r>
          <w:bookmarkStart w:id="15" w:name="_Toc513815349_WPSOffice_Level2Page"/>
          <w:r>
            <w:rPr>
              <w:rFonts w:hint="eastAsia" w:ascii="宋体" w:hAnsi="宋体" w:eastAsia="宋体" w:cs="宋体"/>
              <w:sz w:val="32"/>
              <w:szCs w:val="32"/>
            </w:rPr>
            <w:t>9</w:t>
          </w:r>
          <w:bookmarkEnd w:id="15"/>
          <w:r>
            <w:rPr>
              <w:rFonts w:hint="eastAsia" w:ascii="宋体" w:hAnsi="宋体" w:eastAsia="宋体" w:cs="宋体"/>
              <w:sz w:val="32"/>
              <w:szCs w:val="32"/>
            </w:rPr>
            <w:fldChar w:fldCharType="end"/>
          </w:r>
        </w:p>
        <w:p>
          <w:pPr>
            <w:pStyle w:val="43"/>
            <w:tabs>
              <w:tab w:val="right" w:leader="dot" w:pos="8300"/>
            </w:tabs>
            <w:rPr>
              <w:rFonts w:hint="eastAsia" w:ascii="宋体" w:hAnsi="宋体" w:eastAsia="宋体" w:cs="宋体"/>
              <w:sz w:val="32"/>
              <w:szCs w:val="32"/>
            </w:rPr>
          </w:pPr>
          <w:r>
            <w:rPr>
              <w:rFonts w:hint="eastAsia" w:ascii="宋体" w:hAnsi="宋体" w:eastAsia="宋体" w:cs="宋体"/>
              <w:sz w:val="32"/>
              <w:szCs w:val="32"/>
            </w:rPr>
            <w:fldChar w:fldCharType="begin"/>
          </w:r>
          <w:r>
            <w:rPr>
              <w:rFonts w:hint="eastAsia" w:ascii="宋体" w:hAnsi="宋体" w:eastAsia="宋体" w:cs="宋体"/>
              <w:sz w:val="32"/>
              <w:szCs w:val="32"/>
            </w:rPr>
            <w:instrText xml:space="preserve"> HYPERLINK \l _Toc654771145_WPSOffice_Level2 </w:instrText>
          </w:r>
          <w:r>
            <w:rPr>
              <w:rFonts w:hint="eastAsia" w:ascii="宋体" w:hAnsi="宋体" w:eastAsia="宋体" w:cs="宋体"/>
              <w:sz w:val="32"/>
              <w:szCs w:val="32"/>
            </w:rPr>
            <w:fldChar w:fldCharType="separate"/>
          </w:r>
          <w:sdt>
            <w:sdtPr>
              <w:rPr>
                <w:rFonts w:hint="eastAsia" w:ascii="宋体" w:hAnsi="宋体" w:eastAsia="宋体" w:cs="宋体"/>
                <w:kern w:val="2"/>
                <w:sz w:val="32"/>
                <w:szCs w:val="32"/>
                <w:lang w:val="en-US" w:eastAsia="zh-CN" w:bidi="ar-SA"/>
              </w:rPr>
              <w:id w:val="357570069"/>
              <w:placeholder>
                <w:docPart w:val="{3e4ae584-1145-407b-b0ac-99f34b7b5302}"/>
              </w:placeholder>
            </w:sdtPr>
            <w:sdtEndPr>
              <w:rPr>
                <w:rFonts w:hint="eastAsia" w:ascii="宋体" w:hAnsi="宋体" w:eastAsia="宋体" w:cs="宋体"/>
                <w:kern w:val="2"/>
                <w:sz w:val="32"/>
                <w:szCs w:val="32"/>
                <w:lang w:val="en-US" w:eastAsia="zh-CN" w:bidi="ar-SA"/>
              </w:rPr>
            </w:sdtEndPr>
            <w:sdtContent>
              <w:r>
                <w:rPr>
                  <w:rFonts w:hint="eastAsia" w:ascii="宋体" w:hAnsi="宋体" w:eastAsia="宋体" w:cs="宋体"/>
                  <w:sz w:val="32"/>
                  <w:szCs w:val="32"/>
                </w:rPr>
                <w:t>第三节 基本原则</w:t>
              </w:r>
            </w:sdtContent>
          </w:sdt>
          <w:r>
            <w:rPr>
              <w:rFonts w:hint="eastAsia" w:ascii="宋体" w:hAnsi="宋体" w:eastAsia="宋体" w:cs="宋体"/>
              <w:sz w:val="32"/>
              <w:szCs w:val="32"/>
            </w:rPr>
            <w:tab/>
          </w:r>
          <w:bookmarkStart w:id="16" w:name="_Toc654771145_WPSOffice_Level2Page"/>
          <w:r>
            <w:rPr>
              <w:rFonts w:hint="eastAsia" w:ascii="宋体" w:hAnsi="宋体" w:eastAsia="宋体" w:cs="宋体"/>
              <w:sz w:val="32"/>
              <w:szCs w:val="32"/>
            </w:rPr>
            <w:t>10</w:t>
          </w:r>
          <w:bookmarkEnd w:id="16"/>
          <w:r>
            <w:rPr>
              <w:rFonts w:hint="eastAsia" w:ascii="宋体" w:hAnsi="宋体" w:eastAsia="宋体" w:cs="宋体"/>
              <w:sz w:val="32"/>
              <w:szCs w:val="32"/>
            </w:rPr>
            <w:fldChar w:fldCharType="end"/>
          </w:r>
        </w:p>
        <w:p>
          <w:pPr>
            <w:pStyle w:val="43"/>
            <w:tabs>
              <w:tab w:val="right" w:leader="dot" w:pos="8300"/>
            </w:tabs>
            <w:rPr>
              <w:rFonts w:hint="eastAsia" w:ascii="宋体" w:hAnsi="宋体" w:eastAsia="宋体" w:cs="宋体"/>
              <w:sz w:val="32"/>
              <w:szCs w:val="32"/>
            </w:rPr>
          </w:pPr>
          <w:r>
            <w:rPr>
              <w:rFonts w:hint="eastAsia" w:ascii="宋体" w:hAnsi="宋体" w:eastAsia="宋体" w:cs="宋体"/>
              <w:sz w:val="32"/>
              <w:szCs w:val="32"/>
            </w:rPr>
            <w:fldChar w:fldCharType="begin"/>
          </w:r>
          <w:r>
            <w:rPr>
              <w:rFonts w:hint="eastAsia" w:ascii="宋体" w:hAnsi="宋体" w:eastAsia="宋体" w:cs="宋体"/>
              <w:sz w:val="32"/>
              <w:szCs w:val="32"/>
            </w:rPr>
            <w:instrText xml:space="preserve"> HYPERLINK \l _Toc694231440_WPSOffice_Level2 </w:instrText>
          </w:r>
          <w:r>
            <w:rPr>
              <w:rFonts w:hint="eastAsia" w:ascii="宋体" w:hAnsi="宋体" w:eastAsia="宋体" w:cs="宋体"/>
              <w:sz w:val="32"/>
              <w:szCs w:val="32"/>
            </w:rPr>
            <w:fldChar w:fldCharType="separate"/>
          </w:r>
          <w:sdt>
            <w:sdtPr>
              <w:rPr>
                <w:rFonts w:hint="eastAsia" w:ascii="宋体" w:hAnsi="宋体" w:eastAsia="宋体" w:cs="宋体"/>
                <w:kern w:val="2"/>
                <w:sz w:val="32"/>
                <w:szCs w:val="32"/>
                <w:lang w:val="en-US" w:eastAsia="zh-CN" w:bidi="ar-SA"/>
              </w:rPr>
              <w:id w:val="357570069"/>
              <w:placeholder>
                <w:docPart w:val="{c732f51c-097a-42bb-b808-223d7bb39b32}"/>
              </w:placeholder>
            </w:sdtPr>
            <w:sdtEndPr>
              <w:rPr>
                <w:rFonts w:hint="eastAsia" w:ascii="宋体" w:hAnsi="宋体" w:eastAsia="宋体" w:cs="宋体"/>
                <w:kern w:val="2"/>
                <w:sz w:val="32"/>
                <w:szCs w:val="32"/>
                <w:lang w:val="en-US" w:eastAsia="zh-CN" w:bidi="ar-SA"/>
              </w:rPr>
            </w:sdtEndPr>
            <w:sdtContent>
              <w:r>
                <w:rPr>
                  <w:rFonts w:hint="eastAsia" w:ascii="宋体" w:hAnsi="宋体" w:eastAsia="宋体" w:cs="宋体"/>
                  <w:sz w:val="32"/>
                  <w:szCs w:val="32"/>
                </w:rPr>
                <w:t>第四节 发展目标</w:t>
              </w:r>
            </w:sdtContent>
          </w:sdt>
          <w:r>
            <w:rPr>
              <w:rFonts w:hint="eastAsia" w:ascii="宋体" w:hAnsi="宋体" w:eastAsia="宋体" w:cs="宋体"/>
              <w:sz w:val="32"/>
              <w:szCs w:val="32"/>
            </w:rPr>
            <w:tab/>
          </w:r>
          <w:bookmarkStart w:id="17" w:name="_Toc694231440_WPSOffice_Level2Page"/>
          <w:r>
            <w:rPr>
              <w:rFonts w:hint="eastAsia" w:ascii="宋体" w:hAnsi="宋体" w:eastAsia="宋体" w:cs="宋体"/>
              <w:sz w:val="32"/>
              <w:szCs w:val="32"/>
            </w:rPr>
            <w:t>11</w:t>
          </w:r>
          <w:bookmarkEnd w:id="17"/>
          <w:r>
            <w:rPr>
              <w:rFonts w:hint="eastAsia" w:ascii="宋体" w:hAnsi="宋体" w:eastAsia="宋体" w:cs="宋体"/>
              <w:sz w:val="32"/>
              <w:szCs w:val="32"/>
            </w:rPr>
            <w:fldChar w:fldCharType="end"/>
          </w:r>
        </w:p>
        <w:p>
          <w:pPr>
            <w:pStyle w:val="47"/>
            <w:tabs>
              <w:tab w:val="right" w:leader="dot" w:pos="8300"/>
            </w:tabs>
            <w:rPr>
              <w:rFonts w:hint="eastAsia" w:ascii="宋体" w:hAnsi="宋体" w:eastAsia="宋体" w:cs="宋体"/>
              <w:sz w:val="32"/>
              <w:szCs w:val="32"/>
            </w:rPr>
          </w:pPr>
          <w:r>
            <w:rPr>
              <w:rFonts w:hint="eastAsia" w:ascii="宋体" w:hAnsi="宋体" w:eastAsia="宋体" w:cs="宋体"/>
              <w:b/>
              <w:bCs/>
              <w:sz w:val="32"/>
              <w:szCs w:val="32"/>
            </w:rPr>
            <w:fldChar w:fldCharType="begin"/>
          </w:r>
          <w:r>
            <w:rPr>
              <w:rFonts w:hint="eastAsia" w:ascii="宋体" w:hAnsi="宋体" w:eastAsia="宋体" w:cs="宋体"/>
              <w:sz w:val="32"/>
              <w:szCs w:val="32"/>
            </w:rPr>
            <w:instrText xml:space="preserve"> HYPERLINK \l _Toc29517728_WPSOffice_Level1 </w:instrText>
          </w:r>
          <w:r>
            <w:rPr>
              <w:rFonts w:hint="eastAsia" w:ascii="宋体" w:hAnsi="宋体" w:eastAsia="宋体" w:cs="宋体"/>
              <w:b/>
              <w:bCs/>
              <w:sz w:val="32"/>
              <w:szCs w:val="32"/>
            </w:rPr>
            <w:fldChar w:fldCharType="separate"/>
          </w:r>
          <w:sdt>
            <w:sdtPr>
              <w:rPr>
                <w:rFonts w:hint="eastAsia" w:ascii="宋体" w:hAnsi="宋体" w:eastAsia="宋体" w:cs="宋体"/>
                <w:b/>
                <w:bCs/>
                <w:kern w:val="2"/>
                <w:sz w:val="32"/>
                <w:szCs w:val="32"/>
                <w:lang w:val="en-US" w:eastAsia="zh-CN" w:bidi="ar-SA"/>
              </w:rPr>
              <w:id w:val="357570069"/>
              <w:placeholder>
                <w:docPart w:val="{02671a95-e925-4cf1-a0ba-b1bd4d3fc10b}"/>
              </w:placeholder>
            </w:sdtPr>
            <w:sdtEndPr>
              <w:rPr>
                <w:rFonts w:hint="eastAsia" w:ascii="宋体" w:hAnsi="宋体" w:eastAsia="宋体" w:cs="宋体"/>
                <w:b/>
                <w:bCs/>
                <w:kern w:val="2"/>
                <w:sz w:val="32"/>
                <w:szCs w:val="32"/>
                <w:lang w:val="en-US" w:eastAsia="zh-CN" w:bidi="ar-SA"/>
              </w:rPr>
            </w:sdtEndPr>
            <w:sdtContent>
              <w:r>
                <w:rPr>
                  <w:rFonts w:hint="eastAsia" w:ascii="宋体" w:hAnsi="宋体" w:eastAsia="宋体" w:cs="宋体"/>
                  <w:b/>
                  <w:bCs/>
                  <w:sz w:val="32"/>
                  <w:szCs w:val="32"/>
                </w:rPr>
                <w:t>第三章 打造优势特色农牧业</w:t>
              </w:r>
            </w:sdtContent>
          </w:sdt>
          <w:r>
            <w:rPr>
              <w:rFonts w:hint="eastAsia" w:ascii="宋体" w:hAnsi="宋体" w:eastAsia="宋体" w:cs="宋体"/>
              <w:b/>
              <w:bCs/>
              <w:sz w:val="32"/>
              <w:szCs w:val="32"/>
            </w:rPr>
            <w:tab/>
          </w:r>
          <w:bookmarkStart w:id="18" w:name="_Toc29517728_WPSOffice_Level1Page"/>
          <w:r>
            <w:rPr>
              <w:rFonts w:hint="eastAsia" w:ascii="宋体" w:hAnsi="宋体" w:eastAsia="宋体" w:cs="宋体"/>
              <w:b/>
              <w:bCs/>
              <w:sz w:val="32"/>
              <w:szCs w:val="32"/>
            </w:rPr>
            <w:t>13</w:t>
          </w:r>
          <w:bookmarkEnd w:id="18"/>
          <w:r>
            <w:rPr>
              <w:rFonts w:hint="eastAsia" w:ascii="宋体" w:hAnsi="宋体" w:eastAsia="宋体" w:cs="宋体"/>
              <w:b/>
              <w:bCs/>
              <w:sz w:val="32"/>
              <w:szCs w:val="32"/>
            </w:rPr>
            <w:fldChar w:fldCharType="end"/>
          </w:r>
        </w:p>
        <w:p>
          <w:pPr>
            <w:pStyle w:val="43"/>
            <w:tabs>
              <w:tab w:val="right" w:leader="dot" w:pos="8300"/>
            </w:tabs>
            <w:rPr>
              <w:rFonts w:hint="eastAsia" w:ascii="宋体" w:hAnsi="宋体" w:eastAsia="宋体" w:cs="宋体"/>
              <w:sz w:val="32"/>
              <w:szCs w:val="32"/>
            </w:rPr>
          </w:pPr>
          <w:r>
            <w:rPr>
              <w:rFonts w:hint="eastAsia" w:ascii="宋体" w:hAnsi="宋体" w:eastAsia="宋体" w:cs="宋体"/>
              <w:sz w:val="32"/>
              <w:szCs w:val="32"/>
            </w:rPr>
            <w:fldChar w:fldCharType="begin"/>
          </w:r>
          <w:r>
            <w:rPr>
              <w:rFonts w:hint="eastAsia" w:ascii="宋体" w:hAnsi="宋体" w:eastAsia="宋体" w:cs="宋体"/>
              <w:sz w:val="32"/>
              <w:szCs w:val="32"/>
            </w:rPr>
            <w:instrText xml:space="preserve"> HYPERLINK \l _Toc260404896_WPSOffice_Level2 </w:instrText>
          </w:r>
          <w:r>
            <w:rPr>
              <w:rFonts w:hint="eastAsia" w:ascii="宋体" w:hAnsi="宋体" w:eastAsia="宋体" w:cs="宋体"/>
              <w:sz w:val="32"/>
              <w:szCs w:val="32"/>
            </w:rPr>
            <w:fldChar w:fldCharType="separate"/>
          </w:r>
          <w:sdt>
            <w:sdtPr>
              <w:rPr>
                <w:rFonts w:hint="eastAsia" w:ascii="宋体" w:hAnsi="宋体" w:eastAsia="宋体" w:cs="宋体"/>
                <w:kern w:val="2"/>
                <w:sz w:val="32"/>
                <w:szCs w:val="32"/>
                <w:lang w:val="en-US" w:eastAsia="zh-CN" w:bidi="ar-SA"/>
              </w:rPr>
              <w:id w:val="357570069"/>
              <w:placeholder>
                <w:docPart w:val="{d4d40a97-3a87-4756-be25-3916798a094f}"/>
              </w:placeholder>
            </w:sdtPr>
            <w:sdtEndPr>
              <w:rPr>
                <w:rFonts w:hint="eastAsia" w:ascii="宋体" w:hAnsi="宋体" w:eastAsia="宋体" w:cs="宋体"/>
                <w:kern w:val="2"/>
                <w:sz w:val="32"/>
                <w:szCs w:val="32"/>
                <w:lang w:val="en-US" w:eastAsia="zh-CN" w:bidi="ar-SA"/>
              </w:rPr>
            </w:sdtEndPr>
            <w:sdtContent>
              <w:r>
                <w:rPr>
                  <w:rFonts w:hint="eastAsia" w:ascii="宋体" w:hAnsi="宋体" w:eastAsia="宋体" w:cs="宋体"/>
                  <w:sz w:val="32"/>
                  <w:szCs w:val="32"/>
                </w:rPr>
                <w:t>第一节 做强优质肉羊产业</w:t>
              </w:r>
            </w:sdtContent>
          </w:sdt>
          <w:r>
            <w:rPr>
              <w:rFonts w:hint="eastAsia" w:ascii="宋体" w:hAnsi="宋体" w:eastAsia="宋体" w:cs="宋体"/>
              <w:sz w:val="32"/>
              <w:szCs w:val="32"/>
            </w:rPr>
            <w:tab/>
          </w:r>
          <w:bookmarkStart w:id="19" w:name="_Toc260404896_WPSOffice_Level2Page"/>
          <w:r>
            <w:rPr>
              <w:rFonts w:hint="eastAsia" w:ascii="宋体" w:hAnsi="宋体" w:eastAsia="宋体" w:cs="宋体"/>
              <w:sz w:val="32"/>
              <w:szCs w:val="32"/>
            </w:rPr>
            <w:t>13</w:t>
          </w:r>
          <w:bookmarkEnd w:id="19"/>
          <w:r>
            <w:rPr>
              <w:rFonts w:hint="eastAsia" w:ascii="宋体" w:hAnsi="宋体" w:eastAsia="宋体" w:cs="宋体"/>
              <w:sz w:val="32"/>
              <w:szCs w:val="32"/>
            </w:rPr>
            <w:fldChar w:fldCharType="end"/>
          </w:r>
        </w:p>
        <w:p>
          <w:pPr>
            <w:pStyle w:val="43"/>
            <w:tabs>
              <w:tab w:val="right" w:leader="dot" w:pos="8300"/>
            </w:tabs>
            <w:rPr>
              <w:rFonts w:hint="eastAsia" w:ascii="宋体" w:hAnsi="宋体" w:eastAsia="宋体" w:cs="宋体"/>
              <w:sz w:val="32"/>
              <w:szCs w:val="32"/>
            </w:rPr>
          </w:pPr>
          <w:r>
            <w:rPr>
              <w:rFonts w:hint="eastAsia" w:ascii="宋体" w:hAnsi="宋体" w:eastAsia="宋体" w:cs="宋体"/>
              <w:sz w:val="32"/>
              <w:szCs w:val="32"/>
            </w:rPr>
            <w:fldChar w:fldCharType="begin"/>
          </w:r>
          <w:r>
            <w:rPr>
              <w:rFonts w:hint="eastAsia" w:ascii="宋体" w:hAnsi="宋体" w:eastAsia="宋体" w:cs="宋体"/>
              <w:sz w:val="32"/>
              <w:szCs w:val="32"/>
            </w:rPr>
            <w:instrText xml:space="preserve"> HYPERLINK \l _Toc752678536_WPSOffice_Level2 </w:instrText>
          </w:r>
          <w:r>
            <w:rPr>
              <w:rFonts w:hint="eastAsia" w:ascii="宋体" w:hAnsi="宋体" w:eastAsia="宋体" w:cs="宋体"/>
              <w:sz w:val="32"/>
              <w:szCs w:val="32"/>
            </w:rPr>
            <w:fldChar w:fldCharType="separate"/>
          </w:r>
          <w:sdt>
            <w:sdtPr>
              <w:rPr>
                <w:rFonts w:hint="eastAsia" w:ascii="宋体" w:hAnsi="宋体" w:eastAsia="宋体" w:cs="宋体"/>
                <w:kern w:val="2"/>
                <w:sz w:val="32"/>
                <w:szCs w:val="32"/>
                <w:lang w:val="en-US" w:eastAsia="zh-CN" w:bidi="ar-SA"/>
              </w:rPr>
              <w:id w:val="357570069"/>
              <w:placeholder>
                <w:docPart w:val="{8acc5462-bdda-42b9-9192-964a05589a97}"/>
              </w:placeholder>
            </w:sdtPr>
            <w:sdtEndPr>
              <w:rPr>
                <w:rFonts w:hint="eastAsia" w:ascii="宋体" w:hAnsi="宋体" w:eastAsia="宋体" w:cs="宋体"/>
                <w:kern w:val="2"/>
                <w:sz w:val="32"/>
                <w:szCs w:val="32"/>
                <w:lang w:val="en-US" w:eastAsia="zh-CN" w:bidi="ar-SA"/>
              </w:rPr>
            </w:sdtEndPr>
            <w:sdtContent>
              <w:r>
                <w:rPr>
                  <w:rFonts w:hint="eastAsia" w:ascii="宋体" w:hAnsi="宋体" w:eastAsia="宋体" w:cs="宋体"/>
                  <w:sz w:val="32"/>
                  <w:szCs w:val="32"/>
                </w:rPr>
                <w:t>第二节 做大优质肉牛产业</w:t>
              </w:r>
            </w:sdtContent>
          </w:sdt>
          <w:r>
            <w:rPr>
              <w:rFonts w:hint="eastAsia" w:ascii="宋体" w:hAnsi="宋体" w:eastAsia="宋体" w:cs="宋体"/>
              <w:sz w:val="32"/>
              <w:szCs w:val="32"/>
            </w:rPr>
            <w:tab/>
          </w:r>
          <w:bookmarkStart w:id="20" w:name="_Toc752678536_WPSOffice_Level2Page"/>
          <w:r>
            <w:rPr>
              <w:rFonts w:hint="eastAsia" w:ascii="宋体" w:hAnsi="宋体" w:eastAsia="宋体" w:cs="宋体"/>
              <w:sz w:val="32"/>
              <w:szCs w:val="32"/>
            </w:rPr>
            <w:t>1</w:t>
          </w:r>
          <w:bookmarkEnd w:id="20"/>
          <w:r>
            <w:rPr>
              <w:rFonts w:hint="eastAsia" w:ascii="宋体" w:hAnsi="宋体" w:eastAsia="宋体" w:cs="宋体"/>
              <w:sz w:val="32"/>
              <w:szCs w:val="32"/>
              <w:lang w:val="en-US" w:eastAsia="zh-CN"/>
            </w:rPr>
            <w:t>4</w:t>
          </w:r>
          <w:r>
            <w:rPr>
              <w:rFonts w:hint="eastAsia" w:ascii="宋体" w:hAnsi="宋体" w:eastAsia="宋体" w:cs="宋体"/>
              <w:sz w:val="32"/>
              <w:szCs w:val="32"/>
            </w:rPr>
            <w:fldChar w:fldCharType="end"/>
          </w:r>
        </w:p>
        <w:p>
          <w:pPr>
            <w:pStyle w:val="43"/>
            <w:tabs>
              <w:tab w:val="right" w:leader="dot" w:pos="8300"/>
            </w:tabs>
            <w:rPr>
              <w:rFonts w:hint="eastAsia" w:ascii="宋体" w:hAnsi="宋体" w:eastAsia="宋体" w:cs="宋体"/>
              <w:sz w:val="32"/>
              <w:szCs w:val="32"/>
            </w:rPr>
          </w:pPr>
          <w:r>
            <w:rPr>
              <w:rFonts w:hint="eastAsia" w:ascii="宋体" w:hAnsi="宋体" w:eastAsia="宋体" w:cs="宋体"/>
              <w:sz w:val="32"/>
              <w:szCs w:val="32"/>
            </w:rPr>
            <w:fldChar w:fldCharType="begin"/>
          </w:r>
          <w:r>
            <w:rPr>
              <w:rFonts w:hint="eastAsia" w:ascii="宋体" w:hAnsi="宋体" w:eastAsia="宋体" w:cs="宋体"/>
              <w:sz w:val="32"/>
              <w:szCs w:val="32"/>
            </w:rPr>
            <w:instrText xml:space="preserve"> HYPERLINK \l _Toc1369886222_WPSOffice_Level2 </w:instrText>
          </w:r>
          <w:r>
            <w:rPr>
              <w:rFonts w:hint="eastAsia" w:ascii="宋体" w:hAnsi="宋体" w:eastAsia="宋体" w:cs="宋体"/>
              <w:sz w:val="32"/>
              <w:szCs w:val="32"/>
            </w:rPr>
            <w:fldChar w:fldCharType="separate"/>
          </w:r>
          <w:sdt>
            <w:sdtPr>
              <w:rPr>
                <w:rFonts w:hint="eastAsia" w:ascii="宋体" w:hAnsi="宋体" w:eastAsia="宋体" w:cs="宋体"/>
                <w:kern w:val="2"/>
                <w:sz w:val="32"/>
                <w:szCs w:val="32"/>
                <w:lang w:val="en-US" w:eastAsia="zh-CN" w:bidi="ar-SA"/>
              </w:rPr>
              <w:id w:val="357570069"/>
              <w:placeholder>
                <w:docPart w:val="{92816bf4-7c4b-45f3-9906-75cef37ccdbb}"/>
              </w:placeholder>
            </w:sdtPr>
            <w:sdtEndPr>
              <w:rPr>
                <w:rFonts w:hint="eastAsia" w:ascii="宋体" w:hAnsi="宋体" w:eastAsia="宋体" w:cs="宋体"/>
                <w:kern w:val="2"/>
                <w:sz w:val="32"/>
                <w:szCs w:val="32"/>
                <w:lang w:val="en-US" w:eastAsia="zh-CN" w:bidi="ar-SA"/>
              </w:rPr>
            </w:sdtEndPr>
            <w:sdtContent>
              <w:r>
                <w:rPr>
                  <w:rFonts w:hint="eastAsia" w:ascii="宋体" w:hAnsi="宋体" w:eastAsia="宋体" w:cs="宋体"/>
                  <w:sz w:val="32"/>
                  <w:szCs w:val="32"/>
                </w:rPr>
                <w:t>第三节 全面实施奶业振兴</w:t>
              </w:r>
            </w:sdtContent>
          </w:sdt>
          <w:r>
            <w:rPr>
              <w:rFonts w:hint="eastAsia" w:ascii="宋体" w:hAnsi="宋体" w:eastAsia="宋体" w:cs="宋体"/>
              <w:sz w:val="32"/>
              <w:szCs w:val="32"/>
            </w:rPr>
            <w:tab/>
          </w:r>
          <w:bookmarkStart w:id="21" w:name="_Toc1369886222_WPSOffice_Level2Page"/>
          <w:r>
            <w:rPr>
              <w:rFonts w:hint="eastAsia" w:ascii="宋体" w:hAnsi="宋体" w:eastAsia="宋体" w:cs="宋体"/>
              <w:sz w:val="32"/>
              <w:szCs w:val="32"/>
            </w:rPr>
            <w:t>16</w:t>
          </w:r>
          <w:bookmarkEnd w:id="21"/>
          <w:r>
            <w:rPr>
              <w:rFonts w:hint="eastAsia" w:ascii="宋体" w:hAnsi="宋体" w:eastAsia="宋体" w:cs="宋体"/>
              <w:sz w:val="32"/>
              <w:szCs w:val="32"/>
            </w:rPr>
            <w:fldChar w:fldCharType="end"/>
          </w:r>
        </w:p>
        <w:p>
          <w:pPr>
            <w:pStyle w:val="43"/>
            <w:tabs>
              <w:tab w:val="right" w:leader="dot" w:pos="8300"/>
            </w:tabs>
            <w:rPr>
              <w:rFonts w:hint="eastAsia" w:ascii="宋体" w:hAnsi="宋体" w:eastAsia="宋体" w:cs="宋体"/>
              <w:sz w:val="32"/>
              <w:szCs w:val="32"/>
            </w:rPr>
          </w:pPr>
          <w:r>
            <w:rPr>
              <w:rFonts w:hint="eastAsia" w:ascii="宋体" w:hAnsi="宋体" w:eastAsia="宋体" w:cs="宋体"/>
              <w:sz w:val="32"/>
              <w:szCs w:val="32"/>
            </w:rPr>
            <w:fldChar w:fldCharType="begin"/>
          </w:r>
          <w:r>
            <w:rPr>
              <w:rFonts w:hint="eastAsia" w:ascii="宋体" w:hAnsi="宋体" w:eastAsia="宋体" w:cs="宋体"/>
              <w:sz w:val="32"/>
              <w:szCs w:val="32"/>
            </w:rPr>
            <w:instrText xml:space="preserve"> HYPERLINK \l _Toc1348020955_WPSOffice_Level2 </w:instrText>
          </w:r>
          <w:r>
            <w:rPr>
              <w:rFonts w:hint="eastAsia" w:ascii="宋体" w:hAnsi="宋体" w:eastAsia="宋体" w:cs="宋体"/>
              <w:sz w:val="32"/>
              <w:szCs w:val="32"/>
            </w:rPr>
            <w:fldChar w:fldCharType="separate"/>
          </w:r>
          <w:sdt>
            <w:sdtPr>
              <w:rPr>
                <w:rFonts w:hint="eastAsia" w:ascii="宋体" w:hAnsi="宋体" w:eastAsia="宋体" w:cs="宋体"/>
                <w:kern w:val="2"/>
                <w:sz w:val="32"/>
                <w:szCs w:val="32"/>
                <w:lang w:val="en-US" w:eastAsia="zh-CN" w:bidi="ar-SA"/>
              </w:rPr>
              <w:id w:val="357570069"/>
              <w:placeholder>
                <w:docPart w:val="{a39a60d4-a293-4865-a204-f6c4c6973bb2}"/>
              </w:placeholder>
            </w:sdtPr>
            <w:sdtEndPr>
              <w:rPr>
                <w:rFonts w:hint="eastAsia" w:ascii="宋体" w:hAnsi="宋体" w:eastAsia="宋体" w:cs="宋体"/>
                <w:kern w:val="2"/>
                <w:sz w:val="32"/>
                <w:szCs w:val="32"/>
                <w:lang w:val="en-US" w:eastAsia="zh-CN" w:bidi="ar-SA"/>
              </w:rPr>
            </w:sdtEndPr>
            <w:sdtContent>
              <w:r>
                <w:rPr>
                  <w:rFonts w:hint="eastAsia" w:ascii="宋体" w:hAnsi="宋体" w:eastAsia="宋体" w:cs="宋体"/>
                  <w:sz w:val="32"/>
                  <w:szCs w:val="32"/>
                </w:rPr>
                <w:t>第四节 做精特色畜牧业</w:t>
              </w:r>
            </w:sdtContent>
          </w:sdt>
          <w:r>
            <w:rPr>
              <w:rFonts w:hint="eastAsia" w:ascii="宋体" w:hAnsi="宋体" w:eastAsia="宋体" w:cs="宋体"/>
              <w:sz w:val="32"/>
              <w:szCs w:val="32"/>
            </w:rPr>
            <w:tab/>
          </w:r>
          <w:bookmarkStart w:id="22" w:name="_Toc1348020955_WPSOffice_Level2Page"/>
          <w:r>
            <w:rPr>
              <w:rFonts w:hint="eastAsia" w:ascii="宋体" w:hAnsi="宋体" w:eastAsia="宋体" w:cs="宋体"/>
              <w:sz w:val="32"/>
              <w:szCs w:val="32"/>
            </w:rPr>
            <w:t>17</w:t>
          </w:r>
          <w:bookmarkEnd w:id="22"/>
          <w:r>
            <w:rPr>
              <w:rFonts w:hint="eastAsia" w:ascii="宋体" w:hAnsi="宋体" w:eastAsia="宋体" w:cs="宋体"/>
              <w:sz w:val="32"/>
              <w:szCs w:val="32"/>
            </w:rPr>
            <w:fldChar w:fldCharType="end"/>
          </w:r>
        </w:p>
        <w:p>
          <w:pPr>
            <w:pStyle w:val="43"/>
            <w:tabs>
              <w:tab w:val="right" w:leader="dot" w:pos="8300"/>
            </w:tabs>
            <w:rPr>
              <w:rFonts w:hint="eastAsia" w:ascii="宋体" w:hAnsi="宋体" w:eastAsia="宋体" w:cs="宋体"/>
              <w:sz w:val="32"/>
              <w:szCs w:val="32"/>
            </w:rPr>
          </w:pPr>
          <w:r>
            <w:rPr>
              <w:rFonts w:hint="eastAsia" w:ascii="宋体" w:hAnsi="宋体" w:eastAsia="宋体" w:cs="宋体"/>
              <w:sz w:val="32"/>
              <w:szCs w:val="32"/>
            </w:rPr>
            <w:fldChar w:fldCharType="begin"/>
          </w:r>
          <w:r>
            <w:rPr>
              <w:rFonts w:hint="eastAsia" w:ascii="宋体" w:hAnsi="宋体" w:eastAsia="宋体" w:cs="宋体"/>
              <w:sz w:val="32"/>
              <w:szCs w:val="32"/>
            </w:rPr>
            <w:instrText xml:space="preserve"> HYPERLINK \l _Toc1561949597_WPSOffice_Level2 </w:instrText>
          </w:r>
          <w:r>
            <w:rPr>
              <w:rFonts w:hint="eastAsia" w:ascii="宋体" w:hAnsi="宋体" w:eastAsia="宋体" w:cs="宋体"/>
              <w:sz w:val="32"/>
              <w:szCs w:val="32"/>
            </w:rPr>
            <w:fldChar w:fldCharType="separate"/>
          </w:r>
          <w:sdt>
            <w:sdtPr>
              <w:rPr>
                <w:rFonts w:hint="eastAsia" w:ascii="宋体" w:hAnsi="宋体" w:eastAsia="宋体" w:cs="宋体"/>
                <w:kern w:val="2"/>
                <w:sz w:val="32"/>
                <w:szCs w:val="32"/>
                <w:lang w:val="en-US" w:eastAsia="zh-CN" w:bidi="ar-SA"/>
              </w:rPr>
              <w:id w:val="357570069"/>
              <w:placeholder>
                <w:docPart w:val="{adf47556-a381-460a-a1d3-1c15998d318b}"/>
              </w:placeholder>
            </w:sdtPr>
            <w:sdtEndPr>
              <w:rPr>
                <w:rFonts w:hint="eastAsia" w:ascii="宋体" w:hAnsi="宋体" w:eastAsia="宋体" w:cs="宋体"/>
                <w:kern w:val="2"/>
                <w:sz w:val="32"/>
                <w:szCs w:val="32"/>
                <w:lang w:val="en-US" w:eastAsia="zh-CN" w:bidi="ar-SA"/>
              </w:rPr>
            </w:sdtEndPr>
            <w:sdtContent>
              <w:r>
                <w:rPr>
                  <w:rFonts w:hint="eastAsia" w:ascii="宋体" w:hAnsi="宋体" w:eastAsia="宋体" w:cs="宋体"/>
                  <w:sz w:val="32"/>
                  <w:szCs w:val="32"/>
                </w:rPr>
                <w:t>第五节 做优特色种植业</w:t>
              </w:r>
            </w:sdtContent>
          </w:sdt>
          <w:r>
            <w:rPr>
              <w:rFonts w:hint="eastAsia" w:ascii="宋体" w:hAnsi="宋体" w:eastAsia="宋体" w:cs="宋体"/>
              <w:sz w:val="32"/>
              <w:szCs w:val="32"/>
            </w:rPr>
            <w:tab/>
          </w:r>
          <w:bookmarkStart w:id="23" w:name="_Toc1561949597_WPSOffice_Level2Page"/>
          <w:r>
            <w:rPr>
              <w:rFonts w:hint="eastAsia" w:ascii="宋体" w:hAnsi="宋体" w:eastAsia="宋体" w:cs="宋体"/>
              <w:sz w:val="32"/>
              <w:szCs w:val="32"/>
            </w:rPr>
            <w:t>18</w:t>
          </w:r>
          <w:bookmarkEnd w:id="23"/>
          <w:r>
            <w:rPr>
              <w:rFonts w:hint="eastAsia" w:ascii="宋体" w:hAnsi="宋体" w:eastAsia="宋体" w:cs="宋体"/>
              <w:sz w:val="32"/>
              <w:szCs w:val="32"/>
            </w:rPr>
            <w:fldChar w:fldCharType="end"/>
          </w:r>
        </w:p>
        <w:p>
          <w:pPr>
            <w:pStyle w:val="47"/>
            <w:tabs>
              <w:tab w:val="right" w:leader="dot" w:pos="8300"/>
            </w:tabs>
            <w:rPr>
              <w:rFonts w:hint="eastAsia" w:ascii="宋体" w:hAnsi="宋体" w:eastAsia="宋体" w:cs="宋体"/>
              <w:sz w:val="32"/>
              <w:szCs w:val="32"/>
            </w:rPr>
          </w:pPr>
          <w:r>
            <w:rPr>
              <w:rFonts w:hint="eastAsia" w:ascii="宋体" w:hAnsi="宋体" w:eastAsia="宋体" w:cs="宋体"/>
              <w:b/>
              <w:bCs/>
              <w:sz w:val="32"/>
              <w:szCs w:val="32"/>
            </w:rPr>
            <w:fldChar w:fldCharType="begin"/>
          </w:r>
          <w:r>
            <w:rPr>
              <w:rFonts w:hint="eastAsia" w:ascii="宋体" w:hAnsi="宋体" w:eastAsia="宋体" w:cs="宋体"/>
              <w:sz w:val="32"/>
              <w:szCs w:val="32"/>
            </w:rPr>
            <w:instrText xml:space="preserve"> HYPERLINK \l _Toc75046881_WPSOffice_Level1 </w:instrText>
          </w:r>
          <w:r>
            <w:rPr>
              <w:rFonts w:hint="eastAsia" w:ascii="宋体" w:hAnsi="宋体" w:eastAsia="宋体" w:cs="宋体"/>
              <w:b/>
              <w:bCs/>
              <w:sz w:val="32"/>
              <w:szCs w:val="32"/>
            </w:rPr>
            <w:fldChar w:fldCharType="separate"/>
          </w:r>
          <w:sdt>
            <w:sdtPr>
              <w:rPr>
                <w:rFonts w:hint="eastAsia" w:ascii="宋体" w:hAnsi="宋体" w:eastAsia="宋体" w:cs="宋体"/>
                <w:b/>
                <w:bCs/>
                <w:kern w:val="2"/>
                <w:sz w:val="32"/>
                <w:szCs w:val="32"/>
                <w:lang w:val="en-US" w:eastAsia="zh-CN" w:bidi="ar-SA"/>
              </w:rPr>
              <w:id w:val="357570069"/>
              <w:placeholder>
                <w:docPart w:val="{62967227-a27e-40c8-83e8-f16640266b2e}"/>
              </w:placeholder>
            </w:sdtPr>
            <w:sdtEndPr>
              <w:rPr>
                <w:rFonts w:hint="eastAsia" w:ascii="宋体" w:hAnsi="宋体" w:eastAsia="宋体" w:cs="宋体"/>
                <w:b/>
                <w:bCs/>
                <w:kern w:val="2"/>
                <w:sz w:val="32"/>
                <w:szCs w:val="32"/>
                <w:lang w:val="en-US" w:eastAsia="zh-CN" w:bidi="ar-SA"/>
              </w:rPr>
            </w:sdtEndPr>
            <w:sdtContent>
              <w:r>
                <w:rPr>
                  <w:rFonts w:hint="eastAsia" w:ascii="宋体" w:hAnsi="宋体" w:eastAsia="宋体" w:cs="宋体"/>
                  <w:b/>
                  <w:bCs/>
                  <w:sz w:val="32"/>
                  <w:szCs w:val="32"/>
                </w:rPr>
                <w:t>第四章 推动农村牧区</w:t>
              </w:r>
              <w:r>
                <w:rPr>
                  <w:rFonts w:hint="eastAsia" w:ascii="宋体" w:hAnsi="宋体" w:cs="宋体"/>
                  <w:b/>
                  <w:bCs/>
                  <w:sz w:val="32"/>
                  <w:szCs w:val="32"/>
                  <w:lang w:eastAsia="zh-CN"/>
                </w:rPr>
                <w:t>一二三</w:t>
              </w:r>
              <w:r>
                <w:rPr>
                  <w:rFonts w:hint="eastAsia" w:ascii="宋体" w:hAnsi="宋体" w:eastAsia="宋体" w:cs="宋体"/>
                  <w:b/>
                  <w:bCs/>
                  <w:sz w:val="32"/>
                  <w:szCs w:val="32"/>
                </w:rPr>
                <w:t>产业融合发展</w:t>
              </w:r>
            </w:sdtContent>
          </w:sdt>
          <w:r>
            <w:rPr>
              <w:rFonts w:hint="eastAsia" w:ascii="宋体" w:hAnsi="宋体" w:eastAsia="宋体" w:cs="宋体"/>
              <w:b/>
              <w:bCs/>
              <w:sz w:val="32"/>
              <w:szCs w:val="32"/>
            </w:rPr>
            <w:tab/>
          </w:r>
          <w:bookmarkStart w:id="24" w:name="_Toc75046881_WPSOffice_Level1Page"/>
          <w:r>
            <w:rPr>
              <w:rFonts w:hint="eastAsia" w:ascii="宋体" w:hAnsi="宋体" w:eastAsia="宋体" w:cs="宋体"/>
              <w:b/>
              <w:bCs/>
              <w:sz w:val="32"/>
              <w:szCs w:val="32"/>
            </w:rPr>
            <w:t>2</w:t>
          </w:r>
          <w:bookmarkEnd w:id="24"/>
          <w:r>
            <w:rPr>
              <w:rFonts w:hint="eastAsia" w:ascii="宋体" w:hAnsi="宋体" w:cs="宋体"/>
              <w:b/>
              <w:bCs/>
              <w:sz w:val="32"/>
              <w:szCs w:val="32"/>
              <w:lang w:val="en-US" w:eastAsia="zh-CN"/>
            </w:rPr>
            <w:t>1</w:t>
          </w:r>
          <w:r>
            <w:rPr>
              <w:rFonts w:hint="eastAsia" w:ascii="宋体" w:hAnsi="宋体" w:eastAsia="宋体" w:cs="宋体"/>
              <w:b/>
              <w:bCs/>
              <w:sz w:val="32"/>
              <w:szCs w:val="32"/>
            </w:rPr>
            <w:fldChar w:fldCharType="end"/>
          </w:r>
        </w:p>
        <w:p>
          <w:pPr>
            <w:pStyle w:val="43"/>
            <w:tabs>
              <w:tab w:val="right" w:leader="dot" w:pos="8300"/>
            </w:tabs>
            <w:rPr>
              <w:rFonts w:hint="eastAsia" w:ascii="宋体" w:hAnsi="宋体" w:eastAsia="宋体" w:cs="宋体"/>
              <w:sz w:val="32"/>
              <w:szCs w:val="32"/>
            </w:rPr>
          </w:pPr>
          <w:r>
            <w:rPr>
              <w:rFonts w:hint="eastAsia" w:ascii="宋体" w:hAnsi="宋体" w:eastAsia="宋体" w:cs="宋体"/>
              <w:sz w:val="32"/>
              <w:szCs w:val="32"/>
            </w:rPr>
            <w:fldChar w:fldCharType="begin"/>
          </w:r>
          <w:r>
            <w:rPr>
              <w:rFonts w:hint="eastAsia" w:ascii="宋体" w:hAnsi="宋体" w:eastAsia="宋体" w:cs="宋体"/>
              <w:sz w:val="32"/>
              <w:szCs w:val="32"/>
            </w:rPr>
            <w:instrText xml:space="preserve"> HYPERLINK \l _Toc1806403098_WPSOffice_Level2 </w:instrText>
          </w:r>
          <w:r>
            <w:rPr>
              <w:rFonts w:hint="eastAsia" w:ascii="宋体" w:hAnsi="宋体" w:eastAsia="宋体" w:cs="宋体"/>
              <w:sz w:val="32"/>
              <w:szCs w:val="32"/>
            </w:rPr>
            <w:fldChar w:fldCharType="separate"/>
          </w:r>
          <w:sdt>
            <w:sdtPr>
              <w:rPr>
                <w:rFonts w:hint="eastAsia" w:ascii="宋体" w:hAnsi="宋体" w:eastAsia="宋体" w:cs="宋体"/>
                <w:kern w:val="2"/>
                <w:sz w:val="32"/>
                <w:szCs w:val="32"/>
                <w:lang w:val="en-US" w:eastAsia="zh-CN" w:bidi="ar-SA"/>
              </w:rPr>
              <w:id w:val="357570069"/>
              <w:placeholder>
                <w:docPart w:val="{e236c5ac-d724-4518-a436-43a97523126e}"/>
              </w:placeholder>
            </w:sdtPr>
            <w:sdtEndPr>
              <w:rPr>
                <w:rFonts w:hint="eastAsia" w:ascii="宋体" w:hAnsi="宋体" w:eastAsia="宋体" w:cs="宋体"/>
                <w:kern w:val="2"/>
                <w:sz w:val="32"/>
                <w:szCs w:val="32"/>
                <w:lang w:val="en-US" w:eastAsia="zh-CN" w:bidi="ar-SA"/>
              </w:rPr>
            </w:sdtEndPr>
            <w:sdtContent>
              <w:r>
                <w:rPr>
                  <w:rFonts w:hint="eastAsia" w:ascii="宋体" w:hAnsi="宋体" w:eastAsia="宋体" w:cs="宋体"/>
                  <w:sz w:val="32"/>
                  <w:szCs w:val="32"/>
                </w:rPr>
                <w:t>第一节 加快推进农牧产业集群发展</w:t>
              </w:r>
            </w:sdtContent>
          </w:sdt>
          <w:r>
            <w:rPr>
              <w:rFonts w:hint="eastAsia" w:ascii="宋体" w:hAnsi="宋体" w:eastAsia="宋体" w:cs="宋体"/>
              <w:sz w:val="32"/>
              <w:szCs w:val="32"/>
            </w:rPr>
            <w:tab/>
          </w:r>
          <w:bookmarkStart w:id="25" w:name="_Toc1806403098_WPSOffice_Level2Page"/>
          <w:r>
            <w:rPr>
              <w:rFonts w:hint="eastAsia" w:ascii="宋体" w:hAnsi="宋体" w:eastAsia="宋体" w:cs="宋体"/>
              <w:sz w:val="32"/>
              <w:szCs w:val="32"/>
            </w:rPr>
            <w:t>2</w:t>
          </w:r>
          <w:bookmarkEnd w:id="25"/>
          <w:r>
            <w:rPr>
              <w:rFonts w:hint="eastAsia" w:ascii="宋体" w:hAnsi="宋体" w:eastAsia="宋体" w:cs="宋体"/>
              <w:sz w:val="32"/>
              <w:szCs w:val="32"/>
              <w:lang w:val="en-US" w:eastAsia="zh-CN"/>
            </w:rPr>
            <w:t>1</w:t>
          </w:r>
          <w:r>
            <w:rPr>
              <w:rFonts w:hint="eastAsia" w:ascii="宋体" w:hAnsi="宋体" w:eastAsia="宋体" w:cs="宋体"/>
              <w:sz w:val="32"/>
              <w:szCs w:val="32"/>
            </w:rPr>
            <w:fldChar w:fldCharType="end"/>
          </w:r>
        </w:p>
        <w:p>
          <w:pPr>
            <w:pStyle w:val="43"/>
            <w:tabs>
              <w:tab w:val="right" w:leader="dot" w:pos="8300"/>
            </w:tabs>
            <w:rPr>
              <w:rFonts w:hint="eastAsia" w:ascii="宋体" w:hAnsi="宋体" w:eastAsia="宋体" w:cs="宋体"/>
              <w:sz w:val="32"/>
              <w:szCs w:val="32"/>
            </w:rPr>
          </w:pPr>
          <w:r>
            <w:rPr>
              <w:rFonts w:hint="eastAsia" w:ascii="宋体" w:hAnsi="宋体" w:eastAsia="宋体" w:cs="宋体"/>
              <w:sz w:val="32"/>
              <w:szCs w:val="32"/>
            </w:rPr>
            <w:fldChar w:fldCharType="begin"/>
          </w:r>
          <w:r>
            <w:rPr>
              <w:rFonts w:hint="eastAsia" w:ascii="宋体" w:hAnsi="宋体" w:eastAsia="宋体" w:cs="宋体"/>
              <w:sz w:val="32"/>
              <w:szCs w:val="32"/>
            </w:rPr>
            <w:instrText xml:space="preserve"> HYPERLINK \l _Toc725736920_WPSOffice_Level2 </w:instrText>
          </w:r>
          <w:r>
            <w:rPr>
              <w:rFonts w:hint="eastAsia" w:ascii="宋体" w:hAnsi="宋体" w:eastAsia="宋体" w:cs="宋体"/>
              <w:sz w:val="32"/>
              <w:szCs w:val="32"/>
            </w:rPr>
            <w:fldChar w:fldCharType="separate"/>
          </w:r>
          <w:sdt>
            <w:sdtPr>
              <w:rPr>
                <w:rFonts w:hint="eastAsia" w:ascii="宋体" w:hAnsi="宋体" w:eastAsia="宋体" w:cs="宋体"/>
                <w:kern w:val="2"/>
                <w:sz w:val="32"/>
                <w:szCs w:val="32"/>
                <w:lang w:val="en-US" w:eastAsia="zh-CN" w:bidi="ar-SA"/>
              </w:rPr>
              <w:id w:val="357570069"/>
              <w:placeholder>
                <w:docPart w:val="{fda8cd7a-401c-49df-ba05-750bf4ada8db}"/>
              </w:placeholder>
            </w:sdtPr>
            <w:sdtEndPr>
              <w:rPr>
                <w:rFonts w:hint="eastAsia" w:ascii="宋体" w:hAnsi="宋体" w:eastAsia="宋体" w:cs="宋体"/>
                <w:kern w:val="2"/>
                <w:sz w:val="32"/>
                <w:szCs w:val="32"/>
                <w:lang w:val="en-US" w:eastAsia="zh-CN" w:bidi="ar-SA"/>
              </w:rPr>
            </w:sdtEndPr>
            <w:sdtContent>
              <w:r>
                <w:rPr>
                  <w:rFonts w:hint="eastAsia" w:ascii="宋体" w:hAnsi="宋体" w:eastAsia="宋体" w:cs="宋体"/>
                  <w:sz w:val="32"/>
                  <w:szCs w:val="32"/>
                </w:rPr>
                <w:t>第二节 提升农畜产品加工能力和水平</w:t>
              </w:r>
            </w:sdtContent>
          </w:sdt>
          <w:r>
            <w:rPr>
              <w:rFonts w:hint="eastAsia" w:ascii="宋体" w:hAnsi="宋体" w:eastAsia="宋体" w:cs="宋体"/>
              <w:sz w:val="32"/>
              <w:szCs w:val="32"/>
            </w:rPr>
            <w:tab/>
          </w:r>
          <w:bookmarkStart w:id="26" w:name="_Toc725736920_WPSOffice_Level2Page"/>
          <w:r>
            <w:rPr>
              <w:rFonts w:hint="eastAsia" w:ascii="宋体" w:hAnsi="宋体" w:eastAsia="宋体" w:cs="宋体"/>
              <w:sz w:val="32"/>
              <w:szCs w:val="32"/>
            </w:rPr>
            <w:t>2</w:t>
          </w:r>
          <w:bookmarkEnd w:id="26"/>
          <w:r>
            <w:rPr>
              <w:rFonts w:hint="eastAsia" w:ascii="宋体" w:hAnsi="宋体" w:eastAsia="宋体" w:cs="宋体"/>
              <w:sz w:val="32"/>
              <w:szCs w:val="32"/>
              <w:lang w:val="en-US" w:eastAsia="zh-CN"/>
            </w:rPr>
            <w:t>2</w:t>
          </w:r>
          <w:r>
            <w:rPr>
              <w:rFonts w:hint="eastAsia" w:ascii="宋体" w:hAnsi="宋体" w:eastAsia="宋体" w:cs="宋体"/>
              <w:sz w:val="32"/>
              <w:szCs w:val="32"/>
            </w:rPr>
            <w:fldChar w:fldCharType="end"/>
          </w:r>
        </w:p>
        <w:p>
          <w:pPr>
            <w:pStyle w:val="43"/>
            <w:tabs>
              <w:tab w:val="right" w:leader="dot" w:pos="8300"/>
            </w:tabs>
            <w:rPr>
              <w:rFonts w:hint="eastAsia" w:ascii="宋体" w:hAnsi="宋体" w:eastAsia="宋体" w:cs="宋体"/>
              <w:sz w:val="32"/>
              <w:szCs w:val="32"/>
            </w:rPr>
          </w:pPr>
          <w:r>
            <w:rPr>
              <w:rFonts w:hint="eastAsia" w:ascii="宋体" w:hAnsi="宋体" w:eastAsia="宋体" w:cs="宋体"/>
              <w:sz w:val="32"/>
              <w:szCs w:val="32"/>
            </w:rPr>
            <w:fldChar w:fldCharType="begin"/>
          </w:r>
          <w:r>
            <w:rPr>
              <w:rFonts w:hint="eastAsia" w:ascii="宋体" w:hAnsi="宋体" w:eastAsia="宋体" w:cs="宋体"/>
              <w:sz w:val="32"/>
              <w:szCs w:val="32"/>
            </w:rPr>
            <w:instrText xml:space="preserve"> HYPERLINK \l _Toc2023337273_WPSOffice_Level2 </w:instrText>
          </w:r>
          <w:r>
            <w:rPr>
              <w:rFonts w:hint="eastAsia" w:ascii="宋体" w:hAnsi="宋体" w:eastAsia="宋体" w:cs="宋体"/>
              <w:sz w:val="32"/>
              <w:szCs w:val="32"/>
            </w:rPr>
            <w:fldChar w:fldCharType="separate"/>
          </w:r>
          <w:sdt>
            <w:sdtPr>
              <w:rPr>
                <w:rFonts w:hint="eastAsia" w:ascii="宋体" w:hAnsi="宋体" w:eastAsia="宋体" w:cs="宋体"/>
                <w:kern w:val="2"/>
                <w:sz w:val="32"/>
                <w:szCs w:val="32"/>
                <w:lang w:val="en-US" w:eastAsia="zh-CN" w:bidi="ar-SA"/>
              </w:rPr>
              <w:id w:val="357570069"/>
              <w:placeholder>
                <w:docPart w:val="{da30d7ce-83ca-4caf-8ade-c3d3d5de8afe}"/>
              </w:placeholder>
            </w:sdtPr>
            <w:sdtEndPr>
              <w:rPr>
                <w:rFonts w:hint="eastAsia" w:ascii="宋体" w:hAnsi="宋体" w:eastAsia="宋体" w:cs="宋体"/>
                <w:kern w:val="2"/>
                <w:sz w:val="32"/>
                <w:szCs w:val="32"/>
                <w:lang w:val="en-US" w:eastAsia="zh-CN" w:bidi="ar-SA"/>
              </w:rPr>
            </w:sdtEndPr>
            <w:sdtContent>
              <w:r>
                <w:rPr>
                  <w:rFonts w:hint="eastAsia" w:ascii="宋体" w:hAnsi="宋体" w:eastAsia="宋体" w:cs="宋体"/>
                  <w:sz w:val="32"/>
                  <w:szCs w:val="32"/>
                </w:rPr>
                <w:t>第三节 完善农畜产品流通体系</w:t>
              </w:r>
            </w:sdtContent>
          </w:sdt>
          <w:r>
            <w:rPr>
              <w:rFonts w:hint="eastAsia" w:ascii="宋体" w:hAnsi="宋体" w:eastAsia="宋体" w:cs="宋体"/>
              <w:sz w:val="32"/>
              <w:szCs w:val="32"/>
            </w:rPr>
            <w:tab/>
          </w:r>
          <w:bookmarkStart w:id="27" w:name="_Toc2023337273_WPSOffice_Level2Page"/>
          <w:r>
            <w:rPr>
              <w:rFonts w:hint="eastAsia" w:ascii="宋体" w:hAnsi="宋体" w:eastAsia="宋体" w:cs="宋体"/>
              <w:sz w:val="32"/>
              <w:szCs w:val="32"/>
            </w:rPr>
            <w:t>2</w:t>
          </w:r>
          <w:bookmarkEnd w:id="27"/>
          <w:r>
            <w:rPr>
              <w:rFonts w:hint="eastAsia" w:ascii="宋体" w:hAnsi="宋体" w:eastAsia="宋体" w:cs="宋体"/>
              <w:sz w:val="32"/>
              <w:szCs w:val="32"/>
              <w:lang w:val="en-US" w:eastAsia="zh-CN"/>
            </w:rPr>
            <w:t>4</w:t>
          </w:r>
          <w:r>
            <w:rPr>
              <w:rFonts w:hint="eastAsia" w:ascii="宋体" w:hAnsi="宋体" w:eastAsia="宋体" w:cs="宋体"/>
              <w:sz w:val="32"/>
              <w:szCs w:val="32"/>
            </w:rPr>
            <w:fldChar w:fldCharType="end"/>
          </w:r>
        </w:p>
        <w:p>
          <w:pPr>
            <w:pStyle w:val="43"/>
            <w:tabs>
              <w:tab w:val="right" w:leader="dot" w:pos="8300"/>
            </w:tabs>
            <w:rPr>
              <w:rFonts w:hint="eastAsia" w:ascii="宋体" w:hAnsi="宋体" w:eastAsia="宋体" w:cs="宋体"/>
              <w:sz w:val="32"/>
              <w:szCs w:val="32"/>
            </w:rPr>
            <w:sectPr>
              <w:footerReference r:id="rId4" w:type="default"/>
              <w:pgSz w:w="11900" w:h="16840"/>
              <w:pgMar w:top="1440" w:right="1800" w:bottom="1440" w:left="1800" w:header="851" w:footer="992" w:gutter="0"/>
              <w:pgBorders>
                <w:top w:val="none" w:sz="0" w:space="0"/>
                <w:left w:val="none" w:sz="0" w:space="0"/>
                <w:bottom w:val="none" w:sz="0" w:space="0"/>
                <w:right w:val="none" w:sz="0" w:space="0"/>
              </w:pgBorders>
              <w:pgNumType w:fmt="numberInDash" w:start="1"/>
              <w:cols w:space="425" w:num="1"/>
              <w:docGrid w:type="lines" w:linePitch="312" w:charSpace="0"/>
            </w:sectPr>
          </w:pPr>
        </w:p>
        <w:p>
          <w:pPr>
            <w:pStyle w:val="43"/>
            <w:tabs>
              <w:tab w:val="right" w:leader="dot" w:pos="8300"/>
            </w:tabs>
            <w:rPr>
              <w:rFonts w:hint="eastAsia" w:ascii="宋体" w:hAnsi="宋体" w:eastAsia="宋体" w:cs="宋体"/>
              <w:sz w:val="32"/>
              <w:szCs w:val="32"/>
            </w:rPr>
          </w:pPr>
          <w:r>
            <w:rPr>
              <w:rFonts w:hint="eastAsia" w:ascii="宋体" w:hAnsi="宋体" w:eastAsia="宋体" w:cs="宋体"/>
              <w:sz w:val="32"/>
              <w:szCs w:val="32"/>
            </w:rPr>
            <w:fldChar w:fldCharType="begin"/>
          </w:r>
          <w:r>
            <w:rPr>
              <w:rFonts w:hint="eastAsia" w:ascii="宋体" w:hAnsi="宋体" w:eastAsia="宋体" w:cs="宋体"/>
              <w:sz w:val="32"/>
              <w:szCs w:val="32"/>
            </w:rPr>
            <w:instrText xml:space="preserve"> HYPERLINK \l _Toc2128170646_WPSOffice_Level2 </w:instrText>
          </w:r>
          <w:r>
            <w:rPr>
              <w:rFonts w:hint="eastAsia" w:ascii="宋体" w:hAnsi="宋体" w:eastAsia="宋体" w:cs="宋体"/>
              <w:sz w:val="32"/>
              <w:szCs w:val="32"/>
            </w:rPr>
            <w:fldChar w:fldCharType="separate"/>
          </w:r>
          <w:sdt>
            <w:sdtPr>
              <w:rPr>
                <w:rFonts w:hint="eastAsia" w:ascii="宋体" w:hAnsi="宋体" w:eastAsia="宋体" w:cs="宋体"/>
                <w:kern w:val="2"/>
                <w:sz w:val="32"/>
                <w:szCs w:val="32"/>
                <w:lang w:val="en-US" w:eastAsia="zh-CN" w:bidi="ar-SA"/>
              </w:rPr>
              <w:id w:val="357570069"/>
              <w:placeholder>
                <w:docPart w:val="{0d79452a-4e50-4190-aa91-363727d11321}"/>
              </w:placeholder>
            </w:sdtPr>
            <w:sdtEndPr>
              <w:rPr>
                <w:rFonts w:hint="eastAsia" w:ascii="宋体" w:hAnsi="宋体" w:eastAsia="宋体" w:cs="宋体"/>
                <w:kern w:val="2"/>
                <w:sz w:val="32"/>
                <w:szCs w:val="32"/>
                <w:lang w:val="en-US" w:eastAsia="zh-CN" w:bidi="ar-SA"/>
              </w:rPr>
            </w:sdtEndPr>
            <w:sdtContent>
              <w:r>
                <w:rPr>
                  <w:rFonts w:hint="eastAsia" w:ascii="宋体" w:hAnsi="宋体" w:eastAsia="宋体" w:cs="宋体"/>
                  <w:sz w:val="32"/>
                  <w:szCs w:val="32"/>
                </w:rPr>
                <w:t>第四节 发展农村牧区休闲旅游</w:t>
              </w:r>
            </w:sdtContent>
          </w:sdt>
          <w:r>
            <w:rPr>
              <w:rFonts w:hint="eastAsia" w:ascii="宋体" w:hAnsi="宋体" w:eastAsia="宋体" w:cs="宋体"/>
              <w:sz w:val="32"/>
              <w:szCs w:val="32"/>
            </w:rPr>
            <w:tab/>
          </w:r>
          <w:bookmarkStart w:id="28" w:name="_Toc2128170646_WPSOffice_Level2Page"/>
          <w:r>
            <w:rPr>
              <w:rFonts w:hint="eastAsia" w:ascii="宋体" w:hAnsi="宋体" w:eastAsia="宋体" w:cs="宋体"/>
              <w:sz w:val="32"/>
              <w:szCs w:val="32"/>
            </w:rPr>
            <w:t>2</w:t>
          </w:r>
          <w:bookmarkEnd w:id="28"/>
          <w:r>
            <w:rPr>
              <w:rFonts w:hint="eastAsia" w:ascii="宋体" w:hAnsi="宋体" w:eastAsia="宋体" w:cs="宋体"/>
              <w:sz w:val="32"/>
              <w:szCs w:val="32"/>
              <w:lang w:val="en-US" w:eastAsia="zh-CN"/>
            </w:rPr>
            <w:t>5</w:t>
          </w:r>
          <w:r>
            <w:rPr>
              <w:rFonts w:hint="eastAsia" w:ascii="宋体" w:hAnsi="宋体" w:eastAsia="宋体" w:cs="宋体"/>
              <w:sz w:val="32"/>
              <w:szCs w:val="32"/>
            </w:rPr>
            <w:fldChar w:fldCharType="end"/>
          </w:r>
        </w:p>
        <w:p>
          <w:pPr>
            <w:pStyle w:val="43"/>
            <w:tabs>
              <w:tab w:val="right" w:leader="dot" w:pos="8300"/>
            </w:tabs>
            <w:rPr>
              <w:rFonts w:hint="eastAsia" w:ascii="宋体" w:hAnsi="宋体" w:eastAsia="宋体" w:cs="宋体"/>
              <w:sz w:val="32"/>
              <w:szCs w:val="32"/>
            </w:rPr>
          </w:pPr>
          <w:r>
            <w:rPr>
              <w:rFonts w:hint="eastAsia" w:ascii="宋体" w:hAnsi="宋体" w:eastAsia="宋体" w:cs="宋体"/>
              <w:sz w:val="32"/>
              <w:szCs w:val="32"/>
            </w:rPr>
            <w:fldChar w:fldCharType="begin"/>
          </w:r>
          <w:r>
            <w:rPr>
              <w:rFonts w:hint="eastAsia" w:ascii="宋体" w:hAnsi="宋体" w:eastAsia="宋体" w:cs="宋体"/>
              <w:sz w:val="32"/>
              <w:szCs w:val="32"/>
            </w:rPr>
            <w:instrText xml:space="preserve"> HYPERLINK \l _Toc1158793739_WPSOffice_Level2 </w:instrText>
          </w:r>
          <w:r>
            <w:rPr>
              <w:rFonts w:hint="eastAsia" w:ascii="宋体" w:hAnsi="宋体" w:eastAsia="宋体" w:cs="宋体"/>
              <w:sz w:val="32"/>
              <w:szCs w:val="32"/>
            </w:rPr>
            <w:fldChar w:fldCharType="separate"/>
          </w:r>
          <w:sdt>
            <w:sdtPr>
              <w:rPr>
                <w:rFonts w:hint="eastAsia" w:ascii="宋体" w:hAnsi="宋体" w:eastAsia="宋体" w:cs="宋体"/>
                <w:kern w:val="2"/>
                <w:sz w:val="32"/>
                <w:szCs w:val="32"/>
                <w:lang w:val="en-US" w:eastAsia="zh-CN" w:bidi="ar-SA"/>
              </w:rPr>
              <w:id w:val="357570069"/>
              <w:placeholder>
                <w:docPart w:val="{c5984c0b-6ea7-41be-8304-dac904641be6}"/>
              </w:placeholder>
            </w:sdtPr>
            <w:sdtEndPr>
              <w:rPr>
                <w:rFonts w:hint="eastAsia" w:ascii="宋体" w:hAnsi="宋体" w:eastAsia="宋体" w:cs="宋体"/>
                <w:kern w:val="2"/>
                <w:sz w:val="32"/>
                <w:szCs w:val="32"/>
                <w:lang w:val="en-US" w:eastAsia="zh-CN" w:bidi="ar-SA"/>
              </w:rPr>
            </w:sdtEndPr>
            <w:sdtContent>
              <w:r>
                <w:rPr>
                  <w:rFonts w:hint="eastAsia" w:ascii="宋体" w:hAnsi="宋体" w:eastAsia="宋体" w:cs="宋体"/>
                  <w:sz w:val="32"/>
                  <w:szCs w:val="32"/>
                </w:rPr>
                <w:t>第五节 培育农畜产品区域公用品牌</w:t>
              </w:r>
            </w:sdtContent>
          </w:sdt>
          <w:r>
            <w:rPr>
              <w:rFonts w:hint="eastAsia" w:ascii="宋体" w:hAnsi="宋体" w:eastAsia="宋体" w:cs="宋体"/>
              <w:sz w:val="32"/>
              <w:szCs w:val="32"/>
            </w:rPr>
            <w:tab/>
          </w:r>
          <w:bookmarkStart w:id="29" w:name="_Toc1158793739_WPSOffice_Level2Page"/>
          <w:r>
            <w:rPr>
              <w:rFonts w:hint="eastAsia" w:ascii="宋体" w:hAnsi="宋体" w:eastAsia="宋体" w:cs="宋体"/>
              <w:sz w:val="32"/>
              <w:szCs w:val="32"/>
            </w:rPr>
            <w:t>2</w:t>
          </w:r>
          <w:bookmarkEnd w:id="29"/>
          <w:r>
            <w:rPr>
              <w:rFonts w:hint="eastAsia" w:ascii="宋体" w:hAnsi="宋体" w:eastAsia="宋体" w:cs="宋体"/>
              <w:sz w:val="32"/>
              <w:szCs w:val="32"/>
              <w:lang w:val="en-US" w:eastAsia="zh-CN"/>
            </w:rPr>
            <w:t>6</w:t>
          </w:r>
          <w:r>
            <w:rPr>
              <w:rFonts w:hint="eastAsia" w:ascii="宋体" w:hAnsi="宋体" w:eastAsia="宋体" w:cs="宋体"/>
              <w:sz w:val="32"/>
              <w:szCs w:val="32"/>
            </w:rPr>
            <w:fldChar w:fldCharType="end"/>
          </w:r>
        </w:p>
        <w:p>
          <w:pPr>
            <w:pStyle w:val="43"/>
            <w:tabs>
              <w:tab w:val="right" w:leader="dot" w:pos="8300"/>
            </w:tabs>
            <w:rPr>
              <w:rFonts w:hint="eastAsia" w:ascii="宋体" w:hAnsi="宋体" w:eastAsia="宋体" w:cs="宋体"/>
              <w:sz w:val="32"/>
              <w:szCs w:val="32"/>
            </w:rPr>
          </w:pPr>
          <w:r>
            <w:rPr>
              <w:rFonts w:hint="eastAsia" w:ascii="宋体" w:hAnsi="宋体" w:eastAsia="宋体" w:cs="宋体"/>
              <w:sz w:val="32"/>
              <w:szCs w:val="32"/>
            </w:rPr>
            <w:fldChar w:fldCharType="begin"/>
          </w:r>
          <w:r>
            <w:rPr>
              <w:rFonts w:hint="eastAsia" w:ascii="宋体" w:hAnsi="宋体" w:eastAsia="宋体" w:cs="宋体"/>
              <w:sz w:val="32"/>
              <w:szCs w:val="32"/>
            </w:rPr>
            <w:instrText xml:space="preserve"> HYPERLINK \l _Toc348925602_WPSOffice_Level2 </w:instrText>
          </w:r>
          <w:r>
            <w:rPr>
              <w:rFonts w:hint="eastAsia" w:ascii="宋体" w:hAnsi="宋体" w:eastAsia="宋体" w:cs="宋体"/>
              <w:sz w:val="32"/>
              <w:szCs w:val="32"/>
            </w:rPr>
            <w:fldChar w:fldCharType="separate"/>
          </w:r>
          <w:sdt>
            <w:sdtPr>
              <w:rPr>
                <w:rFonts w:hint="eastAsia" w:ascii="宋体" w:hAnsi="宋体" w:eastAsia="宋体" w:cs="宋体"/>
                <w:kern w:val="2"/>
                <w:sz w:val="32"/>
                <w:szCs w:val="32"/>
                <w:lang w:val="en-US" w:eastAsia="zh-CN" w:bidi="ar-SA"/>
              </w:rPr>
              <w:id w:val="357570069"/>
              <w:placeholder>
                <w:docPart w:val="{2a7d2a54-f57a-4f98-a722-44eea55ffe3e}"/>
              </w:placeholder>
            </w:sdtPr>
            <w:sdtEndPr>
              <w:rPr>
                <w:rFonts w:hint="eastAsia" w:ascii="宋体" w:hAnsi="宋体" w:eastAsia="宋体" w:cs="宋体"/>
                <w:kern w:val="2"/>
                <w:sz w:val="32"/>
                <w:szCs w:val="32"/>
                <w:lang w:val="en-US" w:eastAsia="zh-CN" w:bidi="ar-SA"/>
              </w:rPr>
            </w:sdtEndPr>
            <w:sdtContent>
              <w:r>
                <w:rPr>
                  <w:rFonts w:hint="eastAsia" w:ascii="宋体" w:hAnsi="宋体" w:eastAsia="宋体" w:cs="宋体"/>
                  <w:sz w:val="32"/>
                  <w:szCs w:val="32"/>
                </w:rPr>
                <w:t>第六节 健全现代农牧业经营体系</w:t>
              </w:r>
            </w:sdtContent>
          </w:sdt>
          <w:r>
            <w:rPr>
              <w:rFonts w:hint="eastAsia" w:ascii="宋体" w:hAnsi="宋体" w:eastAsia="宋体" w:cs="宋体"/>
              <w:sz w:val="32"/>
              <w:szCs w:val="32"/>
            </w:rPr>
            <w:tab/>
          </w:r>
          <w:bookmarkStart w:id="30" w:name="_Toc348925602_WPSOffice_Level2Page"/>
          <w:r>
            <w:rPr>
              <w:rFonts w:hint="eastAsia" w:ascii="宋体" w:hAnsi="宋体" w:eastAsia="宋体" w:cs="宋体"/>
              <w:sz w:val="32"/>
              <w:szCs w:val="32"/>
            </w:rPr>
            <w:t>2</w:t>
          </w:r>
          <w:bookmarkEnd w:id="30"/>
          <w:r>
            <w:rPr>
              <w:rFonts w:hint="eastAsia" w:ascii="宋体" w:hAnsi="宋体" w:eastAsia="宋体" w:cs="宋体"/>
              <w:sz w:val="32"/>
              <w:szCs w:val="32"/>
              <w:lang w:val="en-US" w:eastAsia="zh-CN"/>
            </w:rPr>
            <w:t>8</w:t>
          </w:r>
          <w:r>
            <w:rPr>
              <w:rFonts w:hint="eastAsia" w:ascii="宋体" w:hAnsi="宋体" w:eastAsia="宋体" w:cs="宋体"/>
              <w:sz w:val="32"/>
              <w:szCs w:val="32"/>
            </w:rPr>
            <w:fldChar w:fldCharType="end"/>
          </w:r>
        </w:p>
        <w:p>
          <w:pPr>
            <w:pStyle w:val="47"/>
            <w:tabs>
              <w:tab w:val="right" w:leader="dot" w:pos="8300"/>
            </w:tabs>
            <w:rPr>
              <w:rFonts w:hint="eastAsia" w:ascii="宋体" w:hAnsi="宋体" w:eastAsia="宋体" w:cs="宋体"/>
              <w:sz w:val="32"/>
              <w:szCs w:val="32"/>
            </w:rPr>
          </w:pPr>
          <w:r>
            <w:rPr>
              <w:rFonts w:hint="eastAsia" w:ascii="宋体" w:hAnsi="宋体" w:eastAsia="宋体" w:cs="宋体"/>
              <w:b/>
              <w:bCs/>
              <w:sz w:val="32"/>
              <w:szCs w:val="32"/>
            </w:rPr>
            <w:fldChar w:fldCharType="begin"/>
          </w:r>
          <w:r>
            <w:rPr>
              <w:rFonts w:hint="eastAsia" w:ascii="宋体" w:hAnsi="宋体" w:eastAsia="宋体" w:cs="宋体"/>
              <w:sz w:val="32"/>
              <w:szCs w:val="32"/>
            </w:rPr>
            <w:instrText xml:space="preserve"> HYPERLINK \l _Toc513815349_WPSOffice_Level1 </w:instrText>
          </w:r>
          <w:r>
            <w:rPr>
              <w:rFonts w:hint="eastAsia" w:ascii="宋体" w:hAnsi="宋体" w:eastAsia="宋体" w:cs="宋体"/>
              <w:b/>
              <w:bCs/>
              <w:sz w:val="32"/>
              <w:szCs w:val="32"/>
            </w:rPr>
            <w:fldChar w:fldCharType="separate"/>
          </w:r>
          <w:sdt>
            <w:sdtPr>
              <w:rPr>
                <w:rFonts w:hint="eastAsia" w:ascii="宋体" w:hAnsi="宋体" w:eastAsia="宋体" w:cs="宋体"/>
                <w:b/>
                <w:bCs/>
                <w:kern w:val="2"/>
                <w:sz w:val="32"/>
                <w:szCs w:val="32"/>
                <w:lang w:val="en-US" w:eastAsia="zh-CN" w:bidi="ar-SA"/>
              </w:rPr>
              <w:id w:val="357570069"/>
              <w:placeholder>
                <w:docPart w:val="{e6e79112-70d7-407c-88ee-17c05900dccb}"/>
              </w:placeholder>
            </w:sdtPr>
            <w:sdtEndPr>
              <w:rPr>
                <w:rFonts w:hint="eastAsia" w:ascii="宋体" w:hAnsi="宋体" w:eastAsia="宋体" w:cs="宋体"/>
                <w:b/>
                <w:bCs/>
                <w:kern w:val="2"/>
                <w:sz w:val="32"/>
                <w:szCs w:val="32"/>
                <w:lang w:val="en-US" w:eastAsia="zh-CN" w:bidi="ar-SA"/>
              </w:rPr>
            </w:sdtEndPr>
            <w:sdtContent>
              <w:r>
                <w:rPr>
                  <w:rFonts w:hint="eastAsia" w:ascii="宋体" w:hAnsi="宋体" w:eastAsia="宋体" w:cs="宋体"/>
                  <w:b/>
                  <w:bCs/>
                  <w:sz w:val="32"/>
                  <w:szCs w:val="32"/>
                </w:rPr>
                <w:t>第五章 科学统筹发展和安全</w:t>
              </w:r>
            </w:sdtContent>
          </w:sdt>
          <w:r>
            <w:rPr>
              <w:rFonts w:hint="eastAsia" w:ascii="宋体" w:hAnsi="宋体" w:eastAsia="宋体" w:cs="宋体"/>
              <w:b/>
              <w:bCs/>
              <w:sz w:val="32"/>
              <w:szCs w:val="32"/>
            </w:rPr>
            <w:tab/>
          </w:r>
          <w:bookmarkStart w:id="31" w:name="_Toc513815349_WPSOffice_Level1Page"/>
          <w:r>
            <w:rPr>
              <w:rFonts w:hint="eastAsia" w:ascii="宋体" w:hAnsi="宋体" w:eastAsia="宋体" w:cs="宋体"/>
              <w:b/>
              <w:bCs/>
              <w:sz w:val="32"/>
              <w:szCs w:val="32"/>
            </w:rPr>
            <w:t>3</w:t>
          </w:r>
          <w:bookmarkEnd w:id="31"/>
          <w:r>
            <w:rPr>
              <w:rFonts w:hint="eastAsia" w:ascii="宋体" w:hAnsi="宋体" w:cs="宋体"/>
              <w:b/>
              <w:bCs/>
              <w:sz w:val="32"/>
              <w:szCs w:val="32"/>
              <w:lang w:val="en-US" w:eastAsia="zh-CN"/>
            </w:rPr>
            <w:t>3</w:t>
          </w:r>
          <w:r>
            <w:rPr>
              <w:rFonts w:hint="eastAsia" w:ascii="宋体" w:hAnsi="宋体" w:eastAsia="宋体" w:cs="宋体"/>
              <w:b/>
              <w:bCs/>
              <w:sz w:val="32"/>
              <w:szCs w:val="32"/>
            </w:rPr>
            <w:fldChar w:fldCharType="end"/>
          </w:r>
        </w:p>
        <w:p>
          <w:pPr>
            <w:pStyle w:val="43"/>
            <w:tabs>
              <w:tab w:val="right" w:leader="dot" w:pos="8300"/>
            </w:tabs>
            <w:rPr>
              <w:rFonts w:hint="eastAsia" w:ascii="宋体" w:hAnsi="宋体" w:eastAsia="宋体" w:cs="宋体"/>
              <w:sz w:val="32"/>
              <w:szCs w:val="32"/>
            </w:rPr>
          </w:pPr>
          <w:r>
            <w:rPr>
              <w:rFonts w:hint="eastAsia" w:ascii="宋体" w:hAnsi="宋体" w:eastAsia="宋体" w:cs="宋体"/>
              <w:sz w:val="32"/>
              <w:szCs w:val="32"/>
            </w:rPr>
            <w:fldChar w:fldCharType="begin"/>
          </w:r>
          <w:r>
            <w:rPr>
              <w:rFonts w:hint="eastAsia" w:ascii="宋体" w:hAnsi="宋体" w:eastAsia="宋体" w:cs="宋体"/>
              <w:sz w:val="32"/>
              <w:szCs w:val="32"/>
            </w:rPr>
            <w:instrText xml:space="preserve"> HYPERLINK \l _Toc1129464945_WPSOffice_Level2 </w:instrText>
          </w:r>
          <w:r>
            <w:rPr>
              <w:rFonts w:hint="eastAsia" w:ascii="宋体" w:hAnsi="宋体" w:eastAsia="宋体" w:cs="宋体"/>
              <w:sz w:val="32"/>
              <w:szCs w:val="32"/>
            </w:rPr>
            <w:fldChar w:fldCharType="separate"/>
          </w:r>
          <w:sdt>
            <w:sdtPr>
              <w:rPr>
                <w:rFonts w:hint="eastAsia" w:ascii="宋体" w:hAnsi="宋体" w:eastAsia="宋体" w:cs="宋体"/>
                <w:kern w:val="2"/>
                <w:sz w:val="32"/>
                <w:szCs w:val="32"/>
                <w:lang w:val="en-US" w:eastAsia="zh-CN" w:bidi="ar-SA"/>
              </w:rPr>
              <w:id w:val="357570069"/>
              <w:placeholder>
                <w:docPart w:val="{39c6b829-e7ff-4757-9ab9-be2eeef169bb}"/>
              </w:placeholder>
            </w:sdtPr>
            <w:sdtEndPr>
              <w:rPr>
                <w:rFonts w:hint="eastAsia" w:ascii="宋体" w:hAnsi="宋体" w:eastAsia="宋体" w:cs="宋体"/>
                <w:kern w:val="2"/>
                <w:sz w:val="32"/>
                <w:szCs w:val="32"/>
                <w:lang w:val="en-US" w:eastAsia="zh-CN" w:bidi="ar-SA"/>
              </w:rPr>
            </w:sdtEndPr>
            <w:sdtContent>
              <w:r>
                <w:rPr>
                  <w:rFonts w:hint="eastAsia" w:ascii="宋体" w:hAnsi="宋体" w:eastAsia="宋体" w:cs="宋体"/>
                  <w:sz w:val="32"/>
                  <w:szCs w:val="32"/>
                </w:rPr>
                <w:t>第一节 提高粮食安全保障能力</w:t>
              </w:r>
            </w:sdtContent>
          </w:sdt>
          <w:r>
            <w:rPr>
              <w:rFonts w:hint="eastAsia" w:ascii="宋体" w:hAnsi="宋体" w:eastAsia="宋体" w:cs="宋体"/>
              <w:sz w:val="32"/>
              <w:szCs w:val="32"/>
            </w:rPr>
            <w:tab/>
          </w:r>
          <w:bookmarkStart w:id="32" w:name="_Toc1129464945_WPSOffice_Level2Page"/>
          <w:r>
            <w:rPr>
              <w:rFonts w:hint="eastAsia" w:ascii="宋体" w:hAnsi="宋体" w:eastAsia="宋体" w:cs="宋体"/>
              <w:sz w:val="32"/>
              <w:szCs w:val="32"/>
            </w:rPr>
            <w:t>3</w:t>
          </w:r>
          <w:bookmarkEnd w:id="32"/>
          <w:r>
            <w:rPr>
              <w:rFonts w:hint="eastAsia" w:ascii="宋体" w:hAnsi="宋体" w:eastAsia="宋体" w:cs="宋体"/>
              <w:sz w:val="32"/>
              <w:szCs w:val="32"/>
              <w:lang w:val="en-US" w:eastAsia="zh-CN"/>
            </w:rPr>
            <w:t>3</w:t>
          </w:r>
          <w:r>
            <w:rPr>
              <w:rFonts w:hint="eastAsia" w:ascii="宋体" w:hAnsi="宋体" w:eastAsia="宋体" w:cs="宋体"/>
              <w:sz w:val="32"/>
              <w:szCs w:val="32"/>
            </w:rPr>
            <w:fldChar w:fldCharType="end"/>
          </w:r>
        </w:p>
        <w:p>
          <w:pPr>
            <w:pStyle w:val="43"/>
            <w:tabs>
              <w:tab w:val="right" w:leader="dot" w:pos="8300"/>
            </w:tabs>
            <w:rPr>
              <w:rFonts w:hint="eastAsia" w:ascii="宋体" w:hAnsi="宋体" w:eastAsia="宋体" w:cs="宋体"/>
              <w:sz w:val="32"/>
              <w:szCs w:val="32"/>
            </w:rPr>
          </w:pPr>
          <w:r>
            <w:rPr>
              <w:rFonts w:hint="eastAsia" w:ascii="宋体" w:hAnsi="宋体" w:eastAsia="宋体" w:cs="宋体"/>
              <w:sz w:val="32"/>
              <w:szCs w:val="32"/>
            </w:rPr>
            <w:fldChar w:fldCharType="begin"/>
          </w:r>
          <w:r>
            <w:rPr>
              <w:rFonts w:hint="eastAsia" w:ascii="宋体" w:hAnsi="宋体" w:eastAsia="宋体" w:cs="宋体"/>
              <w:sz w:val="32"/>
              <w:szCs w:val="32"/>
            </w:rPr>
            <w:instrText xml:space="preserve"> HYPERLINK \l _Toc150721879_WPSOffice_Level2 </w:instrText>
          </w:r>
          <w:r>
            <w:rPr>
              <w:rFonts w:hint="eastAsia" w:ascii="宋体" w:hAnsi="宋体" w:eastAsia="宋体" w:cs="宋体"/>
              <w:sz w:val="32"/>
              <w:szCs w:val="32"/>
            </w:rPr>
            <w:fldChar w:fldCharType="separate"/>
          </w:r>
          <w:sdt>
            <w:sdtPr>
              <w:rPr>
                <w:rFonts w:hint="eastAsia" w:ascii="宋体" w:hAnsi="宋体" w:eastAsia="宋体" w:cs="宋体"/>
                <w:kern w:val="2"/>
                <w:sz w:val="32"/>
                <w:szCs w:val="32"/>
                <w:lang w:val="en-US" w:eastAsia="zh-CN" w:bidi="ar-SA"/>
              </w:rPr>
              <w:id w:val="357570069"/>
              <w:placeholder>
                <w:docPart w:val="{6b7228c2-e7d0-434f-bceb-8be26b3bed2e}"/>
              </w:placeholder>
            </w:sdtPr>
            <w:sdtEndPr>
              <w:rPr>
                <w:rFonts w:hint="eastAsia" w:ascii="宋体" w:hAnsi="宋体" w:eastAsia="宋体" w:cs="宋体"/>
                <w:kern w:val="2"/>
                <w:sz w:val="32"/>
                <w:szCs w:val="32"/>
                <w:lang w:val="en-US" w:eastAsia="zh-CN" w:bidi="ar-SA"/>
              </w:rPr>
            </w:sdtEndPr>
            <w:sdtContent>
              <w:r>
                <w:rPr>
                  <w:rFonts w:hint="eastAsia" w:ascii="宋体" w:hAnsi="宋体" w:eastAsia="宋体" w:cs="宋体"/>
                  <w:sz w:val="32"/>
                  <w:szCs w:val="32"/>
                </w:rPr>
                <w:t>第二节 实施种业振兴行动</w:t>
              </w:r>
            </w:sdtContent>
          </w:sdt>
          <w:r>
            <w:rPr>
              <w:rFonts w:hint="eastAsia" w:ascii="宋体" w:hAnsi="宋体" w:eastAsia="宋体" w:cs="宋体"/>
              <w:sz w:val="32"/>
              <w:szCs w:val="32"/>
            </w:rPr>
            <w:tab/>
          </w:r>
          <w:bookmarkStart w:id="33" w:name="_Toc150721879_WPSOffice_Level2Page"/>
          <w:r>
            <w:rPr>
              <w:rFonts w:hint="eastAsia" w:ascii="宋体" w:hAnsi="宋体" w:eastAsia="宋体" w:cs="宋体"/>
              <w:sz w:val="32"/>
              <w:szCs w:val="32"/>
            </w:rPr>
            <w:t>3</w:t>
          </w:r>
          <w:bookmarkEnd w:id="33"/>
          <w:r>
            <w:rPr>
              <w:rFonts w:hint="eastAsia" w:ascii="宋体" w:hAnsi="宋体" w:eastAsia="宋体" w:cs="宋体"/>
              <w:sz w:val="32"/>
              <w:szCs w:val="32"/>
              <w:lang w:val="en-US" w:eastAsia="zh-CN"/>
            </w:rPr>
            <w:t>4</w:t>
          </w:r>
          <w:r>
            <w:rPr>
              <w:rFonts w:hint="eastAsia" w:ascii="宋体" w:hAnsi="宋体" w:eastAsia="宋体" w:cs="宋体"/>
              <w:sz w:val="32"/>
              <w:szCs w:val="32"/>
            </w:rPr>
            <w:fldChar w:fldCharType="end"/>
          </w:r>
        </w:p>
        <w:p>
          <w:pPr>
            <w:pStyle w:val="43"/>
            <w:tabs>
              <w:tab w:val="right" w:leader="dot" w:pos="8300"/>
            </w:tabs>
            <w:rPr>
              <w:rFonts w:hint="eastAsia" w:ascii="宋体" w:hAnsi="宋体" w:eastAsia="宋体" w:cs="宋体"/>
              <w:sz w:val="32"/>
              <w:szCs w:val="32"/>
            </w:rPr>
          </w:pPr>
          <w:r>
            <w:rPr>
              <w:rFonts w:hint="eastAsia" w:ascii="宋体" w:hAnsi="宋体" w:eastAsia="宋体" w:cs="宋体"/>
              <w:sz w:val="32"/>
              <w:szCs w:val="32"/>
            </w:rPr>
            <w:fldChar w:fldCharType="begin"/>
          </w:r>
          <w:r>
            <w:rPr>
              <w:rFonts w:hint="eastAsia" w:ascii="宋体" w:hAnsi="宋体" w:eastAsia="宋体" w:cs="宋体"/>
              <w:sz w:val="32"/>
              <w:szCs w:val="32"/>
            </w:rPr>
            <w:instrText xml:space="preserve"> HYPERLINK \l _Toc773067800_WPSOffice_Level2 </w:instrText>
          </w:r>
          <w:r>
            <w:rPr>
              <w:rFonts w:hint="eastAsia" w:ascii="宋体" w:hAnsi="宋体" w:eastAsia="宋体" w:cs="宋体"/>
              <w:sz w:val="32"/>
              <w:szCs w:val="32"/>
            </w:rPr>
            <w:fldChar w:fldCharType="separate"/>
          </w:r>
          <w:sdt>
            <w:sdtPr>
              <w:rPr>
                <w:rFonts w:hint="eastAsia" w:ascii="宋体" w:hAnsi="宋体" w:eastAsia="宋体" w:cs="宋体"/>
                <w:kern w:val="2"/>
                <w:sz w:val="32"/>
                <w:szCs w:val="32"/>
                <w:lang w:val="en-US" w:eastAsia="zh-CN" w:bidi="ar-SA"/>
              </w:rPr>
              <w:id w:val="357570069"/>
              <w:placeholder>
                <w:docPart w:val="{76aaa111-28f3-451f-b414-b9f0894ae276}"/>
              </w:placeholder>
            </w:sdtPr>
            <w:sdtEndPr>
              <w:rPr>
                <w:rFonts w:hint="eastAsia" w:ascii="宋体" w:hAnsi="宋体" w:eastAsia="宋体" w:cs="宋体"/>
                <w:kern w:val="2"/>
                <w:sz w:val="32"/>
                <w:szCs w:val="32"/>
                <w:lang w:val="en-US" w:eastAsia="zh-CN" w:bidi="ar-SA"/>
              </w:rPr>
            </w:sdtEndPr>
            <w:sdtContent>
              <w:r>
                <w:rPr>
                  <w:rFonts w:hint="eastAsia" w:ascii="宋体" w:hAnsi="宋体" w:eastAsia="宋体" w:cs="宋体"/>
                  <w:sz w:val="32"/>
                  <w:szCs w:val="32"/>
                </w:rPr>
                <w:t>第三节 加强农牧业科技支撑能力建设</w:t>
              </w:r>
            </w:sdtContent>
          </w:sdt>
          <w:r>
            <w:rPr>
              <w:rFonts w:hint="eastAsia" w:ascii="宋体" w:hAnsi="宋体" w:eastAsia="宋体" w:cs="宋体"/>
              <w:sz w:val="32"/>
              <w:szCs w:val="32"/>
            </w:rPr>
            <w:tab/>
          </w:r>
          <w:bookmarkStart w:id="34" w:name="_Toc773067800_WPSOffice_Level2Page"/>
          <w:r>
            <w:rPr>
              <w:rFonts w:hint="eastAsia" w:ascii="宋体" w:hAnsi="宋体" w:eastAsia="宋体" w:cs="宋体"/>
              <w:sz w:val="32"/>
              <w:szCs w:val="32"/>
            </w:rPr>
            <w:t>3</w:t>
          </w:r>
          <w:bookmarkEnd w:id="34"/>
          <w:r>
            <w:rPr>
              <w:rFonts w:hint="eastAsia" w:ascii="宋体" w:hAnsi="宋体" w:eastAsia="宋体" w:cs="宋体"/>
              <w:sz w:val="32"/>
              <w:szCs w:val="32"/>
              <w:lang w:val="en-US" w:eastAsia="zh-CN"/>
            </w:rPr>
            <w:t>5</w:t>
          </w:r>
          <w:r>
            <w:rPr>
              <w:rFonts w:hint="eastAsia" w:ascii="宋体" w:hAnsi="宋体" w:eastAsia="宋体" w:cs="宋体"/>
              <w:sz w:val="32"/>
              <w:szCs w:val="32"/>
            </w:rPr>
            <w:fldChar w:fldCharType="end"/>
          </w:r>
        </w:p>
        <w:p>
          <w:pPr>
            <w:pStyle w:val="43"/>
            <w:tabs>
              <w:tab w:val="right" w:leader="dot" w:pos="8300"/>
            </w:tabs>
            <w:rPr>
              <w:rFonts w:hint="eastAsia" w:ascii="宋体" w:hAnsi="宋体" w:eastAsia="宋体" w:cs="宋体"/>
              <w:sz w:val="32"/>
              <w:szCs w:val="32"/>
            </w:rPr>
          </w:pPr>
          <w:r>
            <w:rPr>
              <w:rFonts w:hint="eastAsia" w:ascii="宋体" w:hAnsi="宋体" w:eastAsia="宋体" w:cs="宋体"/>
              <w:sz w:val="32"/>
              <w:szCs w:val="32"/>
            </w:rPr>
            <w:fldChar w:fldCharType="begin"/>
          </w:r>
          <w:r>
            <w:rPr>
              <w:rFonts w:hint="eastAsia" w:ascii="宋体" w:hAnsi="宋体" w:eastAsia="宋体" w:cs="宋体"/>
              <w:sz w:val="32"/>
              <w:szCs w:val="32"/>
            </w:rPr>
            <w:instrText xml:space="preserve"> HYPERLINK \l _Toc1193121066_WPSOffice_Level2 </w:instrText>
          </w:r>
          <w:r>
            <w:rPr>
              <w:rFonts w:hint="eastAsia" w:ascii="宋体" w:hAnsi="宋体" w:eastAsia="宋体" w:cs="宋体"/>
              <w:sz w:val="32"/>
              <w:szCs w:val="32"/>
            </w:rPr>
            <w:fldChar w:fldCharType="separate"/>
          </w:r>
          <w:sdt>
            <w:sdtPr>
              <w:rPr>
                <w:rFonts w:hint="eastAsia" w:ascii="宋体" w:hAnsi="宋体" w:eastAsia="宋体" w:cs="宋体"/>
                <w:kern w:val="2"/>
                <w:sz w:val="32"/>
                <w:szCs w:val="32"/>
                <w:lang w:val="en-US" w:eastAsia="zh-CN" w:bidi="ar-SA"/>
              </w:rPr>
              <w:id w:val="357570069"/>
              <w:placeholder>
                <w:docPart w:val="{39416ccd-6c09-43c2-91d8-869eaea396d6}"/>
              </w:placeholder>
            </w:sdtPr>
            <w:sdtEndPr>
              <w:rPr>
                <w:rFonts w:hint="eastAsia" w:ascii="宋体" w:hAnsi="宋体" w:eastAsia="宋体" w:cs="宋体"/>
                <w:kern w:val="2"/>
                <w:sz w:val="32"/>
                <w:szCs w:val="32"/>
                <w:lang w:val="en-US" w:eastAsia="zh-CN" w:bidi="ar-SA"/>
              </w:rPr>
            </w:sdtEndPr>
            <w:sdtContent>
              <w:r>
                <w:rPr>
                  <w:rFonts w:hint="eastAsia" w:ascii="宋体" w:hAnsi="宋体" w:eastAsia="宋体" w:cs="宋体"/>
                  <w:sz w:val="32"/>
                  <w:szCs w:val="32"/>
                </w:rPr>
                <w:t>第四节 加强农村牧区人才队伍建设</w:t>
              </w:r>
            </w:sdtContent>
          </w:sdt>
          <w:r>
            <w:rPr>
              <w:rFonts w:hint="eastAsia" w:ascii="宋体" w:hAnsi="宋体" w:eastAsia="宋体" w:cs="宋体"/>
              <w:sz w:val="32"/>
              <w:szCs w:val="32"/>
            </w:rPr>
            <w:tab/>
          </w:r>
          <w:bookmarkStart w:id="35" w:name="_Toc1193121066_WPSOffice_Level2Page"/>
          <w:r>
            <w:rPr>
              <w:rFonts w:hint="eastAsia" w:ascii="宋体" w:hAnsi="宋体" w:eastAsia="宋体" w:cs="宋体"/>
              <w:sz w:val="32"/>
              <w:szCs w:val="32"/>
            </w:rPr>
            <w:t>3</w:t>
          </w:r>
          <w:bookmarkEnd w:id="35"/>
          <w:r>
            <w:rPr>
              <w:rFonts w:hint="eastAsia" w:ascii="宋体" w:hAnsi="宋体" w:eastAsia="宋体" w:cs="宋体"/>
              <w:sz w:val="32"/>
              <w:szCs w:val="32"/>
              <w:lang w:val="en-US" w:eastAsia="zh-CN"/>
            </w:rPr>
            <w:t>7</w:t>
          </w:r>
          <w:r>
            <w:rPr>
              <w:rFonts w:hint="eastAsia" w:ascii="宋体" w:hAnsi="宋体" w:eastAsia="宋体" w:cs="宋体"/>
              <w:sz w:val="32"/>
              <w:szCs w:val="32"/>
            </w:rPr>
            <w:fldChar w:fldCharType="end"/>
          </w:r>
        </w:p>
        <w:p>
          <w:pPr>
            <w:pStyle w:val="43"/>
            <w:tabs>
              <w:tab w:val="right" w:leader="dot" w:pos="8300"/>
            </w:tabs>
            <w:rPr>
              <w:rFonts w:hint="eastAsia" w:ascii="宋体" w:hAnsi="宋体" w:eastAsia="宋体" w:cs="宋体"/>
              <w:sz w:val="32"/>
              <w:szCs w:val="32"/>
            </w:rPr>
          </w:pPr>
          <w:r>
            <w:rPr>
              <w:rFonts w:hint="eastAsia" w:ascii="宋体" w:hAnsi="宋体" w:eastAsia="宋体" w:cs="宋体"/>
              <w:sz w:val="32"/>
              <w:szCs w:val="32"/>
            </w:rPr>
            <w:fldChar w:fldCharType="begin"/>
          </w:r>
          <w:r>
            <w:rPr>
              <w:rFonts w:hint="eastAsia" w:ascii="宋体" w:hAnsi="宋体" w:eastAsia="宋体" w:cs="宋体"/>
              <w:sz w:val="32"/>
              <w:szCs w:val="32"/>
            </w:rPr>
            <w:instrText xml:space="preserve"> HYPERLINK \l _Toc1878107605_WPSOffice_Level2 </w:instrText>
          </w:r>
          <w:r>
            <w:rPr>
              <w:rFonts w:hint="eastAsia" w:ascii="宋体" w:hAnsi="宋体" w:eastAsia="宋体" w:cs="宋体"/>
              <w:sz w:val="32"/>
              <w:szCs w:val="32"/>
            </w:rPr>
            <w:fldChar w:fldCharType="separate"/>
          </w:r>
          <w:sdt>
            <w:sdtPr>
              <w:rPr>
                <w:rFonts w:hint="eastAsia" w:ascii="宋体" w:hAnsi="宋体" w:eastAsia="宋体" w:cs="宋体"/>
                <w:kern w:val="2"/>
                <w:sz w:val="32"/>
                <w:szCs w:val="32"/>
                <w:lang w:val="en-US" w:eastAsia="zh-CN" w:bidi="ar-SA"/>
              </w:rPr>
              <w:id w:val="357570069"/>
              <w:placeholder>
                <w:docPart w:val="{a84d65fb-ca37-45f4-a884-c794803be395}"/>
              </w:placeholder>
            </w:sdtPr>
            <w:sdtEndPr>
              <w:rPr>
                <w:rFonts w:hint="eastAsia" w:ascii="宋体" w:hAnsi="宋体" w:eastAsia="宋体" w:cs="宋体"/>
                <w:kern w:val="2"/>
                <w:sz w:val="32"/>
                <w:szCs w:val="32"/>
                <w:lang w:val="en-US" w:eastAsia="zh-CN" w:bidi="ar-SA"/>
              </w:rPr>
            </w:sdtEndPr>
            <w:sdtContent>
              <w:r>
                <w:rPr>
                  <w:rFonts w:hint="eastAsia" w:ascii="宋体" w:hAnsi="宋体" w:eastAsia="宋体" w:cs="宋体"/>
                  <w:sz w:val="32"/>
                  <w:szCs w:val="32"/>
                </w:rPr>
                <w:t>第五节 强化动植物疫病防控体系建设</w:t>
              </w:r>
            </w:sdtContent>
          </w:sdt>
          <w:r>
            <w:rPr>
              <w:rFonts w:hint="eastAsia" w:ascii="宋体" w:hAnsi="宋体" w:eastAsia="宋体" w:cs="宋体"/>
              <w:sz w:val="32"/>
              <w:szCs w:val="32"/>
            </w:rPr>
            <w:tab/>
          </w:r>
          <w:bookmarkStart w:id="36" w:name="_Toc1878107605_WPSOffice_Level2Page"/>
          <w:r>
            <w:rPr>
              <w:rFonts w:hint="eastAsia" w:ascii="宋体" w:hAnsi="宋体" w:eastAsia="宋体" w:cs="宋体"/>
              <w:sz w:val="32"/>
              <w:szCs w:val="32"/>
            </w:rPr>
            <w:t>4</w:t>
          </w:r>
          <w:bookmarkEnd w:id="36"/>
          <w:r>
            <w:rPr>
              <w:rFonts w:hint="eastAsia" w:ascii="宋体" w:hAnsi="宋体" w:eastAsia="宋体" w:cs="宋体"/>
              <w:sz w:val="32"/>
              <w:szCs w:val="32"/>
              <w:lang w:val="en-US" w:eastAsia="zh-CN"/>
            </w:rPr>
            <w:t>0</w:t>
          </w:r>
          <w:r>
            <w:rPr>
              <w:rFonts w:hint="eastAsia" w:ascii="宋体" w:hAnsi="宋体" w:eastAsia="宋体" w:cs="宋体"/>
              <w:sz w:val="32"/>
              <w:szCs w:val="32"/>
            </w:rPr>
            <w:fldChar w:fldCharType="end"/>
          </w:r>
        </w:p>
        <w:p>
          <w:pPr>
            <w:pStyle w:val="43"/>
            <w:tabs>
              <w:tab w:val="right" w:leader="dot" w:pos="8300"/>
            </w:tabs>
            <w:rPr>
              <w:rFonts w:hint="eastAsia" w:ascii="宋体" w:hAnsi="宋体" w:eastAsia="宋体" w:cs="宋体"/>
              <w:sz w:val="32"/>
              <w:szCs w:val="32"/>
            </w:rPr>
          </w:pPr>
          <w:r>
            <w:rPr>
              <w:rFonts w:hint="eastAsia" w:ascii="宋体" w:hAnsi="宋体" w:eastAsia="宋体" w:cs="宋体"/>
              <w:sz w:val="32"/>
              <w:szCs w:val="32"/>
            </w:rPr>
            <w:fldChar w:fldCharType="begin"/>
          </w:r>
          <w:r>
            <w:rPr>
              <w:rFonts w:hint="eastAsia" w:ascii="宋体" w:hAnsi="宋体" w:eastAsia="宋体" w:cs="宋体"/>
              <w:sz w:val="32"/>
              <w:szCs w:val="32"/>
            </w:rPr>
            <w:instrText xml:space="preserve"> HYPERLINK \l _Toc1139926503_WPSOffice_Level2 </w:instrText>
          </w:r>
          <w:r>
            <w:rPr>
              <w:rFonts w:hint="eastAsia" w:ascii="宋体" w:hAnsi="宋体" w:eastAsia="宋体" w:cs="宋体"/>
              <w:sz w:val="32"/>
              <w:szCs w:val="32"/>
            </w:rPr>
            <w:fldChar w:fldCharType="separate"/>
          </w:r>
          <w:sdt>
            <w:sdtPr>
              <w:rPr>
                <w:rFonts w:hint="eastAsia" w:ascii="宋体" w:hAnsi="宋体" w:eastAsia="宋体" w:cs="宋体"/>
                <w:kern w:val="2"/>
                <w:sz w:val="32"/>
                <w:szCs w:val="32"/>
                <w:lang w:val="en-US" w:eastAsia="zh-CN" w:bidi="ar-SA"/>
              </w:rPr>
              <w:id w:val="357570069"/>
              <w:placeholder>
                <w:docPart w:val="{3e3a0d7e-7bca-4fcc-a5de-cb5b2ce4e378}"/>
              </w:placeholder>
            </w:sdtPr>
            <w:sdtEndPr>
              <w:rPr>
                <w:rFonts w:hint="eastAsia" w:ascii="宋体" w:hAnsi="宋体" w:eastAsia="宋体" w:cs="宋体"/>
                <w:kern w:val="2"/>
                <w:sz w:val="32"/>
                <w:szCs w:val="32"/>
                <w:lang w:val="en-US" w:eastAsia="zh-CN" w:bidi="ar-SA"/>
              </w:rPr>
            </w:sdtEndPr>
            <w:sdtContent>
              <w:r>
                <w:rPr>
                  <w:rFonts w:hint="eastAsia" w:ascii="宋体" w:hAnsi="宋体" w:eastAsia="宋体" w:cs="宋体"/>
                  <w:sz w:val="32"/>
                  <w:szCs w:val="32"/>
                </w:rPr>
                <w:t>第六节 健全农畜产品质量安全监管体系</w:t>
              </w:r>
            </w:sdtContent>
          </w:sdt>
          <w:r>
            <w:rPr>
              <w:rFonts w:hint="eastAsia" w:ascii="宋体" w:hAnsi="宋体" w:eastAsia="宋体" w:cs="宋体"/>
              <w:sz w:val="32"/>
              <w:szCs w:val="32"/>
            </w:rPr>
            <w:tab/>
          </w:r>
          <w:bookmarkStart w:id="37" w:name="_Toc1139926503_WPSOffice_Level2Page"/>
          <w:r>
            <w:rPr>
              <w:rFonts w:hint="eastAsia" w:ascii="宋体" w:hAnsi="宋体" w:eastAsia="宋体" w:cs="宋体"/>
              <w:sz w:val="32"/>
              <w:szCs w:val="32"/>
            </w:rPr>
            <w:t>4</w:t>
          </w:r>
          <w:bookmarkEnd w:id="37"/>
          <w:r>
            <w:rPr>
              <w:rFonts w:hint="eastAsia" w:ascii="宋体" w:hAnsi="宋体" w:eastAsia="宋体" w:cs="宋体"/>
              <w:sz w:val="32"/>
              <w:szCs w:val="32"/>
              <w:lang w:val="en-US" w:eastAsia="zh-CN"/>
            </w:rPr>
            <w:t>1</w:t>
          </w:r>
          <w:r>
            <w:rPr>
              <w:rFonts w:hint="eastAsia" w:ascii="宋体" w:hAnsi="宋体" w:eastAsia="宋体" w:cs="宋体"/>
              <w:sz w:val="32"/>
              <w:szCs w:val="32"/>
            </w:rPr>
            <w:fldChar w:fldCharType="end"/>
          </w:r>
        </w:p>
        <w:p>
          <w:pPr>
            <w:pStyle w:val="43"/>
            <w:tabs>
              <w:tab w:val="right" w:leader="dot" w:pos="8300"/>
            </w:tabs>
            <w:rPr>
              <w:rFonts w:hint="eastAsia" w:ascii="宋体" w:hAnsi="宋体" w:eastAsia="宋体" w:cs="宋体"/>
              <w:sz w:val="32"/>
              <w:szCs w:val="32"/>
            </w:rPr>
          </w:pPr>
          <w:r>
            <w:rPr>
              <w:rFonts w:hint="eastAsia" w:ascii="宋体" w:hAnsi="宋体" w:eastAsia="宋体" w:cs="宋体"/>
              <w:sz w:val="32"/>
              <w:szCs w:val="32"/>
            </w:rPr>
            <w:fldChar w:fldCharType="begin"/>
          </w:r>
          <w:r>
            <w:rPr>
              <w:rFonts w:hint="eastAsia" w:ascii="宋体" w:hAnsi="宋体" w:eastAsia="宋体" w:cs="宋体"/>
              <w:sz w:val="32"/>
              <w:szCs w:val="32"/>
            </w:rPr>
            <w:instrText xml:space="preserve"> HYPERLINK \l _Toc1296573012_WPSOffice_Level2 </w:instrText>
          </w:r>
          <w:r>
            <w:rPr>
              <w:rFonts w:hint="eastAsia" w:ascii="宋体" w:hAnsi="宋体" w:eastAsia="宋体" w:cs="宋体"/>
              <w:sz w:val="32"/>
              <w:szCs w:val="32"/>
            </w:rPr>
            <w:fldChar w:fldCharType="separate"/>
          </w:r>
          <w:sdt>
            <w:sdtPr>
              <w:rPr>
                <w:rFonts w:hint="eastAsia" w:ascii="宋体" w:hAnsi="宋体" w:eastAsia="宋体" w:cs="宋体"/>
                <w:kern w:val="2"/>
                <w:sz w:val="32"/>
                <w:szCs w:val="32"/>
                <w:lang w:val="en-US" w:eastAsia="zh-CN" w:bidi="ar-SA"/>
              </w:rPr>
              <w:id w:val="357570069"/>
              <w:placeholder>
                <w:docPart w:val="{a14400e6-613a-476c-bb82-a9bb7dfcd43c}"/>
              </w:placeholder>
            </w:sdtPr>
            <w:sdtEndPr>
              <w:rPr>
                <w:rFonts w:hint="eastAsia" w:ascii="宋体" w:hAnsi="宋体" w:eastAsia="宋体" w:cs="宋体"/>
                <w:kern w:val="2"/>
                <w:sz w:val="32"/>
                <w:szCs w:val="32"/>
                <w:lang w:val="en-US" w:eastAsia="zh-CN" w:bidi="ar-SA"/>
              </w:rPr>
            </w:sdtEndPr>
            <w:sdtContent>
              <w:r>
                <w:rPr>
                  <w:rFonts w:hint="eastAsia" w:ascii="宋体" w:hAnsi="宋体" w:eastAsia="宋体" w:cs="宋体"/>
                  <w:sz w:val="32"/>
                  <w:szCs w:val="32"/>
                </w:rPr>
                <w:t>第七节 增强农牧业抗风险能力</w:t>
              </w:r>
            </w:sdtContent>
          </w:sdt>
          <w:r>
            <w:rPr>
              <w:rFonts w:hint="eastAsia" w:ascii="宋体" w:hAnsi="宋体" w:eastAsia="宋体" w:cs="宋体"/>
              <w:sz w:val="32"/>
              <w:szCs w:val="32"/>
            </w:rPr>
            <w:tab/>
          </w:r>
          <w:bookmarkStart w:id="38" w:name="_Toc1296573012_WPSOffice_Level2Page"/>
          <w:r>
            <w:rPr>
              <w:rFonts w:hint="eastAsia" w:ascii="宋体" w:hAnsi="宋体" w:eastAsia="宋体" w:cs="宋体"/>
              <w:sz w:val="32"/>
              <w:szCs w:val="32"/>
            </w:rPr>
            <w:t>4</w:t>
          </w:r>
          <w:bookmarkEnd w:id="38"/>
          <w:r>
            <w:rPr>
              <w:rFonts w:hint="eastAsia" w:ascii="宋体" w:hAnsi="宋体" w:eastAsia="宋体" w:cs="宋体"/>
              <w:sz w:val="32"/>
              <w:szCs w:val="32"/>
              <w:lang w:val="en-US" w:eastAsia="zh-CN"/>
            </w:rPr>
            <w:t>2</w:t>
          </w:r>
          <w:r>
            <w:rPr>
              <w:rFonts w:hint="eastAsia" w:ascii="宋体" w:hAnsi="宋体" w:eastAsia="宋体" w:cs="宋体"/>
              <w:sz w:val="32"/>
              <w:szCs w:val="32"/>
            </w:rPr>
            <w:fldChar w:fldCharType="end"/>
          </w:r>
        </w:p>
        <w:p>
          <w:pPr>
            <w:pStyle w:val="47"/>
            <w:tabs>
              <w:tab w:val="right" w:leader="dot" w:pos="8300"/>
            </w:tabs>
            <w:rPr>
              <w:rFonts w:hint="eastAsia" w:ascii="宋体" w:hAnsi="宋体" w:eastAsia="宋体" w:cs="宋体"/>
              <w:sz w:val="32"/>
              <w:szCs w:val="32"/>
            </w:rPr>
          </w:pPr>
          <w:r>
            <w:rPr>
              <w:rFonts w:hint="eastAsia" w:ascii="宋体" w:hAnsi="宋体" w:eastAsia="宋体" w:cs="宋体"/>
              <w:b/>
              <w:bCs/>
              <w:sz w:val="32"/>
              <w:szCs w:val="32"/>
            </w:rPr>
            <w:fldChar w:fldCharType="begin"/>
          </w:r>
          <w:r>
            <w:rPr>
              <w:rFonts w:hint="eastAsia" w:ascii="宋体" w:hAnsi="宋体" w:eastAsia="宋体" w:cs="宋体"/>
              <w:sz w:val="32"/>
              <w:szCs w:val="32"/>
            </w:rPr>
            <w:instrText xml:space="preserve"> HYPERLINK \l _Toc654771145_WPSOffice_Level1 </w:instrText>
          </w:r>
          <w:r>
            <w:rPr>
              <w:rFonts w:hint="eastAsia" w:ascii="宋体" w:hAnsi="宋体" w:eastAsia="宋体" w:cs="宋体"/>
              <w:b/>
              <w:bCs/>
              <w:sz w:val="32"/>
              <w:szCs w:val="32"/>
            </w:rPr>
            <w:fldChar w:fldCharType="separate"/>
          </w:r>
          <w:sdt>
            <w:sdtPr>
              <w:rPr>
                <w:rFonts w:hint="eastAsia" w:ascii="宋体" w:hAnsi="宋体" w:eastAsia="宋体" w:cs="宋体"/>
                <w:b/>
                <w:bCs/>
                <w:kern w:val="2"/>
                <w:sz w:val="32"/>
                <w:szCs w:val="32"/>
                <w:lang w:val="en-US" w:eastAsia="zh-CN" w:bidi="ar-SA"/>
              </w:rPr>
              <w:id w:val="357570069"/>
              <w:placeholder>
                <w:docPart w:val="{30164f50-162d-494b-a316-b19c6ac12390}"/>
              </w:placeholder>
            </w:sdtPr>
            <w:sdtEndPr>
              <w:rPr>
                <w:rFonts w:hint="eastAsia" w:ascii="宋体" w:hAnsi="宋体" w:eastAsia="宋体" w:cs="宋体"/>
                <w:b/>
                <w:bCs/>
                <w:kern w:val="2"/>
                <w:sz w:val="32"/>
                <w:szCs w:val="32"/>
                <w:lang w:val="en-US" w:eastAsia="zh-CN" w:bidi="ar-SA"/>
              </w:rPr>
            </w:sdtEndPr>
            <w:sdtContent>
              <w:r>
                <w:rPr>
                  <w:rFonts w:hint="eastAsia" w:ascii="宋体" w:hAnsi="宋体" w:eastAsia="宋体" w:cs="宋体"/>
                  <w:b/>
                  <w:bCs/>
                  <w:sz w:val="32"/>
                  <w:szCs w:val="32"/>
                </w:rPr>
                <w:t>第六章 实施乡村建设行动</w:t>
              </w:r>
            </w:sdtContent>
          </w:sdt>
          <w:r>
            <w:rPr>
              <w:rFonts w:hint="eastAsia" w:ascii="宋体" w:hAnsi="宋体" w:eastAsia="宋体" w:cs="宋体"/>
              <w:b/>
              <w:bCs/>
              <w:sz w:val="32"/>
              <w:szCs w:val="32"/>
            </w:rPr>
            <w:tab/>
          </w:r>
          <w:bookmarkStart w:id="39" w:name="_Toc654771145_WPSOffice_Level1Page"/>
          <w:r>
            <w:rPr>
              <w:rFonts w:hint="eastAsia" w:ascii="宋体" w:hAnsi="宋体" w:eastAsia="宋体" w:cs="宋体"/>
              <w:b/>
              <w:bCs/>
              <w:sz w:val="32"/>
              <w:szCs w:val="32"/>
            </w:rPr>
            <w:t>4</w:t>
          </w:r>
          <w:bookmarkEnd w:id="39"/>
          <w:r>
            <w:rPr>
              <w:rFonts w:hint="eastAsia" w:ascii="宋体" w:hAnsi="宋体" w:cs="宋体"/>
              <w:b/>
              <w:bCs/>
              <w:sz w:val="32"/>
              <w:szCs w:val="32"/>
              <w:lang w:val="en-US" w:eastAsia="zh-CN"/>
            </w:rPr>
            <w:t>5</w:t>
          </w:r>
          <w:r>
            <w:rPr>
              <w:rFonts w:hint="eastAsia" w:ascii="宋体" w:hAnsi="宋体" w:eastAsia="宋体" w:cs="宋体"/>
              <w:b/>
              <w:bCs/>
              <w:sz w:val="32"/>
              <w:szCs w:val="32"/>
            </w:rPr>
            <w:fldChar w:fldCharType="end"/>
          </w:r>
        </w:p>
        <w:p>
          <w:pPr>
            <w:pStyle w:val="43"/>
            <w:tabs>
              <w:tab w:val="right" w:leader="dot" w:pos="8300"/>
            </w:tabs>
            <w:rPr>
              <w:rFonts w:hint="eastAsia" w:ascii="宋体" w:hAnsi="宋体" w:eastAsia="宋体" w:cs="宋体"/>
              <w:sz w:val="32"/>
              <w:szCs w:val="32"/>
            </w:rPr>
          </w:pPr>
          <w:r>
            <w:rPr>
              <w:rFonts w:hint="eastAsia" w:ascii="宋体" w:hAnsi="宋体" w:eastAsia="宋体" w:cs="宋体"/>
              <w:sz w:val="32"/>
              <w:szCs w:val="32"/>
            </w:rPr>
            <w:fldChar w:fldCharType="begin"/>
          </w:r>
          <w:r>
            <w:rPr>
              <w:rFonts w:hint="eastAsia" w:ascii="宋体" w:hAnsi="宋体" w:eastAsia="宋体" w:cs="宋体"/>
              <w:sz w:val="32"/>
              <w:szCs w:val="32"/>
            </w:rPr>
            <w:instrText xml:space="preserve"> HYPERLINK \l _Toc1092903030_WPSOffice_Level2 </w:instrText>
          </w:r>
          <w:r>
            <w:rPr>
              <w:rFonts w:hint="eastAsia" w:ascii="宋体" w:hAnsi="宋体" w:eastAsia="宋体" w:cs="宋体"/>
              <w:sz w:val="32"/>
              <w:szCs w:val="32"/>
            </w:rPr>
            <w:fldChar w:fldCharType="separate"/>
          </w:r>
          <w:sdt>
            <w:sdtPr>
              <w:rPr>
                <w:rFonts w:hint="eastAsia" w:ascii="宋体" w:hAnsi="宋体" w:eastAsia="宋体" w:cs="宋体"/>
                <w:kern w:val="2"/>
                <w:sz w:val="32"/>
                <w:szCs w:val="32"/>
                <w:lang w:val="en-US" w:eastAsia="zh-CN" w:bidi="ar-SA"/>
              </w:rPr>
              <w:id w:val="357570069"/>
              <w:placeholder>
                <w:docPart w:val="{44232531-da07-44d4-9cc3-6d761aa54ed1}"/>
              </w:placeholder>
            </w:sdtPr>
            <w:sdtEndPr>
              <w:rPr>
                <w:rFonts w:hint="eastAsia" w:ascii="宋体" w:hAnsi="宋体" w:eastAsia="宋体" w:cs="宋体"/>
                <w:kern w:val="2"/>
                <w:sz w:val="32"/>
                <w:szCs w:val="32"/>
                <w:lang w:val="en-US" w:eastAsia="zh-CN" w:bidi="ar-SA"/>
              </w:rPr>
            </w:sdtEndPr>
            <w:sdtContent>
              <w:r>
                <w:rPr>
                  <w:rFonts w:hint="eastAsia" w:ascii="宋体" w:hAnsi="宋体" w:eastAsia="宋体" w:cs="宋体"/>
                  <w:sz w:val="32"/>
                  <w:szCs w:val="32"/>
                </w:rPr>
                <w:t>第一节 科学规划嘎查村建设</w:t>
              </w:r>
            </w:sdtContent>
          </w:sdt>
          <w:r>
            <w:rPr>
              <w:rFonts w:hint="eastAsia" w:ascii="宋体" w:hAnsi="宋体" w:eastAsia="宋体" w:cs="宋体"/>
              <w:sz w:val="32"/>
              <w:szCs w:val="32"/>
            </w:rPr>
            <w:tab/>
          </w:r>
          <w:bookmarkStart w:id="40" w:name="_Toc1092903030_WPSOffice_Level2Page"/>
          <w:r>
            <w:rPr>
              <w:rFonts w:hint="eastAsia" w:ascii="宋体" w:hAnsi="宋体" w:eastAsia="宋体" w:cs="宋体"/>
              <w:sz w:val="32"/>
              <w:szCs w:val="32"/>
            </w:rPr>
            <w:t>4</w:t>
          </w:r>
          <w:bookmarkEnd w:id="40"/>
          <w:r>
            <w:rPr>
              <w:rFonts w:hint="eastAsia" w:ascii="宋体" w:hAnsi="宋体" w:eastAsia="宋体" w:cs="宋体"/>
              <w:sz w:val="32"/>
              <w:szCs w:val="32"/>
              <w:lang w:val="en-US" w:eastAsia="zh-CN"/>
            </w:rPr>
            <w:t>5</w:t>
          </w:r>
          <w:r>
            <w:rPr>
              <w:rFonts w:hint="eastAsia" w:ascii="宋体" w:hAnsi="宋体" w:eastAsia="宋体" w:cs="宋体"/>
              <w:sz w:val="32"/>
              <w:szCs w:val="32"/>
            </w:rPr>
            <w:fldChar w:fldCharType="end"/>
          </w:r>
        </w:p>
        <w:p>
          <w:pPr>
            <w:pStyle w:val="43"/>
            <w:tabs>
              <w:tab w:val="right" w:leader="dot" w:pos="8300"/>
            </w:tabs>
            <w:rPr>
              <w:rFonts w:hint="eastAsia" w:ascii="宋体" w:hAnsi="宋体" w:eastAsia="宋体" w:cs="宋体"/>
              <w:sz w:val="32"/>
              <w:szCs w:val="32"/>
            </w:rPr>
          </w:pPr>
          <w:r>
            <w:rPr>
              <w:rFonts w:hint="eastAsia" w:ascii="宋体" w:hAnsi="宋体" w:eastAsia="宋体" w:cs="宋体"/>
              <w:sz w:val="32"/>
              <w:szCs w:val="32"/>
            </w:rPr>
            <w:fldChar w:fldCharType="begin"/>
          </w:r>
          <w:r>
            <w:rPr>
              <w:rFonts w:hint="eastAsia" w:ascii="宋体" w:hAnsi="宋体" w:eastAsia="宋体" w:cs="宋体"/>
              <w:sz w:val="32"/>
              <w:szCs w:val="32"/>
            </w:rPr>
            <w:instrText xml:space="preserve"> HYPERLINK \l _Toc1210452737_WPSOffice_Level2 </w:instrText>
          </w:r>
          <w:r>
            <w:rPr>
              <w:rFonts w:hint="eastAsia" w:ascii="宋体" w:hAnsi="宋体" w:eastAsia="宋体" w:cs="宋体"/>
              <w:sz w:val="32"/>
              <w:szCs w:val="32"/>
            </w:rPr>
            <w:fldChar w:fldCharType="separate"/>
          </w:r>
          <w:sdt>
            <w:sdtPr>
              <w:rPr>
                <w:rFonts w:hint="eastAsia" w:ascii="宋体" w:hAnsi="宋体" w:eastAsia="宋体" w:cs="宋体"/>
                <w:kern w:val="2"/>
                <w:sz w:val="32"/>
                <w:szCs w:val="32"/>
                <w:lang w:val="en-US" w:eastAsia="zh-CN" w:bidi="ar-SA"/>
              </w:rPr>
              <w:id w:val="357570069"/>
              <w:placeholder>
                <w:docPart w:val="{9336547f-7b78-4773-ac58-fcf2d05a5d2e}"/>
              </w:placeholder>
            </w:sdtPr>
            <w:sdtEndPr>
              <w:rPr>
                <w:rFonts w:hint="eastAsia" w:ascii="宋体" w:hAnsi="宋体" w:eastAsia="宋体" w:cs="宋体"/>
                <w:kern w:val="2"/>
                <w:sz w:val="32"/>
                <w:szCs w:val="32"/>
                <w:lang w:val="en-US" w:eastAsia="zh-CN" w:bidi="ar-SA"/>
              </w:rPr>
            </w:sdtEndPr>
            <w:sdtContent>
              <w:r>
                <w:rPr>
                  <w:rFonts w:hint="eastAsia" w:ascii="宋体" w:hAnsi="宋体" w:eastAsia="宋体" w:cs="宋体"/>
                  <w:sz w:val="32"/>
                  <w:szCs w:val="32"/>
                </w:rPr>
                <w:t>第二节 加强农村牧区基础设施建设</w:t>
              </w:r>
            </w:sdtContent>
          </w:sdt>
          <w:r>
            <w:rPr>
              <w:rFonts w:hint="eastAsia" w:ascii="宋体" w:hAnsi="宋体" w:eastAsia="宋体" w:cs="宋体"/>
              <w:sz w:val="32"/>
              <w:szCs w:val="32"/>
            </w:rPr>
            <w:tab/>
          </w:r>
          <w:bookmarkStart w:id="41" w:name="_Toc1210452737_WPSOffice_Level2Page"/>
          <w:r>
            <w:rPr>
              <w:rFonts w:hint="eastAsia" w:ascii="宋体" w:hAnsi="宋体" w:eastAsia="宋体" w:cs="宋体"/>
              <w:sz w:val="32"/>
              <w:szCs w:val="32"/>
            </w:rPr>
            <w:t>4</w:t>
          </w:r>
          <w:bookmarkEnd w:id="41"/>
          <w:r>
            <w:rPr>
              <w:rFonts w:hint="eastAsia" w:ascii="宋体" w:hAnsi="宋体" w:eastAsia="宋体" w:cs="宋体"/>
              <w:sz w:val="32"/>
              <w:szCs w:val="32"/>
              <w:lang w:val="en-US" w:eastAsia="zh-CN"/>
            </w:rPr>
            <w:t>5</w:t>
          </w:r>
          <w:r>
            <w:rPr>
              <w:rFonts w:hint="eastAsia" w:ascii="宋体" w:hAnsi="宋体" w:eastAsia="宋体" w:cs="宋体"/>
              <w:sz w:val="32"/>
              <w:szCs w:val="32"/>
            </w:rPr>
            <w:fldChar w:fldCharType="end"/>
          </w:r>
        </w:p>
        <w:p>
          <w:pPr>
            <w:pStyle w:val="43"/>
            <w:tabs>
              <w:tab w:val="right" w:leader="dot" w:pos="8300"/>
            </w:tabs>
            <w:rPr>
              <w:rFonts w:hint="eastAsia" w:ascii="宋体" w:hAnsi="宋体" w:eastAsia="宋体" w:cs="宋体"/>
              <w:sz w:val="32"/>
              <w:szCs w:val="32"/>
              <w:lang w:val="en-US" w:eastAsia="zh-CN"/>
            </w:rPr>
          </w:pPr>
          <w:r>
            <w:rPr>
              <w:rFonts w:hint="eastAsia" w:ascii="宋体" w:hAnsi="宋体" w:eastAsia="宋体" w:cs="宋体"/>
              <w:sz w:val="32"/>
              <w:szCs w:val="32"/>
            </w:rPr>
            <w:fldChar w:fldCharType="begin"/>
          </w:r>
          <w:r>
            <w:rPr>
              <w:rFonts w:hint="eastAsia" w:ascii="宋体" w:hAnsi="宋体" w:eastAsia="宋体" w:cs="宋体"/>
              <w:sz w:val="32"/>
              <w:szCs w:val="32"/>
            </w:rPr>
            <w:instrText xml:space="preserve"> HYPERLINK \l _Toc761344192_WPSOffice_Level2 </w:instrText>
          </w:r>
          <w:r>
            <w:rPr>
              <w:rFonts w:hint="eastAsia" w:ascii="宋体" w:hAnsi="宋体" w:eastAsia="宋体" w:cs="宋体"/>
              <w:sz w:val="32"/>
              <w:szCs w:val="32"/>
            </w:rPr>
            <w:fldChar w:fldCharType="separate"/>
          </w:r>
          <w:sdt>
            <w:sdtPr>
              <w:rPr>
                <w:rFonts w:hint="eastAsia" w:ascii="宋体" w:hAnsi="宋体" w:eastAsia="宋体" w:cs="宋体"/>
                <w:kern w:val="2"/>
                <w:sz w:val="32"/>
                <w:szCs w:val="32"/>
                <w:lang w:val="en-US" w:eastAsia="zh-CN" w:bidi="ar-SA"/>
              </w:rPr>
              <w:id w:val="357570069"/>
              <w:placeholder>
                <w:docPart w:val="{4a4728f6-93db-4cf7-97e9-2f0c63333c86}"/>
              </w:placeholder>
            </w:sdtPr>
            <w:sdtEndPr>
              <w:rPr>
                <w:rFonts w:hint="eastAsia" w:ascii="宋体" w:hAnsi="宋体" w:eastAsia="宋体" w:cs="宋体"/>
                <w:kern w:val="2"/>
                <w:sz w:val="32"/>
                <w:szCs w:val="32"/>
                <w:lang w:val="en-US" w:eastAsia="zh-CN" w:bidi="ar-SA"/>
              </w:rPr>
            </w:sdtEndPr>
            <w:sdtContent>
              <w:r>
                <w:rPr>
                  <w:rFonts w:hint="eastAsia" w:ascii="宋体" w:hAnsi="宋体" w:eastAsia="宋体" w:cs="宋体"/>
                  <w:sz w:val="32"/>
                  <w:szCs w:val="32"/>
                </w:rPr>
                <w:t xml:space="preserve">第三节 </w:t>
              </w:r>
              <w:r>
                <w:rPr>
                  <w:rFonts w:hint="eastAsia" w:ascii="宋体" w:hAnsi="宋体" w:eastAsia="宋体" w:cs="宋体"/>
                  <w:sz w:val="32"/>
                  <w:szCs w:val="32"/>
                  <w:lang w:eastAsia="zh-CN"/>
                </w:rPr>
                <w:t>整治</w:t>
              </w:r>
              <w:r>
                <w:rPr>
                  <w:rFonts w:hint="eastAsia" w:ascii="宋体" w:hAnsi="宋体" w:eastAsia="宋体" w:cs="宋体"/>
                  <w:sz w:val="32"/>
                  <w:szCs w:val="32"/>
                </w:rPr>
                <w:t>提升农村牧区人居环境</w:t>
              </w:r>
            </w:sdtContent>
          </w:sdt>
          <w:r>
            <w:rPr>
              <w:rFonts w:hint="eastAsia" w:ascii="宋体" w:hAnsi="宋体" w:eastAsia="宋体" w:cs="宋体"/>
              <w:sz w:val="32"/>
              <w:szCs w:val="32"/>
            </w:rPr>
            <w:tab/>
          </w:r>
          <w:r>
            <w:rPr>
              <w:rFonts w:hint="eastAsia" w:ascii="宋体" w:hAnsi="宋体" w:eastAsia="宋体" w:cs="宋体"/>
              <w:sz w:val="32"/>
              <w:szCs w:val="32"/>
              <w:lang w:val="en-US" w:eastAsia="zh-CN"/>
            </w:rPr>
            <w:t>4</w:t>
          </w:r>
          <w:r>
            <w:rPr>
              <w:rFonts w:hint="eastAsia" w:ascii="宋体" w:hAnsi="宋体" w:eastAsia="宋体" w:cs="宋体"/>
              <w:sz w:val="32"/>
              <w:szCs w:val="32"/>
            </w:rPr>
            <w:fldChar w:fldCharType="end"/>
          </w:r>
          <w:r>
            <w:rPr>
              <w:rFonts w:hint="eastAsia" w:ascii="宋体" w:hAnsi="宋体" w:eastAsia="宋体" w:cs="宋体"/>
              <w:sz w:val="32"/>
              <w:szCs w:val="32"/>
              <w:lang w:val="en-US" w:eastAsia="zh-CN"/>
            </w:rPr>
            <w:t>8</w:t>
          </w:r>
        </w:p>
        <w:p>
          <w:pPr>
            <w:pStyle w:val="43"/>
            <w:tabs>
              <w:tab w:val="right" w:leader="dot" w:pos="8300"/>
            </w:tabs>
            <w:rPr>
              <w:rFonts w:hint="eastAsia" w:ascii="宋体" w:hAnsi="宋体" w:eastAsia="宋体" w:cs="宋体"/>
              <w:sz w:val="32"/>
              <w:szCs w:val="32"/>
              <w:lang w:val="en-US" w:eastAsia="zh-CN"/>
            </w:rPr>
          </w:pPr>
          <w:r>
            <w:rPr>
              <w:rFonts w:hint="eastAsia" w:ascii="宋体" w:hAnsi="宋体" w:eastAsia="宋体" w:cs="宋体"/>
              <w:sz w:val="32"/>
              <w:szCs w:val="32"/>
            </w:rPr>
            <w:fldChar w:fldCharType="begin"/>
          </w:r>
          <w:r>
            <w:rPr>
              <w:rFonts w:hint="eastAsia" w:ascii="宋体" w:hAnsi="宋体" w:eastAsia="宋体" w:cs="宋体"/>
              <w:sz w:val="32"/>
              <w:szCs w:val="32"/>
            </w:rPr>
            <w:instrText xml:space="preserve"> HYPERLINK \l _Toc877078608_WPSOffice_Level2 </w:instrText>
          </w:r>
          <w:r>
            <w:rPr>
              <w:rFonts w:hint="eastAsia" w:ascii="宋体" w:hAnsi="宋体" w:eastAsia="宋体" w:cs="宋体"/>
              <w:sz w:val="32"/>
              <w:szCs w:val="32"/>
            </w:rPr>
            <w:fldChar w:fldCharType="separate"/>
          </w:r>
          <w:sdt>
            <w:sdtPr>
              <w:rPr>
                <w:rFonts w:hint="eastAsia" w:ascii="宋体" w:hAnsi="宋体" w:eastAsia="宋体" w:cs="宋体"/>
                <w:kern w:val="2"/>
                <w:sz w:val="32"/>
                <w:szCs w:val="32"/>
                <w:lang w:val="en-US" w:eastAsia="zh-CN" w:bidi="ar-SA"/>
              </w:rPr>
              <w:id w:val="357570069"/>
              <w:placeholder>
                <w:docPart w:val="{dd63d9ce-9b3e-4b62-992c-b768ce91f2f5}"/>
              </w:placeholder>
            </w:sdtPr>
            <w:sdtEndPr>
              <w:rPr>
                <w:rFonts w:hint="eastAsia" w:ascii="宋体" w:hAnsi="宋体" w:eastAsia="宋体" w:cs="宋体"/>
                <w:kern w:val="2"/>
                <w:sz w:val="32"/>
                <w:szCs w:val="32"/>
                <w:lang w:val="en-US" w:eastAsia="zh-CN" w:bidi="ar-SA"/>
              </w:rPr>
            </w:sdtEndPr>
            <w:sdtContent>
              <w:r>
                <w:rPr>
                  <w:rFonts w:hint="eastAsia" w:ascii="宋体" w:hAnsi="宋体" w:eastAsia="宋体" w:cs="宋体"/>
                  <w:sz w:val="32"/>
                  <w:szCs w:val="32"/>
                </w:rPr>
                <w:t>第四节 加强农村牧区生态文明建设</w:t>
              </w:r>
            </w:sdtContent>
          </w:sdt>
          <w:r>
            <w:rPr>
              <w:rFonts w:hint="eastAsia" w:ascii="宋体" w:hAnsi="宋体" w:eastAsia="宋体" w:cs="宋体"/>
              <w:sz w:val="32"/>
              <w:szCs w:val="32"/>
            </w:rPr>
            <w:tab/>
          </w:r>
          <w:r>
            <w:rPr>
              <w:rFonts w:hint="eastAsia" w:ascii="宋体" w:hAnsi="宋体" w:eastAsia="宋体" w:cs="宋体"/>
              <w:sz w:val="32"/>
              <w:szCs w:val="32"/>
              <w:lang w:val="en-US" w:eastAsia="zh-CN"/>
            </w:rPr>
            <w:t>4</w:t>
          </w:r>
          <w:r>
            <w:rPr>
              <w:rFonts w:hint="eastAsia" w:ascii="宋体" w:hAnsi="宋体" w:eastAsia="宋体" w:cs="宋体"/>
              <w:sz w:val="32"/>
              <w:szCs w:val="32"/>
            </w:rPr>
            <w:fldChar w:fldCharType="end"/>
          </w:r>
          <w:r>
            <w:rPr>
              <w:rFonts w:hint="eastAsia" w:ascii="宋体" w:hAnsi="宋体" w:eastAsia="宋体" w:cs="宋体"/>
              <w:sz w:val="32"/>
              <w:szCs w:val="32"/>
              <w:lang w:val="en-US" w:eastAsia="zh-CN"/>
            </w:rPr>
            <w:t>9</w:t>
          </w:r>
        </w:p>
        <w:p>
          <w:pPr>
            <w:pStyle w:val="43"/>
            <w:tabs>
              <w:tab w:val="right" w:leader="dot" w:pos="8300"/>
            </w:tabs>
            <w:rPr>
              <w:rFonts w:hint="eastAsia" w:ascii="宋体" w:hAnsi="宋体" w:eastAsia="宋体" w:cs="宋体"/>
              <w:sz w:val="32"/>
              <w:szCs w:val="32"/>
            </w:rPr>
          </w:pPr>
          <w:r>
            <w:rPr>
              <w:rFonts w:hint="eastAsia" w:ascii="宋体" w:hAnsi="宋体" w:eastAsia="宋体" w:cs="宋体"/>
              <w:sz w:val="32"/>
              <w:szCs w:val="32"/>
            </w:rPr>
            <w:fldChar w:fldCharType="begin"/>
          </w:r>
          <w:r>
            <w:rPr>
              <w:rFonts w:hint="eastAsia" w:ascii="宋体" w:hAnsi="宋体" w:eastAsia="宋体" w:cs="宋体"/>
              <w:sz w:val="32"/>
              <w:szCs w:val="32"/>
            </w:rPr>
            <w:instrText xml:space="preserve"> HYPERLINK \l _Toc734447694_WPSOffice_Level2 </w:instrText>
          </w:r>
          <w:r>
            <w:rPr>
              <w:rFonts w:hint="eastAsia" w:ascii="宋体" w:hAnsi="宋体" w:eastAsia="宋体" w:cs="宋体"/>
              <w:sz w:val="32"/>
              <w:szCs w:val="32"/>
            </w:rPr>
            <w:fldChar w:fldCharType="separate"/>
          </w:r>
          <w:sdt>
            <w:sdtPr>
              <w:rPr>
                <w:rFonts w:hint="eastAsia" w:ascii="宋体" w:hAnsi="宋体" w:eastAsia="宋体" w:cs="宋体"/>
                <w:kern w:val="2"/>
                <w:sz w:val="32"/>
                <w:szCs w:val="32"/>
                <w:lang w:val="en-US" w:eastAsia="zh-CN" w:bidi="ar-SA"/>
              </w:rPr>
              <w:id w:val="357570069"/>
              <w:placeholder>
                <w:docPart w:val="{4fdcda58-8023-436d-a5d3-5596b9a1d498}"/>
              </w:placeholder>
            </w:sdtPr>
            <w:sdtEndPr>
              <w:rPr>
                <w:rFonts w:hint="eastAsia" w:ascii="宋体" w:hAnsi="宋体" w:eastAsia="宋体" w:cs="宋体"/>
                <w:kern w:val="2"/>
                <w:sz w:val="32"/>
                <w:szCs w:val="32"/>
                <w:lang w:val="en-US" w:eastAsia="zh-CN" w:bidi="ar-SA"/>
              </w:rPr>
            </w:sdtEndPr>
            <w:sdtContent>
              <w:r>
                <w:rPr>
                  <w:rFonts w:hint="eastAsia" w:ascii="宋体" w:hAnsi="宋体" w:eastAsia="宋体" w:cs="宋体"/>
                  <w:sz w:val="32"/>
                  <w:szCs w:val="32"/>
                </w:rPr>
                <w:t>第五节 提高公共服务供给能力</w:t>
              </w:r>
            </w:sdtContent>
          </w:sdt>
          <w:r>
            <w:rPr>
              <w:rFonts w:hint="eastAsia" w:ascii="宋体" w:hAnsi="宋体" w:eastAsia="宋体" w:cs="宋体"/>
              <w:sz w:val="32"/>
              <w:szCs w:val="32"/>
            </w:rPr>
            <w:tab/>
          </w:r>
          <w:bookmarkStart w:id="42" w:name="_Toc734447694_WPSOffice_Level2Page"/>
          <w:r>
            <w:rPr>
              <w:rFonts w:hint="eastAsia" w:ascii="宋体" w:hAnsi="宋体" w:eastAsia="宋体" w:cs="宋体"/>
              <w:sz w:val="32"/>
              <w:szCs w:val="32"/>
            </w:rPr>
            <w:t>5</w:t>
          </w:r>
          <w:bookmarkEnd w:id="42"/>
          <w:r>
            <w:rPr>
              <w:rFonts w:hint="eastAsia" w:ascii="宋体" w:hAnsi="宋体" w:eastAsia="宋体" w:cs="宋体"/>
              <w:sz w:val="32"/>
              <w:szCs w:val="32"/>
              <w:lang w:val="en-US" w:eastAsia="zh-CN"/>
            </w:rPr>
            <w:t>2</w:t>
          </w:r>
          <w:r>
            <w:rPr>
              <w:rFonts w:hint="eastAsia" w:ascii="宋体" w:hAnsi="宋体" w:eastAsia="宋体" w:cs="宋体"/>
              <w:sz w:val="32"/>
              <w:szCs w:val="32"/>
            </w:rPr>
            <w:fldChar w:fldCharType="end"/>
          </w:r>
        </w:p>
        <w:p>
          <w:pPr>
            <w:pStyle w:val="47"/>
            <w:tabs>
              <w:tab w:val="right" w:leader="dot" w:pos="8300"/>
            </w:tabs>
            <w:rPr>
              <w:rFonts w:hint="eastAsia" w:ascii="宋体" w:hAnsi="宋体" w:eastAsia="宋体" w:cs="宋体"/>
              <w:sz w:val="32"/>
              <w:szCs w:val="32"/>
            </w:rPr>
          </w:pPr>
          <w:r>
            <w:rPr>
              <w:rFonts w:hint="eastAsia" w:ascii="宋体" w:hAnsi="宋体" w:eastAsia="宋体" w:cs="宋体"/>
              <w:b/>
              <w:bCs/>
              <w:sz w:val="32"/>
              <w:szCs w:val="32"/>
            </w:rPr>
            <w:fldChar w:fldCharType="begin"/>
          </w:r>
          <w:r>
            <w:rPr>
              <w:rFonts w:hint="eastAsia" w:ascii="宋体" w:hAnsi="宋体" w:eastAsia="宋体" w:cs="宋体"/>
              <w:sz w:val="32"/>
              <w:szCs w:val="32"/>
            </w:rPr>
            <w:instrText xml:space="preserve"> HYPERLINK \l _Toc694231440_WPSOffice_Level1 </w:instrText>
          </w:r>
          <w:r>
            <w:rPr>
              <w:rFonts w:hint="eastAsia" w:ascii="宋体" w:hAnsi="宋体" w:eastAsia="宋体" w:cs="宋体"/>
              <w:b/>
              <w:bCs/>
              <w:sz w:val="32"/>
              <w:szCs w:val="32"/>
            </w:rPr>
            <w:fldChar w:fldCharType="separate"/>
          </w:r>
          <w:sdt>
            <w:sdtPr>
              <w:rPr>
                <w:rFonts w:hint="eastAsia" w:ascii="宋体" w:hAnsi="宋体" w:eastAsia="宋体" w:cs="宋体"/>
                <w:b/>
                <w:bCs/>
                <w:kern w:val="2"/>
                <w:sz w:val="32"/>
                <w:szCs w:val="32"/>
                <w:lang w:val="en-US" w:eastAsia="zh-CN" w:bidi="ar-SA"/>
              </w:rPr>
              <w:id w:val="357570069"/>
              <w:placeholder>
                <w:docPart w:val="{7715c8b4-1de0-4dc8-b5ae-ce5afeb41be7}"/>
              </w:placeholder>
            </w:sdtPr>
            <w:sdtEndPr>
              <w:rPr>
                <w:rFonts w:hint="eastAsia" w:ascii="宋体" w:hAnsi="宋体" w:eastAsia="宋体" w:cs="宋体"/>
                <w:b/>
                <w:bCs/>
                <w:kern w:val="2"/>
                <w:sz w:val="32"/>
                <w:szCs w:val="32"/>
                <w:lang w:val="en-US" w:eastAsia="zh-CN" w:bidi="ar-SA"/>
              </w:rPr>
            </w:sdtEndPr>
            <w:sdtContent>
              <w:r>
                <w:rPr>
                  <w:rFonts w:hint="eastAsia" w:ascii="宋体" w:hAnsi="宋体" w:eastAsia="宋体" w:cs="宋体"/>
                  <w:b/>
                  <w:bCs/>
                  <w:sz w:val="32"/>
                  <w:szCs w:val="32"/>
                </w:rPr>
                <w:t>第七章 深化农村牧区改革</w:t>
              </w:r>
            </w:sdtContent>
          </w:sdt>
          <w:r>
            <w:rPr>
              <w:rFonts w:hint="eastAsia" w:ascii="宋体" w:hAnsi="宋体" w:eastAsia="宋体" w:cs="宋体"/>
              <w:b/>
              <w:bCs/>
              <w:sz w:val="32"/>
              <w:szCs w:val="32"/>
            </w:rPr>
            <w:tab/>
          </w:r>
          <w:bookmarkStart w:id="43" w:name="_Toc694231440_WPSOffice_Level1Page"/>
          <w:r>
            <w:rPr>
              <w:rFonts w:hint="eastAsia" w:ascii="宋体" w:hAnsi="宋体" w:eastAsia="宋体" w:cs="宋体"/>
              <w:b/>
              <w:bCs/>
              <w:sz w:val="32"/>
              <w:szCs w:val="32"/>
            </w:rPr>
            <w:t>5</w:t>
          </w:r>
          <w:bookmarkEnd w:id="43"/>
          <w:r>
            <w:rPr>
              <w:rFonts w:hint="eastAsia" w:ascii="宋体" w:hAnsi="宋体" w:cs="宋体"/>
              <w:b/>
              <w:bCs/>
              <w:sz w:val="32"/>
              <w:szCs w:val="32"/>
              <w:lang w:val="en-US" w:eastAsia="zh-CN"/>
            </w:rPr>
            <w:t>6</w:t>
          </w:r>
          <w:r>
            <w:rPr>
              <w:rFonts w:hint="eastAsia" w:ascii="宋体" w:hAnsi="宋体" w:eastAsia="宋体" w:cs="宋体"/>
              <w:b/>
              <w:bCs/>
              <w:sz w:val="32"/>
              <w:szCs w:val="32"/>
            </w:rPr>
            <w:fldChar w:fldCharType="end"/>
          </w:r>
        </w:p>
        <w:p>
          <w:pPr>
            <w:pStyle w:val="43"/>
            <w:tabs>
              <w:tab w:val="right" w:leader="dot" w:pos="8300"/>
            </w:tabs>
            <w:rPr>
              <w:rFonts w:hint="eastAsia" w:ascii="宋体" w:hAnsi="宋体" w:eastAsia="宋体" w:cs="宋体"/>
              <w:sz w:val="32"/>
              <w:szCs w:val="32"/>
            </w:rPr>
          </w:pPr>
          <w:r>
            <w:rPr>
              <w:rFonts w:hint="eastAsia" w:ascii="宋体" w:hAnsi="宋体" w:eastAsia="宋体" w:cs="宋体"/>
              <w:sz w:val="32"/>
              <w:szCs w:val="32"/>
            </w:rPr>
            <w:fldChar w:fldCharType="begin"/>
          </w:r>
          <w:r>
            <w:rPr>
              <w:rFonts w:hint="eastAsia" w:ascii="宋体" w:hAnsi="宋体" w:eastAsia="宋体" w:cs="宋体"/>
              <w:sz w:val="32"/>
              <w:szCs w:val="32"/>
            </w:rPr>
            <w:instrText xml:space="preserve"> HYPERLINK \l _Toc1551257770_WPSOffice_Level2 </w:instrText>
          </w:r>
          <w:r>
            <w:rPr>
              <w:rFonts w:hint="eastAsia" w:ascii="宋体" w:hAnsi="宋体" w:eastAsia="宋体" w:cs="宋体"/>
              <w:sz w:val="32"/>
              <w:szCs w:val="32"/>
            </w:rPr>
            <w:fldChar w:fldCharType="separate"/>
          </w:r>
          <w:sdt>
            <w:sdtPr>
              <w:rPr>
                <w:rFonts w:hint="eastAsia" w:ascii="宋体" w:hAnsi="宋体" w:eastAsia="宋体" w:cs="宋体"/>
                <w:kern w:val="2"/>
                <w:sz w:val="32"/>
                <w:szCs w:val="32"/>
                <w:lang w:val="en-US" w:eastAsia="zh-CN" w:bidi="ar-SA"/>
              </w:rPr>
              <w:id w:val="357570069"/>
              <w:placeholder>
                <w:docPart w:val="{b7362060-0605-4d1b-a35d-7fb943132efa}"/>
              </w:placeholder>
            </w:sdtPr>
            <w:sdtEndPr>
              <w:rPr>
                <w:rFonts w:hint="eastAsia" w:ascii="宋体" w:hAnsi="宋体" w:eastAsia="宋体" w:cs="宋体"/>
                <w:kern w:val="2"/>
                <w:sz w:val="32"/>
                <w:szCs w:val="32"/>
                <w:lang w:val="en-US" w:eastAsia="zh-CN" w:bidi="ar-SA"/>
              </w:rPr>
            </w:sdtEndPr>
            <w:sdtContent>
              <w:r>
                <w:rPr>
                  <w:rFonts w:hint="eastAsia" w:ascii="宋体" w:hAnsi="宋体" w:eastAsia="宋体" w:cs="宋体"/>
                  <w:sz w:val="32"/>
                  <w:szCs w:val="32"/>
                </w:rPr>
                <w:t>第一节 推进牧区现代化示范区建设</w:t>
              </w:r>
            </w:sdtContent>
          </w:sdt>
          <w:r>
            <w:rPr>
              <w:rFonts w:hint="eastAsia" w:ascii="宋体" w:hAnsi="宋体" w:eastAsia="宋体" w:cs="宋体"/>
              <w:sz w:val="32"/>
              <w:szCs w:val="32"/>
            </w:rPr>
            <w:tab/>
          </w:r>
          <w:bookmarkStart w:id="44" w:name="_Toc1551257770_WPSOffice_Level2Page"/>
          <w:r>
            <w:rPr>
              <w:rFonts w:hint="eastAsia" w:ascii="宋体" w:hAnsi="宋体" w:eastAsia="宋体" w:cs="宋体"/>
              <w:sz w:val="32"/>
              <w:szCs w:val="32"/>
            </w:rPr>
            <w:t>5</w:t>
          </w:r>
          <w:bookmarkEnd w:id="44"/>
          <w:r>
            <w:rPr>
              <w:rFonts w:hint="eastAsia" w:ascii="宋体" w:hAnsi="宋体" w:eastAsia="宋体" w:cs="宋体"/>
              <w:sz w:val="32"/>
              <w:szCs w:val="32"/>
              <w:lang w:val="en-US" w:eastAsia="zh-CN"/>
            </w:rPr>
            <w:t>6</w:t>
          </w:r>
          <w:r>
            <w:rPr>
              <w:rFonts w:hint="eastAsia" w:ascii="宋体" w:hAnsi="宋体" w:eastAsia="宋体" w:cs="宋体"/>
              <w:sz w:val="32"/>
              <w:szCs w:val="32"/>
            </w:rPr>
            <w:fldChar w:fldCharType="end"/>
          </w:r>
        </w:p>
        <w:p>
          <w:pPr>
            <w:pStyle w:val="43"/>
            <w:tabs>
              <w:tab w:val="right" w:leader="dot" w:pos="8300"/>
            </w:tabs>
            <w:rPr>
              <w:rFonts w:hint="eastAsia" w:ascii="宋体" w:hAnsi="宋体" w:eastAsia="宋体" w:cs="宋体"/>
              <w:sz w:val="32"/>
              <w:szCs w:val="32"/>
            </w:rPr>
          </w:pPr>
          <w:r>
            <w:rPr>
              <w:rFonts w:hint="eastAsia" w:ascii="宋体" w:hAnsi="宋体" w:eastAsia="宋体" w:cs="宋体"/>
              <w:sz w:val="32"/>
              <w:szCs w:val="32"/>
            </w:rPr>
            <w:fldChar w:fldCharType="begin"/>
          </w:r>
          <w:r>
            <w:rPr>
              <w:rFonts w:hint="eastAsia" w:ascii="宋体" w:hAnsi="宋体" w:eastAsia="宋体" w:cs="宋体"/>
              <w:sz w:val="32"/>
              <w:szCs w:val="32"/>
            </w:rPr>
            <w:instrText xml:space="preserve"> HYPERLINK \l _Toc40444174_WPSOffice_Level2 </w:instrText>
          </w:r>
          <w:r>
            <w:rPr>
              <w:rFonts w:hint="eastAsia" w:ascii="宋体" w:hAnsi="宋体" w:eastAsia="宋体" w:cs="宋体"/>
              <w:sz w:val="32"/>
              <w:szCs w:val="32"/>
            </w:rPr>
            <w:fldChar w:fldCharType="separate"/>
          </w:r>
          <w:sdt>
            <w:sdtPr>
              <w:rPr>
                <w:rFonts w:hint="eastAsia" w:ascii="宋体" w:hAnsi="宋体" w:eastAsia="宋体" w:cs="宋体"/>
                <w:kern w:val="2"/>
                <w:sz w:val="32"/>
                <w:szCs w:val="32"/>
                <w:lang w:val="en-US" w:eastAsia="zh-CN" w:bidi="ar-SA"/>
              </w:rPr>
              <w:id w:val="357570069"/>
              <w:placeholder>
                <w:docPart w:val="{67376f8a-f63f-4566-9afb-80e9ea343704}"/>
              </w:placeholder>
            </w:sdtPr>
            <w:sdtEndPr>
              <w:rPr>
                <w:rFonts w:hint="eastAsia" w:ascii="宋体" w:hAnsi="宋体" w:eastAsia="宋体" w:cs="宋体"/>
                <w:kern w:val="2"/>
                <w:sz w:val="32"/>
                <w:szCs w:val="32"/>
                <w:lang w:val="en-US" w:eastAsia="zh-CN" w:bidi="ar-SA"/>
              </w:rPr>
            </w:sdtEndPr>
            <w:sdtContent>
              <w:r>
                <w:rPr>
                  <w:rFonts w:hint="eastAsia" w:ascii="宋体" w:hAnsi="宋体" w:eastAsia="宋体" w:cs="宋体"/>
                  <w:sz w:val="32"/>
                  <w:szCs w:val="32"/>
                </w:rPr>
                <w:t>第二节 健全城乡融合发展机制</w:t>
              </w:r>
            </w:sdtContent>
          </w:sdt>
          <w:r>
            <w:rPr>
              <w:rFonts w:hint="eastAsia" w:ascii="宋体" w:hAnsi="宋体" w:eastAsia="宋体" w:cs="宋体"/>
              <w:sz w:val="32"/>
              <w:szCs w:val="32"/>
            </w:rPr>
            <w:tab/>
          </w:r>
          <w:bookmarkStart w:id="45" w:name="_Toc40444174_WPSOffice_Level2Page"/>
          <w:r>
            <w:rPr>
              <w:rFonts w:hint="eastAsia" w:ascii="宋体" w:hAnsi="宋体" w:eastAsia="宋体" w:cs="宋体"/>
              <w:sz w:val="32"/>
              <w:szCs w:val="32"/>
            </w:rPr>
            <w:t>5</w:t>
          </w:r>
          <w:bookmarkEnd w:id="45"/>
          <w:r>
            <w:rPr>
              <w:rFonts w:hint="eastAsia" w:ascii="宋体" w:hAnsi="宋体" w:eastAsia="宋体" w:cs="宋体"/>
              <w:sz w:val="32"/>
              <w:szCs w:val="32"/>
              <w:lang w:val="en-US" w:eastAsia="zh-CN"/>
            </w:rPr>
            <w:t>6</w:t>
          </w:r>
          <w:r>
            <w:rPr>
              <w:rFonts w:hint="eastAsia" w:ascii="宋体" w:hAnsi="宋体" w:eastAsia="宋体" w:cs="宋体"/>
              <w:sz w:val="32"/>
              <w:szCs w:val="32"/>
            </w:rPr>
            <w:fldChar w:fldCharType="end"/>
          </w:r>
        </w:p>
        <w:p>
          <w:pPr>
            <w:pStyle w:val="43"/>
            <w:tabs>
              <w:tab w:val="right" w:leader="dot" w:pos="8300"/>
            </w:tabs>
            <w:rPr>
              <w:rFonts w:hint="eastAsia" w:ascii="宋体" w:hAnsi="宋体" w:eastAsia="宋体" w:cs="宋体"/>
              <w:sz w:val="32"/>
              <w:szCs w:val="32"/>
              <w:lang w:val="en-US" w:eastAsia="zh-CN"/>
            </w:rPr>
          </w:pPr>
          <w:r>
            <w:rPr>
              <w:rFonts w:hint="eastAsia" w:ascii="宋体" w:hAnsi="宋体" w:eastAsia="宋体" w:cs="宋体"/>
              <w:sz w:val="32"/>
              <w:szCs w:val="32"/>
            </w:rPr>
            <w:fldChar w:fldCharType="begin"/>
          </w:r>
          <w:r>
            <w:rPr>
              <w:rFonts w:hint="eastAsia" w:ascii="宋体" w:hAnsi="宋体" w:eastAsia="宋体" w:cs="宋体"/>
              <w:sz w:val="32"/>
              <w:szCs w:val="32"/>
            </w:rPr>
            <w:instrText xml:space="preserve"> HYPERLINK \l _Toc805913336_WPSOffice_Level2 </w:instrText>
          </w:r>
          <w:r>
            <w:rPr>
              <w:rFonts w:hint="eastAsia" w:ascii="宋体" w:hAnsi="宋体" w:eastAsia="宋体" w:cs="宋体"/>
              <w:sz w:val="32"/>
              <w:szCs w:val="32"/>
            </w:rPr>
            <w:fldChar w:fldCharType="separate"/>
          </w:r>
          <w:sdt>
            <w:sdtPr>
              <w:rPr>
                <w:rFonts w:hint="eastAsia" w:ascii="宋体" w:hAnsi="宋体" w:eastAsia="宋体" w:cs="宋体"/>
                <w:kern w:val="2"/>
                <w:sz w:val="32"/>
                <w:szCs w:val="32"/>
                <w:lang w:val="en-US" w:eastAsia="zh-CN" w:bidi="ar-SA"/>
              </w:rPr>
              <w:id w:val="357570069"/>
              <w:placeholder>
                <w:docPart w:val="{47ef0b58-a58a-4889-960b-ecffe239a5f4}"/>
              </w:placeholder>
            </w:sdtPr>
            <w:sdtEndPr>
              <w:rPr>
                <w:rFonts w:hint="eastAsia" w:ascii="宋体" w:hAnsi="宋体" w:eastAsia="宋体" w:cs="宋体"/>
                <w:kern w:val="2"/>
                <w:sz w:val="32"/>
                <w:szCs w:val="32"/>
                <w:lang w:val="en-US" w:eastAsia="zh-CN" w:bidi="ar-SA"/>
              </w:rPr>
            </w:sdtEndPr>
            <w:sdtContent>
              <w:r>
                <w:rPr>
                  <w:rFonts w:hint="eastAsia" w:ascii="宋体" w:hAnsi="宋体" w:eastAsia="宋体" w:cs="宋体"/>
                  <w:sz w:val="32"/>
                  <w:szCs w:val="32"/>
                </w:rPr>
                <w:t>第三节 深化农村牧区土地制度改革</w:t>
              </w:r>
            </w:sdtContent>
          </w:sdt>
          <w:r>
            <w:rPr>
              <w:rFonts w:hint="eastAsia" w:ascii="宋体" w:hAnsi="宋体" w:eastAsia="宋体" w:cs="宋体"/>
              <w:sz w:val="32"/>
              <w:szCs w:val="32"/>
            </w:rPr>
            <w:tab/>
          </w:r>
          <w:r>
            <w:rPr>
              <w:rFonts w:hint="eastAsia" w:ascii="宋体" w:hAnsi="宋体" w:eastAsia="宋体" w:cs="宋体"/>
              <w:sz w:val="32"/>
              <w:szCs w:val="32"/>
              <w:lang w:val="en-US" w:eastAsia="zh-CN"/>
            </w:rPr>
            <w:t>5</w:t>
          </w:r>
          <w:r>
            <w:rPr>
              <w:rFonts w:hint="eastAsia" w:ascii="宋体" w:hAnsi="宋体" w:eastAsia="宋体" w:cs="宋体"/>
              <w:sz w:val="32"/>
              <w:szCs w:val="32"/>
            </w:rPr>
            <w:fldChar w:fldCharType="end"/>
          </w:r>
          <w:r>
            <w:rPr>
              <w:rFonts w:hint="eastAsia" w:ascii="宋体" w:hAnsi="宋体" w:eastAsia="宋体" w:cs="宋体"/>
              <w:sz w:val="32"/>
              <w:szCs w:val="32"/>
              <w:lang w:val="en-US" w:eastAsia="zh-CN"/>
            </w:rPr>
            <w:t>8</w:t>
          </w:r>
        </w:p>
        <w:p>
          <w:pPr>
            <w:pStyle w:val="43"/>
            <w:tabs>
              <w:tab w:val="right" w:leader="dot" w:pos="8300"/>
            </w:tabs>
            <w:rPr>
              <w:rFonts w:hint="eastAsia" w:ascii="宋体" w:hAnsi="宋体" w:eastAsia="宋体" w:cs="宋体"/>
              <w:sz w:val="32"/>
              <w:szCs w:val="32"/>
              <w:lang w:val="en-US" w:eastAsia="zh-CN"/>
            </w:rPr>
          </w:pPr>
          <w:r>
            <w:rPr>
              <w:rFonts w:hint="eastAsia" w:ascii="宋体" w:hAnsi="宋体" w:eastAsia="宋体" w:cs="宋体"/>
              <w:sz w:val="32"/>
              <w:szCs w:val="32"/>
            </w:rPr>
            <w:fldChar w:fldCharType="begin"/>
          </w:r>
          <w:r>
            <w:rPr>
              <w:rFonts w:hint="eastAsia" w:ascii="宋体" w:hAnsi="宋体" w:eastAsia="宋体" w:cs="宋体"/>
              <w:sz w:val="32"/>
              <w:szCs w:val="32"/>
            </w:rPr>
            <w:instrText xml:space="preserve"> HYPERLINK \l _Toc1580775498_WPSOffice_Level2 </w:instrText>
          </w:r>
          <w:r>
            <w:rPr>
              <w:rFonts w:hint="eastAsia" w:ascii="宋体" w:hAnsi="宋体" w:eastAsia="宋体" w:cs="宋体"/>
              <w:sz w:val="32"/>
              <w:szCs w:val="32"/>
            </w:rPr>
            <w:fldChar w:fldCharType="separate"/>
          </w:r>
          <w:sdt>
            <w:sdtPr>
              <w:rPr>
                <w:rFonts w:hint="eastAsia" w:ascii="宋体" w:hAnsi="宋体" w:eastAsia="宋体" w:cs="宋体"/>
                <w:kern w:val="2"/>
                <w:sz w:val="32"/>
                <w:szCs w:val="32"/>
                <w:lang w:val="en-US" w:eastAsia="zh-CN" w:bidi="ar-SA"/>
              </w:rPr>
              <w:id w:val="357570069"/>
              <w:placeholder>
                <w:docPart w:val="{c29c80f6-ccb7-4bd1-b858-47b8089d5584}"/>
              </w:placeholder>
            </w:sdtPr>
            <w:sdtEndPr>
              <w:rPr>
                <w:rFonts w:hint="eastAsia" w:ascii="宋体" w:hAnsi="宋体" w:eastAsia="宋体" w:cs="宋体"/>
                <w:kern w:val="2"/>
                <w:sz w:val="32"/>
                <w:szCs w:val="32"/>
                <w:lang w:val="en-US" w:eastAsia="zh-CN" w:bidi="ar-SA"/>
              </w:rPr>
            </w:sdtEndPr>
            <w:sdtContent>
              <w:r>
                <w:rPr>
                  <w:rFonts w:hint="eastAsia" w:ascii="宋体" w:hAnsi="宋体" w:eastAsia="宋体" w:cs="宋体"/>
                  <w:sz w:val="32"/>
                  <w:szCs w:val="32"/>
                </w:rPr>
                <w:t xml:space="preserve">第四节 </w:t>
              </w:r>
              <w:r>
                <w:rPr>
                  <w:rFonts w:hint="eastAsia" w:ascii="宋体" w:hAnsi="宋体" w:eastAsia="宋体" w:cs="宋体"/>
                  <w:sz w:val="32"/>
                  <w:szCs w:val="32"/>
                  <w:lang w:eastAsia="zh-CN"/>
                </w:rPr>
                <w:t>加强</w:t>
              </w:r>
              <w:r>
                <w:rPr>
                  <w:rFonts w:hint="eastAsia" w:ascii="宋体" w:hAnsi="宋体" w:eastAsia="宋体" w:cs="宋体"/>
                  <w:sz w:val="32"/>
                  <w:szCs w:val="32"/>
                </w:rPr>
                <w:t>农村牧区集体产权制度改革</w:t>
              </w:r>
            </w:sdtContent>
          </w:sdt>
          <w:r>
            <w:rPr>
              <w:rFonts w:hint="eastAsia" w:ascii="宋体" w:hAnsi="宋体" w:eastAsia="宋体" w:cs="宋体"/>
              <w:sz w:val="32"/>
              <w:szCs w:val="32"/>
            </w:rPr>
            <w:tab/>
          </w:r>
          <w:r>
            <w:rPr>
              <w:rFonts w:hint="eastAsia" w:ascii="宋体" w:hAnsi="宋体" w:eastAsia="宋体" w:cs="宋体"/>
              <w:sz w:val="32"/>
              <w:szCs w:val="32"/>
              <w:lang w:val="en-US" w:eastAsia="zh-CN"/>
            </w:rPr>
            <w:t>5</w:t>
          </w:r>
          <w:r>
            <w:rPr>
              <w:rFonts w:hint="eastAsia" w:ascii="宋体" w:hAnsi="宋体" w:eastAsia="宋体" w:cs="宋体"/>
              <w:sz w:val="32"/>
              <w:szCs w:val="32"/>
            </w:rPr>
            <w:fldChar w:fldCharType="end"/>
          </w:r>
          <w:r>
            <w:rPr>
              <w:rFonts w:hint="eastAsia" w:ascii="宋体" w:hAnsi="宋体" w:eastAsia="宋体" w:cs="宋体"/>
              <w:sz w:val="32"/>
              <w:szCs w:val="32"/>
              <w:lang w:val="en-US" w:eastAsia="zh-CN"/>
            </w:rPr>
            <w:t>9</w:t>
          </w:r>
        </w:p>
        <w:p>
          <w:pPr>
            <w:pStyle w:val="43"/>
            <w:tabs>
              <w:tab w:val="right" w:leader="dot" w:pos="8300"/>
            </w:tabs>
            <w:rPr>
              <w:rFonts w:hint="eastAsia" w:ascii="宋体" w:hAnsi="宋体" w:eastAsia="宋体" w:cs="宋体"/>
              <w:sz w:val="32"/>
              <w:szCs w:val="32"/>
            </w:rPr>
            <w:sectPr>
              <w:footerReference r:id="rId5" w:type="default"/>
              <w:pgSz w:w="11900" w:h="16840"/>
              <w:pgMar w:top="1440" w:right="1800" w:bottom="1440" w:left="1800" w:header="851" w:footer="992" w:gutter="0"/>
              <w:pgBorders>
                <w:top w:val="none" w:sz="0" w:space="0"/>
                <w:left w:val="none" w:sz="0" w:space="0"/>
                <w:bottom w:val="none" w:sz="0" w:space="0"/>
                <w:right w:val="none" w:sz="0" w:space="0"/>
              </w:pgBorders>
              <w:pgNumType w:fmt="numberInDash" w:start="1"/>
              <w:cols w:space="425" w:num="1"/>
              <w:docGrid w:type="lines" w:linePitch="312" w:charSpace="0"/>
            </w:sectPr>
          </w:pPr>
        </w:p>
        <w:p>
          <w:pPr>
            <w:pStyle w:val="43"/>
            <w:tabs>
              <w:tab w:val="right" w:leader="dot" w:pos="8300"/>
            </w:tabs>
            <w:rPr>
              <w:rFonts w:hint="eastAsia" w:ascii="宋体" w:hAnsi="宋体" w:eastAsia="宋体" w:cs="宋体"/>
              <w:sz w:val="32"/>
              <w:szCs w:val="32"/>
            </w:rPr>
          </w:pPr>
          <w:r>
            <w:rPr>
              <w:rFonts w:hint="eastAsia" w:ascii="宋体" w:hAnsi="宋体" w:eastAsia="宋体" w:cs="宋体"/>
              <w:sz w:val="32"/>
              <w:szCs w:val="32"/>
            </w:rPr>
            <w:fldChar w:fldCharType="begin"/>
          </w:r>
          <w:r>
            <w:rPr>
              <w:rFonts w:hint="eastAsia" w:ascii="宋体" w:hAnsi="宋体" w:eastAsia="宋体" w:cs="宋体"/>
              <w:sz w:val="32"/>
              <w:szCs w:val="32"/>
            </w:rPr>
            <w:instrText xml:space="preserve"> HYPERLINK \l _Toc115491055_WPSOffice_Level2 </w:instrText>
          </w:r>
          <w:r>
            <w:rPr>
              <w:rFonts w:hint="eastAsia" w:ascii="宋体" w:hAnsi="宋体" w:eastAsia="宋体" w:cs="宋体"/>
              <w:sz w:val="32"/>
              <w:szCs w:val="32"/>
            </w:rPr>
            <w:fldChar w:fldCharType="separate"/>
          </w:r>
          <w:sdt>
            <w:sdtPr>
              <w:rPr>
                <w:rFonts w:hint="eastAsia" w:ascii="宋体" w:hAnsi="宋体" w:eastAsia="宋体" w:cs="宋体"/>
                <w:kern w:val="2"/>
                <w:sz w:val="32"/>
                <w:szCs w:val="32"/>
                <w:lang w:val="en-US" w:eastAsia="zh-CN" w:bidi="ar-SA"/>
              </w:rPr>
              <w:id w:val="357570069"/>
              <w:placeholder>
                <w:docPart w:val="{640ad3a8-fc2e-4076-a6e1-0db1682aed16}"/>
              </w:placeholder>
            </w:sdtPr>
            <w:sdtEndPr>
              <w:rPr>
                <w:rFonts w:hint="eastAsia" w:ascii="宋体" w:hAnsi="宋体" w:eastAsia="宋体" w:cs="宋体"/>
                <w:kern w:val="2"/>
                <w:sz w:val="32"/>
                <w:szCs w:val="32"/>
                <w:lang w:val="en-US" w:eastAsia="zh-CN" w:bidi="ar-SA"/>
              </w:rPr>
            </w:sdtEndPr>
            <w:sdtContent>
              <w:r>
                <w:rPr>
                  <w:rFonts w:hint="eastAsia" w:ascii="宋体" w:hAnsi="宋体" w:eastAsia="宋体" w:cs="宋体"/>
                  <w:sz w:val="32"/>
                  <w:szCs w:val="32"/>
                </w:rPr>
                <w:t xml:space="preserve">第五节 </w:t>
              </w:r>
              <w:r>
                <w:rPr>
                  <w:rFonts w:hint="eastAsia" w:ascii="宋体" w:hAnsi="宋体" w:eastAsia="宋体" w:cs="宋体"/>
                  <w:sz w:val="32"/>
                  <w:szCs w:val="32"/>
                  <w:lang w:eastAsia="zh-CN"/>
                </w:rPr>
                <w:t>强化</w:t>
              </w:r>
              <w:r>
                <w:rPr>
                  <w:rFonts w:hint="eastAsia" w:ascii="宋体" w:hAnsi="宋体" w:eastAsia="宋体" w:cs="宋体"/>
                  <w:sz w:val="32"/>
                  <w:szCs w:val="32"/>
                </w:rPr>
                <w:t>农垦改革</w:t>
              </w:r>
            </w:sdtContent>
          </w:sdt>
          <w:r>
            <w:rPr>
              <w:rFonts w:hint="eastAsia" w:ascii="宋体" w:hAnsi="宋体" w:eastAsia="宋体" w:cs="宋体"/>
              <w:sz w:val="32"/>
              <w:szCs w:val="32"/>
            </w:rPr>
            <w:tab/>
          </w:r>
          <w:bookmarkStart w:id="46" w:name="_Toc115491055_WPSOffice_Level2Page"/>
          <w:r>
            <w:rPr>
              <w:rFonts w:hint="eastAsia" w:ascii="宋体" w:hAnsi="宋体" w:eastAsia="宋体" w:cs="宋体"/>
              <w:sz w:val="32"/>
              <w:szCs w:val="32"/>
            </w:rPr>
            <w:t>6</w:t>
          </w:r>
          <w:bookmarkEnd w:id="46"/>
          <w:r>
            <w:rPr>
              <w:rFonts w:hint="eastAsia" w:ascii="宋体" w:hAnsi="宋体" w:eastAsia="宋体" w:cs="宋体"/>
              <w:sz w:val="32"/>
              <w:szCs w:val="32"/>
              <w:lang w:val="en-US" w:eastAsia="zh-CN"/>
            </w:rPr>
            <w:t>0</w:t>
          </w:r>
          <w:r>
            <w:rPr>
              <w:rFonts w:hint="eastAsia" w:ascii="宋体" w:hAnsi="宋体" w:eastAsia="宋体" w:cs="宋体"/>
              <w:sz w:val="32"/>
              <w:szCs w:val="32"/>
            </w:rPr>
            <w:fldChar w:fldCharType="end"/>
          </w:r>
        </w:p>
        <w:p>
          <w:pPr>
            <w:pStyle w:val="43"/>
            <w:tabs>
              <w:tab w:val="right" w:leader="dot" w:pos="8300"/>
            </w:tabs>
            <w:rPr>
              <w:rFonts w:hint="eastAsia" w:ascii="宋体" w:hAnsi="宋体" w:eastAsia="宋体" w:cs="宋体"/>
              <w:sz w:val="32"/>
              <w:szCs w:val="32"/>
            </w:rPr>
          </w:pPr>
          <w:r>
            <w:rPr>
              <w:rFonts w:hint="eastAsia" w:ascii="宋体" w:hAnsi="宋体" w:eastAsia="宋体" w:cs="宋体"/>
              <w:sz w:val="32"/>
              <w:szCs w:val="32"/>
            </w:rPr>
            <w:fldChar w:fldCharType="begin"/>
          </w:r>
          <w:r>
            <w:rPr>
              <w:rFonts w:hint="eastAsia" w:ascii="宋体" w:hAnsi="宋体" w:eastAsia="宋体" w:cs="宋体"/>
              <w:sz w:val="32"/>
              <w:szCs w:val="32"/>
            </w:rPr>
            <w:instrText xml:space="preserve"> HYPERLINK \l _Toc1319728686_WPSOffice_Level2 </w:instrText>
          </w:r>
          <w:r>
            <w:rPr>
              <w:rFonts w:hint="eastAsia" w:ascii="宋体" w:hAnsi="宋体" w:eastAsia="宋体" w:cs="宋体"/>
              <w:sz w:val="32"/>
              <w:szCs w:val="32"/>
            </w:rPr>
            <w:fldChar w:fldCharType="separate"/>
          </w:r>
          <w:sdt>
            <w:sdtPr>
              <w:rPr>
                <w:rFonts w:hint="eastAsia" w:ascii="宋体" w:hAnsi="宋体" w:eastAsia="宋体" w:cs="宋体"/>
                <w:kern w:val="2"/>
                <w:sz w:val="32"/>
                <w:szCs w:val="32"/>
                <w:lang w:val="en-US" w:eastAsia="zh-CN" w:bidi="ar-SA"/>
              </w:rPr>
              <w:id w:val="357570069"/>
              <w:placeholder>
                <w:docPart w:val="{6012f774-2289-4347-9a45-99c5ea125c7a}"/>
              </w:placeholder>
            </w:sdtPr>
            <w:sdtEndPr>
              <w:rPr>
                <w:rFonts w:hint="eastAsia" w:ascii="宋体" w:hAnsi="宋体" w:eastAsia="宋体" w:cs="宋体"/>
                <w:kern w:val="2"/>
                <w:sz w:val="32"/>
                <w:szCs w:val="32"/>
                <w:lang w:val="en-US" w:eastAsia="zh-CN" w:bidi="ar-SA"/>
              </w:rPr>
            </w:sdtEndPr>
            <w:sdtContent>
              <w:r>
                <w:rPr>
                  <w:rFonts w:hint="eastAsia" w:ascii="宋体" w:hAnsi="宋体" w:eastAsia="宋体" w:cs="宋体"/>
                  <w:sz w:val="32"/>
                  <w:szCs w:val="32"/>
                </w:rPr>
                <w:t>第六节 扩大农牧业对外开放</w:t>
              </w:r>
            </w:sdtContent>
          </w:sdt>
          <w:r>
            <w:rPr>
              <w:rFonts w:hint="eastAsia" w:ascii="宋体" w:hAnsi="宋体" w:eastAsia="宋体" w:cs="宋体"/>
              <w:sz w:val="32"/>
              <w:szCs w:val="32"/>
            </w:rPr>
            <w:tab/>
          </w:r>
          <w:bookmarkStart w:id="47" w:name="_Toc1319728686_WPSOffice_Level2Page"/>
          <w:r>
            <w:rPr>
              <w:rFonts w:hint="eastAsia" w:ascii="宋体" w:hAnsi="宋体" w:eastAsia="宋体" w:cs="宋体"/>
              <w:sz w:val="32"/>
              <w:szCs w:val="32"/>
            </w:rPr>
            <w:t>6</w:t>
          </w:r>
          <w:bookmarkEnd w:id="47"/>
          <w:r>
            <w:rPr>
              <w:rFonts w:hint="eastAsia" w:ascii="宋体" w:hAnsi="宋体" w:eastAsia="宋体" w:cs="宋体"/>
              <w:sz w:val="32"/>
              <w:szCs w:val="32"/>
              <w:lang w:val="en-US" w:eastAsia="zh-CN"/>
            </w:rPr>
            <w:t>1</w:t>
          </w:r>
          <w:r>
            <w:rPr>
              <w:rFonts w:hint="eastAsia" w:ascii="宋体" w:hAnsi="宋体" w:eastAsia="宋体" w:cs="宋体"/>
              <w:sz w:val="32"/>
              <w:szCs w:val="32"/>
            </w:rPr>
            <w:fldChar w:fldCharType="end"/>
          </w:r>
        </w:p>
        <w:p>
          <w:pPr>
            <w:pStyle w:val="47"/>
            <w:tabs>
              <w:tab w:val="right" w:leader="dot" w:pos="8300"/>
            </w:tabs>
            <w:rPr>
              <w:rFonts w:hint="eastAsia" w:ascii="宋体" w:hAnsi="宋体" w:eastAsia="宋体" w:cs="宋体"/>
              <w:sz w:val="32"/>
              <w:szCs w:val="32"/>
            </w:rPr>
          </w:pPr>
          <w:r>
            <w:rPr>
              <w:rFonts w:hint="eastAsia" w:ascii="宋体" w:hAnsi="宋体" w:eastAsia="宋体" w:cs="宋体"/>
              <w:b/>
              <w:bCs/>
              <w:sz w:val="32"/>
              <w:szCs w:val="32"/>
            </w:rPr>
            <w:fldChar w:fldCharType="begin"/>
          </w:r>
          <w:r>
            <w:rPr>
              <w:rFonts w:hint="eastAsia" w:ascii="宋体" w:hAnsi="宋体" w:eastAsia="宋体" w:cs="宋体"/>
              <w:sz w:val="32"/>
              <w:szCs w:val="32"/>
            </w:rPr>
            <w:instrText xml:space="preserve"> HYPERLINK \l _Toc260404896_WPSOffice_Level1 </w:instrText>
          </w:r>
          <w:r>
            <w:rPr>
              <w:rFonts w:hint="eastAsia" w:ascii="宋体" w:hAnsi="宋体" w:eastAsia="宋体" w:cs="宋体"/>
              <w:b/>
              <w:bCs/>
              <w:sz w:val="32"/>
              <w:szCs w:val="32"/>
            </w:rPr>
            <w:fldChar w:fldCharType="separate"/>
          </w:r>
          <w:sdt>
            <w:sdtPr>
              <w:rPr>
                <w:rFonts w:hint="eastAsia" w:ascii="宋体" w:hAnsi="宋体" w:eastAsia="宋体" w:cs="宋体"/>
                <w:b/>
                <w:bCs/>
                <w:kern w:val="2"/>
                <w:sz w:val="32"/>
                <w:szCs w:val="32"/>
                <w:lang w:val="en-US" w:eastAsia="zh-CN" w:bidi="ar-SA"/>
              </w:rPr>
              <w:id w:val="357570069"/>
              <w:placeholder>
                <w:docPart w:val="{9bdf2415-c501-4537-a9fb-433782b61222}"/>
              </w:placeholder>
            </w:sdtPr>
            <w:sdtEndPr>
              <w:rPr>
                <w:rFonts w:hint="eastAsia" w:ascii="宋体" w:hAnsi="宋体" w:eastAsia="宋体" w:cs="宋体"/>
                <w:b/>
                <w:bCs/>
                <w:kern w:val="2"/>
                <w:sz w:val="32"/>
                <w:szCs w:val="32"/>
                <w:lang w:val="en-US" w:eastAsia="zh-CN" w:bidi="ar-SA"/>
              </w:rPr>
            </w:sdtEndPr>
            <w:sdtContent>
              <w:r>
                <w:rPr>
                  <w:rFonts w:hint="eastAsia" w:ascii="宋体" w:hAnsi="宋体" w:eastAsia="宋体" w:cs="宋体"/>
                  <w:b/>
                  <w:bCs/>
                  <w:sz w:val="32"/>
                  <w:szCs w:val="32"/>
                </w:rPr>
                <w:t>第八章 增进农牧民多维福祉</w:t>
              </w:r>
            </w:sdtContent>
          </w:sdt>
          <w:r>
            <w:rPr>
              <w:rFonts w:hint="eastAsia" w:ascii="宋体" w:hAnsi="宋体" w:eastAsia="宋体" w:cs="宋体"/>
              <w:b/>
              <w:bCs/>
              <w:sz w:val="32"/>
              <w:szCs w:val="32"/>
            </w:rPr>
            <w:tab/>
          </w:r>
          <w:bookmarkStart w:id="48" w:name="_Toc260404896_WPSOffice_Level1Page"/>
          <w:r>
            <w:rPr>
              <w:rFonts w:hint="eastAsia" w:ascii="宋体" w:hAnsi="宋体" w:eastAsia="宋体" w:cs="宋体"/>
              <w:b/>
              <w:bCs/>
              <w:sz w:val="32"/>
              <w:szCs w:val="32"/>
            </w:rPr>
            <w:t>6</w:t>
          </w:r>
          <w:bookmarkEnd w:id="48"/>
          <w:r>
            <w:rPr>
              <w:rFonts w:hint="eastAsia" w:ascii="宋体" w:hAnsi="宋体" w:cs="宋体"/>
              <w:b/>
              <w:bCs/>
              <w:sz w:val="32"/>
              <w:szCs w:val="32"/>
              <w:lang w:val="en-US" w:eastAsia="zh-CN"/>
            </w:rPr>
            <w:t>2</w:t>
          </w:r>
          <w:r>
            <w:rPr>
              <w:rFonts w:hint="eastAsia" w:ascii="宋体" w:hAnsi="宋体" w:eastAsia="宋体" w:cs="宋体"/>
              <w:b/>
              <w:bCs/>
              <w:sz w:val="32"/>
              <w:szCs w:val="32"/>
            </w:rPr>
            <w:fldChar w:fldCharType="end"/>
          </w:r>
        </w:p>
        <w:p>
          <w:pPr>
            <w:pStyle w:val="43"/>
            <w:tabs>
              <w:tab w:val="right" w:leader="dot" w:pos="8300"/>
            </w:tabs>
            <w:rPr>
              <w:rFonts w:hint="eastAsia" w:ascii="宋体" w:hAnsi="宋体" w:eastAsia="宋体" w:cs="宋体"/>
              <w:sz w:val="32"/>
              <w:szCs w:val="32"/>
            </w:rPr>
          </w:pPr>
          <w:r>
            <w:rPr>
              <w:rFonts w:hint="eastAsia" w:ascii="宋体" w:hAnsi="宋体" w:eastAsia="宋体" w:cs="宋体"/>
              <w:sz w:val="32"/>
              <w:szCs w:val="32"/>
            </w:rPr>
            <w:fldChar w:fldCharType="begin"/>
          </w:r>
          <w:r>
            <w:rPr>
              <w:rFonts w:hint="eastAsia" w:ascii="宋体" w:hAnsi="宋体" w:eastAsia="宋体" w:cs="宋体"/>
              <w:sz w:val="32"/>
              <w:szCs w:val="32"/>
            </w:rPr>
            <w:instrText xml:space="preserve"> HYPERLINK \l _Toc88062995_WPSOffice_Level2 </w:instrText>
          </w:r>
          <w:r>
            <w:rPr>
              <w:rFonts w:hint="eastAsia" w:ascii="宋体" w:hAnsi="宋体" w:eastAsia="宋体" w:cs="宋体"/>
              <w:sz w:val="32"/>
              <w:szCs w:val="32"/>
            </w:rPr>
            <w:fldChar w:fldCharType="separate"/>
          </w:r>
          <w:sdt>
            <w:sdtPr>
              <w:rPr>
                <w:rFonts w:hint="eastAsia" w:ascii="宋体" w:hAnsi="宋体" w:eastAsia="宋体" w:cs="宋体"/>
                <w:kern w:val="2"/>
                <w:sz w:val="32"/>
                <w:szCs w:val="32"/>
                <w:lang w:val="en-US" w:eastAsia="zh-CN" w:bidi="ar-SA"/>
              </w:rPr>
              <w:id w:val="357570069"/>
              <w:placeholder>
                <w:docPart w:val="{367b8909-2dd8-4252-aa16-08f08f7c3214}"/>
              </w:placeholder>
            </w:sdtPr>
            <w:sdtEndPr>
              <w:rPr>
                <w:rFonts w:hint="eastAsia" w:ascii="宋体" w:hAnsi="宋体" w:eastAsia="宋体" w:cs="宋体"/>
                <w:kern w:val="2"/>
                <w:sz w:val="32"/>
                <w:szCs w:val="32"/>
                <w:lang w:val="en-US" w:eastAsia="zh-CN" w:bidi="ar-SA"/>
              </w:rPr>
            </w:sdtEndPr>
            <w:sdtContent>
              <w:r>
                <w:rPr>
                  <w:rFonts w:hint="eastAsia" w:ascii="宋体" w:hAnsi="宋体" w:eastAsia="宋体" w:cs="宋体"/>
                  <w:sz w:val="32"/>
                  <w:szCs w:val="32"/>
                </w:rPr>
                <w:t xml:space="preserve">第一节 </w:t>
              </w:r>
              <w:r>
                <w:rPr>
                  <w:rFonts w:hint="eastAsia" w:ascii="宋体" w:hAnsi="宋体" w:eastAsia="宋体" w:cs="宋体"/>
                  <w:spacing w:val="-20"/>
                  <w:sz w:val="32"/>
                  <w:szCs w:val="32"/>
                  <w:lang w:eastAsia="zh-CN"/>
                </w:rPr>
                <w:t>实现</w:t>
              </w:r>
              <w:r>
                <w:rPr>
                  <w:rFonts w:hint="eastAsia" w:ascii="宋体" w:hAnsi="宋体" w:eastAsia="宋体" w:cs="宋体"/>
                  <w:spacing w:val="-20"/>
                  <w:sz w:val="32"/>
                  <w:szCs w:val="32"/>
                </w:rPr>
                <w:t>巩固拓展脱贫攻坚成果同乡村振兴有效衔接</w:t>
              </w:r>
            </w:sdtContent>
          </w:sdt>
          <w:r>
            <w:rPr>
              <w:rFonts w:hint="eastAsia" w:ascii="宋体" w:hAnsi="宋体" w:eastAsia="宋体" w:cs="宋体"/>
              <w:sz w:val="32"/>
              <w:szCs w:val="32"/>
            </w:rPr>
            <w:tab/>
          </w:r>
          <w:bookmarkStart w:id="49" w:name="_Toc88062995_WPSOffice_Level2Page"/>
          <w:r>
            <w:rPr>
              <w:rFonts w:hint="eastAsia" w:ascii="宋体" w:hAnsi="宋体" w:eastAsia="宋体" w:cs="宋体"/>
              <w:sz w:val="32"/>
              <w:szCs w:val="32"/>
            </w:rPr>
            <w:t>6</w:t>
          </w:r>
          <w:bookmarkEnd w:id="49"/>
          <w:r>
            <w:rPr>
              <w:rFonts w:hint="eastAsia" w:ascii="宋体" w:hAnsi="宋体" w:eastAsia="宋体" w:cs="宋体"/>
              <w:sz w:val="32"/>
              <w:szCs w:val="32"/>
              <w:lang w:val="en-US" w:eastAsia="zh-CN"/>
            </w:rPr>
            <w:t>2</w:t>
          </w:r>
          <w:r>
            <w:rPr>
              <w:rFonts w:hint="eastAsia" w:ascii="宋体" w:hAnsi="宋体" w:eastAsia="宋体" w:cs="宋体"/>
              <w:sz w:val="32"/>
              <w:szCs w:val="32"/>
            </w:rPr>
            <w:fldChar w:fldCharType="end"/>
          </w:r>
        </w:p>
        <w:p>
          <w:pPr>
            <w:pStyle w:val="43"/>
            <w:tabs>
              <w:tab w:val="right" w:leader="dot" w:pos="8300"/>
            </w:tabs>
            <w:rPr>
              <w:rFonts w:hint="eastAsia" w:ascii="宋体" w:hAnsi="宋体" w:eastAsia="宋体" w:cs="宋体"/>
              <w:sz w:val="32"/>
              <w:szCs w:val="32"/>
            </w:rPr>
          </w:pPr>
          <w:r>
            <w:rPr>
              <w:rFonts w:hint="eastAsia" w:ascii="宋体" w:hAnsi="宋体" w:eastAsia="宋体" w:cs="宋体"/>
              <w:sz w:val="32"/>
              <w:szCs w:val="32"/>
            </w:rPr>
            <w:fldChar w:fldCharType="begin"/>
          </w:r>
          <w:r>
            <w:rPr>
              <w:rFonts w:hint="eastAsia" w:ascii="宋体" w:hAnsi="宋体" w:eastAsia="宋体" w:cs="宋体"/>
              <w:sz w:val="32"/>
              <w:szCs w:val="32"/>
            </w:rPr>
            <w:instrText xml:space="preserve"> HYPERLINK \l _Toc809722495_WPSOffice_Level2 </w:instrText>
          </w:r>
          <w:r>
            <w:rPr>
              <w:rFonts w:hint="eastAsia" w:ascii="宋体" w:hAnsi="宋体" w:eastAsia="宋体" w:cs="宋体"/>
              <w:sz w:val="32"/>
              <w:szCs w:val="32"/>
            </w:rPr>
            <w:fldChar w:fldCharType="separate"/>
          </w:r>
          <w:sdt>
            <w:sdtPr>
              <w:rPr>
                <w:rFonts w:hint="eastAsia" w:ascii="宋体" w:hAnsi="宋体" w:eastAsia="宋体" w:cs="宋体"/>
                <w:kern w:val="2"/>
                <w:sz w:val="32"/>
                <w:szCs w:val="32"/>
                <w:lang w:val="en-US" w:eastAsia="zh-CN" w:bidi="ar-SA"/>
              </w:rPr>
              <w:id w:val="357570069"/>
              <w:placeholder>
                <w:docPart w:val="{b950c1b7-8300-4e3c-84bc-f9bd29065800}"/>
              </w:placeholder>
            </w:sdtPr>
            <w:sdtEndPr>
              <w:rPr>
                <w:rFonts w:hint="eastAsia" w:ascii="宋体" w:hAnsi="宋体" w:eastAsia="宋体" w:cs="宋体"/>
                <w:kern w:val="2"/>
                <w:sz w:val="32"/>
                <w:szCs w:val="32"/>
                <w:lang w:val="en-US" w:eastAsia="zh-CN" w:bidi="ar-SA"/>
              </w:rPr>
            </w:sdtEndPr>
            <w:sdtContent>
              <w:r>
                <w:rPr>
                  <w:rFonts w:hint="eastAsia" w:ascii="宋体" w:hAnsi="宋体" w:eastAsia="宋体" w:cs="宋体"/>
                  <w:sz w:val="32"/>
                  <w:szCs w:val="32"/>
                </w:rPr>
                <w:t>第二节 多渠道增加农牧民收入</w:t>
              </w:r>
            </w:sdtContent>
          </w:sdt>
          <w:r>
            <w:rPr>
              <w:rFonts w:hint="eastAsia" w:ascii="宋体" w:hAnsi="宋体" w:eastAsia="宋体" w:cs="宋体"/>
              <w:sz w:val="32"/>
              <w:szCs w:val="32"/>
            </w:rPr>
            <w:tab/>
          </w:r>
          <w:bookmarkStart w:id="50" w:name="_Toc809722495_WPSOffice_Level2Page"/>
          <w:r>
            <w:rPr>
              <w:rFonts w:hint="eastAsia" w:ascii="宋体" w:hAnsi="宋体" w:eastAsia="宋体" w:cs="宋体"/>
              <w:sz w:val="32"/>
              <w:szCs w:val="32"/>
            </w:rPr>
            <w:t>6</w:t>
          </w:r>
          <w:bookmarkEnd w:id="50"/>
          <w:r>
            <w:rPr>
              <w:rFonts w:hint="eastAsia" w:ascii="宋体" w:hAnsi="宋体" w:eastAsia="宋体" w:cs="宋体"/>
              <w:sz w:val="32"/>
              <w:szCs w:val="32"/>
              <w:lang w:val="en-US" w:eastAsia="zh-CN"/>
            </w:rPr>
            <w:t>6</w:t>
          </w:r>
          <w:r>
            <w:rPr>
              <w:rFonts w:hint="eastAsia" w:ascii="宋体" w:hAnsi="宋体" w:eastAsia="宋体" w:cs="宋体"/>
              <w:sz w:val="32"/>
              <w:szCs w:val="32"/>
            </w:rPr>
            <w:fldChar w:fldCharType="end"/>
          </w:r>
        </w:p>
        <w:p>
          <w:pPr>
            <w:pStyle w:val="43"/>
            <w:tabs>
              <w:tab w:val="right" w:leader="dot" w:pos="8300"/>
            </w:tabs>
            <w:rPr>
              <w:rFonts w:hint="default" w:ascii="宋体" w:hAnsi="宋体" w:eastAsia="宋体" w:cs="宋体"/>
              <w:sz w:val="32"/>
              <w:szCs w:val="32"/>
              <w:lang w:val="en-US" w:eastAsia="zh-CN"/>
            </w:rPr>
          </w:pPr>
          <w:r>
            <w:rPr>
              <w:rFonts w:hint="eastAsia" w:ascii="宋体" w:hAnsi="宋体" w:eastAsia="宋体" w:cs="宋体"/>
              <w:sz w:val="32"/>
              <w:szCs w:val="32"/>
            </w:rPr>
            <w:fldChar w:fldCharType="begin"/>
          </w:r>
          <w:r>
            <w:rPr>
              <w:rFonts w:hint="eastAsia" w:ascii="宋体" w:hAnsi="宋体" w:eastAsia="宋体" w:cs="宋体"/>
              <w:sz w:val="32"/>
              <w:szCs w:val="32"/>
            </w:rPr>
            <w:instrText xml:space="preserve"> HYPERLINK \l _Toc1580133582_WPSOffice_Level2 </w:instrText>
          </w:r>
          <w:r>
            <w:rPr>
              <w:rFonts w:hint="eastAsia" w:ascii="宋体" w:hAnsi="宋体" w:eastAsia="宋体" w:cs="宋体"/>
              <w:sz w:val="32"/>
              <w:szCs w:val="32"/>
            </w:rPr>
            <w:fldChar w:fldCharType="separate"/>
          </w:r>
          <w:sdt>
            <w:sdtPr>
              <w:rPr>
                <w:rFonts w:hint="eastAsia" w:ascii="宋体" w:hAnsi="宋体" w:eastAsia="宋体" w:cs="宋体"/>
                <w:kern w:val="2"/>
                <w:sz w:val="32"/>
                <w:szCs w:val="32"/>
                <w:lang w:val="en-US" w:eastAsia="zh-CN" w:bidi="ar-SA"/>
              </w:rPr>
              <w:id w:val="357570069"/>
              <w:placeholder>
                <w:docPart w:val="{136b7446-0c64-4e44-afcb-064912629682}"/>
              </w:placeholder>
            </w:sdtPr>
            <w:sdtEndPr>
              <w:rPr>
                <w:rFonts w:hint="eastAsia" w:ascii="宋体" w:hAnsi="宋体" w:eastAsia="宋体" w:cs="宋体"/>
                <w:kern w:val="2"/>
                <w:sz w:val="32"/>
                <w:szCs w:val="32"/>
                <w:lang w:val="en-US" w:eastAsia="zh-CN" w:bidi="ar-SA"/>
              </w:rPr>
            </w:sdtEndPr>
            <w:sdtContent>
              <w:r>
                <w:rPr>
                  <w:rFonts w:hint="eastAsia" w:ascii="宋体" w:hAnsi="宋体" w:eastAsia="宋体" w:cs="宋体"/>
                  <w:sz w:val="32"/>
                  <w:szCs w:val="32"/>
                </w:rPr>
                <w:t xml:space="preserve">第三节 </w:t>
              </w:r>
              <w:r>
                <w:rPr>
                  <w:rFonts w:hint="eastAsia" w:ascii="宋体" w:hAnsi="宋体" w:eastAsia="宋体" w:cs="宋体"/>
                  <w:sz w:val="32"/>
                  <w:szCs w:val="32"/>
                  <w:lang w:eastAsia="zh-CN"/>
                </w:rPr>
                <w:t>加强</w:t>
              </w:r>
              <w:r>
                <w:rPr>
                  <w:rFonts w:hint="eastAsia" w:ascii="宋体" w:hAnsi="宋体" w:eastAsia="宋体" w:cs="宋体"/>
                  <w:sz w:val="32"/>
                  <w:szCs w:val="32"/>
                </w:rPr>
                <w:t>农村牧区文化建设</w:t>
              </w:r>
            </w:sdtContent>
          </w:sdt>
          <w:r>
            <w:rPr>
              <w:rFonts w:hint="eastAsia" w:ascii="宋体" w:hAnsi="宋体" w:eastAsia="宋体" w:cs="宋体"/>
              <w:sz w:val="32"/>
              <w:szCs w:val="32"/>
            </w:rPr>
            <w:tab/>
          </w:r>
          <w:r>
            <w:rPr>
              <w:rFonts w:hint="eastAsia" w:ascii="宋体" w:hAnsi="宋体" w:eastAsia="宋体" w:cs="宋体"/>
              <w:sz w:val="32"/>
              <w:szCs w:val="32"/>
            </w:rPr>
            <w:fldChar w:fldCharType="end"/>
          </w:r>
          <w:r>
            <w:rPr>
              <w:rFonts w:hint="eastAsia" w:ascii="宋体" w:hAnsi="宋体" w:eastAsia="宋体" w:cs="宋体"/>
              <w:sz w:val="32"/>
              <w:szCs w:val="32"/>
              <w:lang w:val="en-US" w:eastAsia="zh-CN"/>
            </w:rPr>
            <w:t>68</w:t>
          </w:r>
        </w:p>
        <w:p>
          <w:pPr>
            <w:pStyle w:val="43"/>
            <w:tabs>
              <w:tab w:val="right" w:leader="dot" w:pos="8300"/>
            </w:tabs>
            <w:rPr>
              <w:rFonts w:hint="eastAsia" w:ascii="宋体" w:hAnsi="宋体" w:eastAsia="宋体" w:cs="宋体"/>
              <w:sz w:val="32"/>
              <w:szCs w:val="32"/>
            </w:rPr>
          </w:pPr>
          <w:r>
            <w:rPr>
              <w:rFonts w:hint="eastAsia" w:ascii="宋体" w:hAnsi="宋体" w:eastAsia="宋体" w:cs="宋体"/>
              <w:sz w:val="32"/>
              <w:szCs w:val="32"/>
            </w:rPr>
            <w:fldChar w:fldCharType="begin"/>
          </w:r>
          <w:r>
            <w:rPr>
              <w:rFonts w:hint="eastAsia" w:ascii="宋体" w:hAnsi="宋体" w:eastAsia="宋体" w:cs="宋体"/>
              <w:sz w:val="32"/>
              <w:szCs w:val="32"/>
            </w:rPr>
            <w:instrText xml:space="preserve"> HYPERLINK \l _Toc840741532_WPSOffice_Level2 </w:instrText>
          </w:r>
          <w:r>
            <w:rPr>
              <w:rFonts w:hint="eastAsia" w:ascii="宋体" w:hAnsi="宋体" w:eastAsia="宋体" w:cs="宋体"/>
              <w:sz w:val="32"/>
              <w:szCs w:val="32"/>
            </w:rPr>
            <w:fldChar w:fldCharType="separate"/>
          </w:r>
          <w:sdt>
            <w:sdtPr>
              <w:rPr>
                <w:rFonts w:hint="eastAsia" w:ascii="宋体" w:hAnsi="宋体" w:eastAsia="宋体" w:cs="宋体"/>
                <w:kern w:val="2"/>
                <w:sz w:val="32"/>
                <w:szCs w:val="32"/>
                <w:lang w:val="en-US" w:eastAsia="zh-CN" w:bidi="ar-SA"/>
              </w:rPr>
              <w:id w:val="357570069"/>
              <w:placeholder>
                <w:docPart w:val="{6372dc6a-2622-4b8d-8a46-c840aee2cb01}"/>
              </w:placeholder>
            </w:sdtPr>
            <w:sdtEndPr>
              <w:rPr>
                <w:rFonts w:hint="eastAsia" w:ascii="宋体" w:hAnsi="宋体" w:eastAsia="宋体" w:cs="宋体"/>
                <w:kern w:val="2"/>
                <w:sz w:val="32"/>
                <w:szCs w:val="32"/>
                <w:lang w:val="en-US" w:eastAsia="zh-CN" w:bidi="ar-SA"/>
              </w:rPr>
            </w:sdtEndPr>
            <w:sdtContent>
              <w:r>
                <w:rPr>
                  <w:rFonts w:hint="eastAsia" w:ascii="宋体" w:hAnsi="宋体" w:eastAsia="宋体" w:cs="宋体"/>
                  <w:sz w:val="32"/>
                  <w:szCs w:val="32"/>
                </w:rPr>
                <w:t>第四节 完善农村牧区治理体系</w:t>
              </w:r>
            </w:sdtContent>
          </w:sdt>
          <w:r>
            <w:rPr>
              <w:rFonts w:hint="eastAsia" w:ascii="宋体" w:hAnsi="宋体" w:eastAsia="宋体" w:cs="宋体"/>
              <w:sz w:val="32"/>
              <w:szCs w:val="32"/>
            </w:rPr>
            <w:tab/>
          </w:r>
          <w:bookmarkStart w:id="51" w:name="_Toc840741532_WPSOffice_Level2Page"/>
          <w:r>
            <w:rPr>
              <w:rFonts w:hint="eastAsia" w:ascii="宋体" w:hAnsi="宋体" w:eastAsia="宋体" w:cs="宋体"/>
              <w:sz w:val="32"/>
              <w:szCs w:val="32"/>
            </w:rPr>
            <w:t>7</w:t>
          </w:r>
          <w:bookmarkEnd w:id="51"/>
          <w:r>
            <w:rPr>
              <w:rFonts w:hint="eastAsia" w:ascii="宋体" w:hAnsi="宋体" w:eastAsia="宋体" w:cs="宋体"/>
              <w:sz w:val="32"/>
              <w:szCs w:val="32"/>
              <w:lang w:val="en-US" w:eastAsia="zh-CN"/>
            </w:rPr>
            <w:t>0</w:t>
          </w:r>
          <w:r>
            <w:rPr>
              <w:rFonts w:hint="eastAsia" w:ascii="宋体" w:hAnsi="宋体" w:eastAsia="宋体" w:cs="宋体"/>
              <w:sz w:val="32"/>
              <w:szCs w:val="32"/>
            </w:rPr>
            <w:fldChar w:fldCharType="end"/>
          </w:r>
        </w:p>
        <w:p>
          <w:pPr>
            <w:pStyle w:val="47"/>
            <w:tabs>
              <w:tab w:val="right" w:leader="dot" w:pos="8300"/>
            </w:tabs>
            <w:rPr>
              <w:rFonts w:hint="eastAsia" w:ascii="宋体" w:hAnsi="宋体" w:eastAsia="宋体" w:cs="宋体"/>
              <w:sz w:val="32"/>
              <w:szCs w:val="32"/>
            </w:rPr>
          </w:pPr>
          <w:r>
            <w:rPr>
              <w:rFonts w:hint="eastAsia" w:ascii="宋体" w:hAnsi="宋体" w:eastAsia="宋体" w:cs="宋体"/>
              <w:b/>
              <w:bCs/>
              <w:sz w:val="32"/>
              <w:szCs w:val="32"/>
            </w:rPr>
            <w:fldChar w:fldCharType="begin"/>
          </w:r>
          <w:r>
            <w:rPr>
              <w:rFonts w:hint="eastAsia" w:ascii="宋体" w:hAnsi="宋体" w:eastAsia="宋体" w:cs="宋体"/>
              <w:sz w:val="32"/>
              <w:szCs w:val="32"/>
            </w:rPr>
            <w:instrText xml:space="preserve"> HYPERLINK \l _Toc752678536_WPSOffice_Level1 </w:instrText>
          </w:r>
          <w:r>
            <w:rPr>
              <w:rFonts w:hint="eastAsia" w:ascii="宋体" w:hAnsi="宋体" w:eastAsia="宋体" w:cs="宋体"/>
              <w:b/>
              <w:bCs/>
              <w:sz w:val="32"/>
              <w:szCs w:val="32"/>
            </w:rPr>
            <w:fldChar w:fldCharType="separate"/>
          </w:r>
          <w:sdt>
            <w:sdtPr>
              <w:rPr>
                <w:rFonts w:hint="eastAsia" w:ascii="宋体" w:hAnsi="宋体" w:eastAsia="宋体" w:cs="宋体"/>
                <w:b/>
                <w:bCs/>
                <w:kern w:val="2"/>
                <w:sz w:val="32"/>
                <w:szCs w:val="32"/>
                <w:lang w:val="en-US" w:eastAsia="zh-CN" w:bidi="ar-SA"/>
              </w:rPr>
              <w:id w:val="357570069"/>
              <w:placeholder>
                <w:docPart w:val="{e0212f36-1866-48d7-ab23-b8c72bf1a2b6}"/>
              </w:placeholder>
            </w:sdtPr>
            <w:sdtEndPr>
              <w:rPr>
                <w:rFonts w:hint="eastAsia" w:ascii="宋体" w:hAnsi="宋体" w:eastAsia="宋体" w:cs="宋体"/>
                <w:b/>
                <w:bCs/>
                <w:kern w:val="2"/>
                <w:sz w:val="32"/>
                <w:szCs w:val="32"/>
                <w:lang w:val="en-US" w:eastAsia="zh-CN" w:bidi="ar-SA"/>
              </w:rPr>
            </w:sdtEndPr>
            <w:sdtContent>
              <w:r>
                <w:rPr>
                  <w:rFonts w:hint="eastAsia" w:ascii="宋体" w:hAnsi="宋体" w:eastAsia="宋体" w:cs="宋体"/>
                  <w:b/>
                  <w:bCs/>
                  <w:sz w:val="32"/>
                  <w:szCs w:val="32"/>
                </w:rPr>
                <w:t>第九章 环境影响评价</w:t>
              </w:r>
            </w:sdtContent>
          </w:sdt>
          <w:r>
            <w:rPr>
              <w:rFonts w:hint="eastAsia" w:ascii="宋体" w:hAnsi="宋体" w:eastAsia="宋体" w:cs="宋体"/>
              <w:b/>
              <w:bCs/>
              <w:sz w:val="32"/>
              <w:szCs w:val="32"/>
            </w:rPr>
            <w:tab/>
          </w:r>
          <w:bookmarkStart w:id="52" w:name="_Toc752678536_WPSOffice_Level1Page"/>
          <w:r>
            <w:rPr>
              <w:rFonts w:hint="eastAsia" w:ascii="宋体" w:hAnsi="宋体" w:eastAsia="宋体" w:cs="宋体"/>
              <w:b/>
              <w:bCs/>
              <w:sz w:val="32"/>
              <w:szCs w:val="32"/>
            </w:rPr>
            <w:t>7</w:t>
          </w:r>
          <w:bookmarkEnd w:id="52"/>
          <w:r>
            <w:rPr>
              <w:rFonts w:hint="eastAsia" w:ascii="宋体" w:hAnsi="宋体" w:cs="宋体"/>
              <w:b/>
              <w:bCs/>
              <w:sz w:val="32"/>
              <w:szCs w:val="32"/>
              <w:lang w:val="en-US" w:eastAsia="zh-CN"/>
            </w:rPr>
            <w:t>4</w:t>
          </w:r>
          <w:r>
            <w:rPr>
              <w:rFonts w:hint="eastAsia" w:ascii="宋体" w:hAnsi="宋体" w:eastAsia="宋体" w:cs="宋体"/>
              <w:b/>
              <w:bCs/>
              <w:sz w:val="32"/>
              <w:szCs w:val="32"/>
            </w:rPr>
            <w:fldChar w:fldCharType="end"/>
          </w:r>
        </w:p>
        <w:p>
          <w:pPr>
            <w:pStyle w:val="43"/>
            <w:tabs>
              <w:tab w:val="right" w:leader="dot" w:pos="8300"/>
            </w:tabs>
            <w:rPr>
              <w:rFonts w:hint="eastAsia" w:ascii="宋体" w:hAnsi="宋体" w:eastAsia="宋体" w:cs="宋体"/>
              <w:sz w:val="32"/>
              <w:szCs w:val="32"/>
            </w:rPr>
          </w:pPr>
          <w:r>
            <w:rPr>
              <w:rFonts w:hint="eastAsia" w:ascii="宋体" w:hAnsi="宋体" w:eastAsia="宋体" w:cs="宋体"/>
              <w:sz w:val="32"/>
              <w:szCs w:val="32"/>
            </w:rPr>
            <w:fldChar w:fldCharType="begin"/>
          </w:r>
          <w:r>
            <w:rPr>
              <w:rFonts w:hint="eastAsia" w:ascii="宋体" w:hAnsi="宋体" w:eastAsia="宋体" w:cs="宋体"/>
              <w:sz w:val="32"/>
              <w:szCs w:val="32"/>
            </w:rPr>
            <w:instrText xml:space="preserve"> HYPERLINK \l _Toc32125070_WPSOffice_Level2 </w:instrText>
          </w:r>
          <w:r>
            <w:rPr>
              <w:rFonts w:hint="eastAsia" w:ascii="宋体" w:hAnsi="宋体" w:eastAsia="宋体" w:cs="宋体"/>
              <w:sz w:val="32"/>
              <w:szCs w:val="32"/>
            </w:rPr>
            <w:fldChar w:fldCharType="separate"/>
          </w:r>
          <w:sdt>
            <w:sdtPr>
              <w:rPr>
                <w:rFonts w:hint="eastAsia" w:ascii="宋体" w:hAnsi="宋体" w:eastAsia="宋体" w:cs="宋体"/>
                <w:kern w:val="2"/>
                <w:sz w:val="32"/>
                <w:szCs w:val="32"/>
                <w:lang w:val="en-US" w:eastAsia="zh-CN" w:bidi="ar-SA"/>
              </w:rPr>
              <w:id w:val="357570069"/>
              <w:placeholder>
                <w:docPart w:val="{32a2e298-1912-41fe-b896-083c6572bd0a}"/>
              </w:placeholder>
            </w:sdtPr>
            <w:sdtEndPr>
              <w:rPr>
                <w:rFonts w:hint="eastAsia" w:ascii="宋体" w:hAnsi="宋体" w:eastAsia="宋体" w:cs="宋体"/>
                <w:kern w:val="2"/>
                <w:sz w:val="32"/>
                <w:szCs w:val="32"/>
                <w:lang w:val="en-US" w:eastAsia="zh-CN" w:bidi="ar-SA"/>
              </w:rPr>
            </w:sdtEndPr>
            <w:sdtContent>
              <w:r>
                <w:rPr>
                  <w:rFonts w:hint="eastAsia" w:ascii="宋体" w:hAnsi="宋体" w:eastAsia="宋体" w:cs="宋体"/>
                  <w:sz w:val="32"/>
                  <w:szCs w:val="32"/>
                </w:rPr>
                <w:t>第一节 有利影响</w:t>
              </w:r>
            </w:sdtContent>
          </w:sdt>
          <w:r>
            <w:rPr>
              <w:rFonts w:hint="eastAsia" w:ascii="宋体" w:hAnsi="宋体" w:eastAsia="宋体" w:cs="宋体"/>
              <w:sz w:val="32"/>
              <w:szCs w:val="32"/>
            </w:rPr>
            <w:tab/>
          </w:r>
          <w:bookmarkStart w:id="53" w:name="_Toc32125070_WPSOffice_Level2Page"/>
          <w:r>
            <w:rPr>
              <w:rFonts w:hint="eastAsia" w:ascii="宋体" w:hAnsi="宋体" w:eastAsia="宋体" w:cs="宋体"/>
              <w:sz w:val="32"/>
              <w:szCs w:val="32"/>
            </w:rPr>
            <w:t>7</w:t>
          </w:r>
          <w:bookmarkEnd w:id="53"/>
          <w:r>
            <w:rPr>
              <w:rFonts w:hint="eastAsia" w:ascii="宋体" w:hAnsi="宋体" w:eastAsia="宋体" w:cs="宋体"/>
              <w:sz w:val="32"/>
              <w:szCs w:val="32"/>
              <w:lang w:val="en-US" w:eastAsia="zh-CN"/>
            </w:rPr>
            <w:t>4</w:t>
          </w:r>
          <w:r>
            <w:rPr>
              <w:rFonts w:hint="eastAsia" w:ascii="宋体" w:hAnsi="宋体" w:eastAsia="宋体" w:cs="宋体"/>
              <w:sz w:val="32"/>
              <w:szCs w:val="32"/>
            </w:rPr>
            <w:fldChar w:fldCharType="end"/>
          </w:r>
        </w:p>
        <w:p>
          <w:pPr>
            <w:pStyle w:val="43"/>
            <w:tabs>
              <w:tab w:val="right" w:leader="dot" w:pos="8300"/>
            </w:tabs>
            <w:rPr>
              <w:rFonts w:hint="eastAsia" w:ascii="宋体" w:hAnsi="宋体" w:eastAsia="宋体" w:cs="宋体"/>
              <w:sz w:val="32"/>
              <w:szCs w:val="32"/>
            </w:rPr>
          </w:pPr>
          <w:r>
            <w:rPr>
              <w:rFonts w:hint="eastAsia" w:ascii="宋体" w:hAnsi="宋体" w:eastAsia="宋体" w:cs="宋体"/>
              <w:sz w:val="32"/>
              <w:szCs w:val="32"/>
            </w:rPr>
            <w:fldChar w:fldCharType="begin"/>
          </w:r>
          <w:r>
            <w:rPr>
              <w:rFonts w:hint="eastAsia" w:ascii="宋体" w:hAnsi="宋体" w:eastAsia="宋体" w:cs="宋体"/>
              <w:sz w:val="32"/>
              <w:szCs w:val="32"/>
            </w:rPr>
            <w:instrText xml:space="preserve"> HYPERLINK \l _Toc780670889_WPSOffice_Level2 </w:instrText>
          </w:r>
          <w:r>
            <w:rPr>
              <w:rFonts w:hint="eastAsia" w:ascii="宋体" w:hAnsi="宋体" w:eastAsia="宋体" w:cs="宋体"/>
              <w:sz w:val="32"/>
              <w:szCs w:val="32"/>
            </w:rPr>
            <w:fldChar w:fldCharType="separate"/>
          </w:r>
          <w:sdt>
            <w:sdtPr>
              <w:rPr>
                <w:rFonts w:hint="eastAsia" w:ascii="宋体" w:hAnsi="宋体" w:eastAsia="宋体" w:cs="宋体"/>
                <w:kern w:val="2"/>
                <w:sz w:val="32"/>
                <w:szCs w:val="32"/>
                <w:lang w:val="en-US" w:eastAsia="zh-CN" w:bidi="ar-SA"/>
              </w:rPr>
              <w:id w:val="357570069"/>
              <w:placeholder>
                <w:docPart w:val="{409e9eeb-aae6-409b-8d73-65dd456e73d1}"/>
              </w:placeholder>
            </w:sdtPr>
            <w:sdtEndPr>
              <w:rPr>
                <w:rFonts w:hint="eastAsia" w:ascii="宋体" w:hAnsi="宋体" w:eastAsia="宋体" w:cs="宋体"/>
                <w:kern w:val="2"/>
                <w:sz w:val="32"/>
                <w:szCs w:val="32"/>
                <w:lang w:val="en-US" w:eastAsia="zh-CN" w:bidi="ar-SA"/>
              </w:rPr>
            </w:sdtEndPr>
            <w:sdtContent>
              <w:r>
                <w:rPr>
                  <w:rFonts w:hint="eastAsia" w:ascii="宋体" w:hAnsi="宋体" w:eastAsia="宋体" w:cs="宋体"/>
                  <w:sz w:val="32"/>
                  <w:szCs w:val="32"/>
                </w:rPr>
                <w:t>第二节 不利影响</w:t>
              </w:r>
            </w:sdtContent>
          </w:sdt>
          <w:r>
            <w:rPr>
              <w:rFonts w:hint="eastAsia" w:ascii="宋体" w:hAnsi="宋体" w:eastAsia="宋体" w:cs="宋体"/>
              <w:sz w:val="32"/>
              <w:szCs w:val="32"/>
            </w:rPr>
            <w:tab/>
          </w:r>
          <w:bookmarkStart w:id="54" w:name="_Toc780670889_WPSOffice_Level2Page"/>
          <w:r>
            <w:rPr>
              <w:rFonts w:hint="eastAsia" w:ascii="宋体" w:hAnsi="宋体" w:eastAsia="宋体" w:cs="宋体"/>
              <w:sz w:val="32"/>
              <w:szCs w:val="32"/>
            </w:rPr>
            <w:t>7</w:t>
          </w:r>
          <w:bookmarkEnd w:id="54"/>
          <w:r>
            <w:rPr>
              <w:rFonts w:hint="eastAsia" w:ascii="宋体" w:hAnsi="宋体" w:eastAsia="宋体" w:cs="宋体"/>
              <w:sz w:val="32"/>
              <w:szCs w:val="32"/>
              <w:lang w:val="en-US" w:eastAsia="zh-CN"/>
            </w:rPr>
            <w:t>5</w:t>
          </w:r>
          <w:r>
            <w:rPr>
              <w:rFonts w:hint="eastAsia" w:ascii="宋体" w:hAnsi="宋体" w:eastAsia="宋体" w:cs="宋体"/>
              <w:sz w:val="32"/>
              <w:szCs w:val="32"/>
            </w:rPr>
            <w:fldChar w:fldCharType="end"/>
          </w:r>
        </w:p>
        <w:p>
          <w:pPr>
            <w:pStyle w:val="43"/>
            <w:tabs>
              <w:tab w:val="right" w:leader="dot" w:pos="8300"/>
            </w:tabs>
            <w:rPr>
              <w:rFonts w:hint="eastAsia" w:ascii="宋体" w:hAnsi="宋体" w:eastAsia="宋体" w:cs="宋体"/>
              <w:sz w:val="32"/>
              <w:szCs w:val="32"/>
            </w:rPr>
          </w:pPr>
          <w:r>
            <w:rPr>
              <w:rFonts w:hint="eastAsia" w:ascii="宋体" w:hAnsi="宋体" w:eastAsia="宋体" w:cs="宋体"/>
              <w:sz w:val="32"/>
              <w:szCs w:val="32"/>
            </w:rPr>
            <w:fldChar w:fldCharType="begin"/>
          </w:r>
          <w:r>
            <w:rPr>
              <w:rFonts w:hint="eastAsia" w:ascii="宋体" w:hAnsi="宋体" w:eastAsia="宋体" w:cs="宋体"/>
              <w:sz w:val="32"/>
              <w:szCs w:val="32"/>
            </w:rPr>
            <w:instrText xml:space="preserve"> HYPERLINK \l _Toc255207481_WPSOffice_Level2 </w:instrText>
          </w:r>
          <w:r>
            <w:rPr>
              <w:rFonts w:hint="eastAsia" w:ascii="宋体" w:hAnsi="宋体" w:eastAsia="宋体" w:cs="宋体"/>
              <w:sz w:val="32"/>
              <w:szCs w:val="32"/>
            </w:rPr>
            <w:fldChar w:fldCharType="separate"/>
          </w:r>
          <w:sdt>
            <w:sdtPr>
              <w:rPr>
                <w:rFonts w:hint="eastAsia" w:ascii="宋体" w:hAnsi="宋体" w:eastAsia="宋体" w:cs="宋体"/>
                <w:kern w:val="2"/>
                <w:sz w:val="32"/>
                <w:szCs w:val="32"/>
                <w:lang w:val="en-US" w:eastAsia="zh-CN" w:bidi="ar-SA"/>
              </w:rPr>
              <w:id w:val="357570069"/>
              <w:placeholder>
                <w:docPart w:val="{aa9735df-0ec2-4df4-b9e8-d52e7ddb1496}"/>
              </w:placeholder>
            </w:sdtPr>
            <w:sdtEndPr>
              <w:rPr>
                <w:rFonts w:hint="eastAsia" w:ascii="宋体" w:hAnsi="宋体" w:eastAsia="宋体" w:cs="宋体"/>
                <w:kern w:val="2"/>
                <w:sz w:val="32"/>
                <w:szCs w:val="32"/>
                <w:lang w:val="en-US" w:eastAsia="zh-CN" w:bidi="ar-SA"/>
              </w:rPr>
            </w:sdtEndPr>
            <w:sdtContent>
              <w:r>
                <w:rPr>
                  <w:rFonts w:hint="eastAsia" w:ascii="宋体" w:hAnsi="宋体" w:eastAsia="宋体" w:cs="宋体"/>
                  <w:sz w:val="32"/>
                  <w:szCs w:val="32"/>
                </w:rPr>
                <w:t>第三节 初步评价</w:t>
              </w:r>
            </w:sdtContent>
          </w:sdt>
          <w:r>
            <w:rPr>
              <w:rFonts w:hint="eastAsia" w:ascii="宋体" w:hAnsi="宋体" w:eastAsia="宋体" w:cs="宋体"/>
              <w:sz w:val="32"/>
              <w:szCs w:val="32"/>
            </w:rPr>
            <w:tab/>
          </w:r>
          <w:bookmarkStart w:id="55" w:name="_Toc255207481_WPSOffice_Level2Page"/>
          <w:r>
            <w:rPr>
              <w:rFonts w:hint="eastAsia" w:ascii="宋体" w:hAnsi="宋体" w:eastAsia="宋体" w:cs="宋体"/>
              <w:sz w:val="32"/>
              <w:szCs w:val="32"/>
            </w:rPr>
            <w:t>7</w:t>
          </w:r>
          <w:bookmarkEnd w:id="55"/>
          <w:r>
            <w:rPr>
              <w:rFonts w:hint="eastAsia" w:ascii="宋体" w:hAnsi="宋体" w:eastAsia="宋体" w:cs="宋体"/>
              <w:sz w:val="32"/>
              <w:szCs w:val="32"/>
              <w:lang w:val="en-US" w:eastAsia="zh-CN"/>
            </w:rPr>
            <w:t>6</w:t>
          </w:r>
          <w:r>
            <w:rPr>
              <w:rFonts w:hint="eastAsia" w:ascii="宋体" w:hAnsi="宋体" w:eastAsia="宋体" w:cs="宋体"/>
              <w:sz w:val="32"/>
              <w:szCs w:val="32"/>
            </w:rPr>
            <w:fldChar w:fldCharType="end"/>
          </w:r>
        </w:p>
        <w:p>
          <w:pPr>
            <w:pStyle w:val="43"/>
            <w:tabs>
              <w:tab w:val="right" w:leader="dot" w:pos="8300"/>
            </w:tabs>
            <w:rPr>
              <w:rFonts w:hint="eastAsia" w:ascii="宋体" w:hAnsi="宋体" w:eastAsia="宋体" w:cs="宋体"/>
              <w:sz w:val="32"/>
              <w:szCs w:val="32"/>
            </w:rPr>
          </w:pPr>
          <w:r>
            <w:rPr>
              <w:rFonts w:hint="eastAsia" w:ascii="宋体" w:hAnsi="宋体" w:eastAsia="宋体" w:cs="宋体"/>
              <w:sz w:val="32"/>
              <w:szCs w:val="32"/>
            </w:rPr>
            <w:fldChar w:fldCharType="begin"/>
          </w:r>
          <w:r>
            <w:rPr>
              <w:rFonts w:hint="eastAsia" w:ascii="宋体" w:hAnsi="宋体" w:eastAsia="宋体" w:cs="宋体"/>
              <w:sz w:val="32"/>
              <w:szCs w:val="32"/>
            </w:rPr>
            <w:instrText xml:space="preserve"> HYPERLINK \l _Toc1838528168_WPSOffice_Level2 </w:instrText>
          </w:r>
          <w:r>
            <w:rPr>
              <w:rFonts w:hint="eastAsia" w:ascii="宋体" w:hAnsi="宋体" w:eastAsia="宋体" w:cs="宋体"/>
              <w:sz w:val="32"/>
              <w:szCs w:val="32"/>
            </w:rPr>
            <w:fldChar w:fldCharType="separate"/>
          </w:r>
          <w:sdt>
            <w:sdtPr>
              <w:rPr>
                <w:rFonts w:hint="eastAsia" w:ascii="宋体" w:hAnsi="宋体" w:eastAsia="宋体" w:cs="宋体"/>
                <w:kern w:val="2"/>
                <w:sz w:val="32"/>
                <w:szCs w:val="32"/>
                <w:lang w:val="en-US" w:eastAsia="zh-CN" w:bidi="ar-SA"/>
              </w:rPr>
              <w:id w:val="357570069"/>
              <w:placeholder>
                <w:docPart w:val="{9f2c6386-4cb3-43b6-a457-55aaf09e12ab}"/>
              </w:placeholder>
            </w:sdtPr>
            <w:sdtEndPr>
              <w:rPr>
                <w:rFonts w:hint="eastAsia" w:ascii="宋体" w:hAnsi="宋体" w:eastAsia="宋体" w:cs="宋体"/>
                <w:kern w:val="2"/>
                <w:sz w:val="32"/>
                <w:szCs w:val="32"/>
                <w:lang w:val="en-US" w:eastAsia="zh-CN" w:bidi="ar-SA"/>
              </w:rPr>
            </w:sdtEndPr>
            <w:sdtContent>
              <w:r>
                <w:rPr>
                  <w:rFonts w:hint="eastAsia" w:ascii="宋体" w:hAnsi="宋体" w:eastAsia="宋体" w:cs="宋体"/>
                  <w:sz w:val="32"/>
                  <w:szCs w:val="32"/>
                </w:rPr>
                <w:t>第四节 对策措施</w:t>
              </w:r>
            </w:sdtContent>
          </w:sdt>
          <w:r>
            <w:rPr>
              <w:rFonts w:hint="eastAsia" w:ascii="宋体" w:hAnsi="宋体" w:eastAsia="宋体" w:cs="宋体"/>
              <w:sz w:val="32"/>
              <w:szCs w:val="32"/>
            </w:rPr>
            <w:tab/>
          </w:r>
          <w:bookmarkStart w:id="56" w:name="_Toc1838528168_WPSOffice_Level2Page"/>
          <w:r>
            <w:rPr>
              <w:rFonts w:hint="eastAsia" w:ascii="宋体" w:hAnsi="宋体" w:eastAsia="宋体" w:cs="宋体"/>
              <w:sz w:val="32"/>
              <w:szCs w:val="32"/>
            </w:rPr>
            <w:t>7</w:t>
          </w:r>
          <w:bookmarkEnd w:id="56"/>
          <w:r>
            <w:rPr>
              <w:rFonts w:hint="eastAsia" w:ascii="宋体" w:hAnsi="宋体" w:eastAsia="宋体" w:cs="宋体"/>
              <w:sz w:val="32"/>
              <w:szCs w:val="32"/>
              <w:lang w:val="en-US" w:eastAsia="zh-CN"/>
            </w:rPr>
            <w:t>6</w:t>
          </w:r>
          <w:r>
            <w:rPr>
              <w:rFonts w:hint="eastAsia" w:ascii="宋体" w:hAnsi="宋体" w:eastAsia="宋体" w:cs="宋体"/>
              <w:sz w:val="32"/>
              <w:szCs w:val="32"/>
            </w:rPr>
            <w:fldChar w:fldCharType="end"/>
          </w:r>
        </w:p>
        <w:p>
          <w:pPr>
            <w:pStyle w:val="47"/>
            <w:tabs>
              <w:tab w:val="right" w:leader="dot" w:pos="8300"/>
            </w:tabs>
            <w:rPr>
              <w:rFonts w:hint="eastAsia" w:ascii="宋体" w:hAnsi="宋体" w:eastAsia="宋体" w:cs="宋体"/>
              <w:sz w:val="32"/>
              <w:szCs w:val="32"/>
              <w:lang w:val="en-US" w:eastAsia="zh-CN"/>
            </w:rPr>
          </w:pPr>
          <w:r>
            <w:rPr>
              <w:rFonts w:hint="eastAsia" w:ascii="宋体" w:hAnsi="宋体" w:eastAsia="宋体" w:cs="宋体"/>
              <w:b/>
              <w:bCs/>
              <w:sz w:val="32"/>
              <w:szCs w:val="32"/>
            </w:rPr>
            <w:fldChar w:fldCharType="begin"/>
          </w:r>
          <w:r>
            <w:rPr>
              <w:rFonts w:hint="eastAsia" w:ascii="宋体" w:hAnsi="宋体" w:eastAsia="宋体" w:cs="宋体"/>
              <w:sz w:val="32"/>
              <w:szCs w:val="32"/>
            </w:rPr>
            <w:instrText xml:space="preserve"> HYPERLINK \l _Toc1369886222_WPSOffice_Level1 </w:instrText>
          </w:r>
          <w:r>
            <w:rPr>
              <w:rFonts w:hint="eastAsia" w:ascii="宋体" w:hAnsi="宋体" w:eastAsia="宋体" w:cs="宋体"/>
              <w:b/>
              <w:bCs/>
              <w:sz w:val="32"/>
              <w:szCs w:val="32"/>
            </w:rPr>
            <w:fldChar w:fldCharType="separate"/>
          </w:r>
          <w:sdt>
            <w:sdtPr>
              <w:rPr>
                <w:rFonts w:hint="eastAsia" w:ascii="宋体" w:hAnsi="宋体" w:eastAsia="宋体" w:cs="宋体"/>
                <w:b/>
                <w:bCs/>
                <w:kern w:val="2"/>
                <w:sz w:val="32"/>
                <w:szCs w:val="32"/>
                <w:lang w:val="en-US" w:eastAsia="zh-CN" w:bidi="ar-SA"/>
              </w:rPr>
              <w:id w:val="357570069"/>
              <w:placeholder>
                <w:docPart w:val="{21b83702-a1b3-471a-ae90-3778168265ff}"/>
              </w:placeholder>
            </w:sdtPr>
            <w:sdtEndPr>
              <w:rPr>
                <w:rFonts w:hint="eastAsia" w:ascii="宋体" w:hAnsi="宋体" w:eastAsia="宋体" w:cs="宋体"/>
                <w:b/>
                <w:bCs/>
                <w:kern w:val="2"/>
                <w:sz w:val="32"/>
                <w:szCs w:val="32"/>
                <w:lang w:val="en-US" w:eastAsia="zh-CN" w:bidi="ar-SA"/>
              </w:rPr>
            </w:sdtEndPr>
            <w:sdtContent>
              <w:r>
                <w:rPr>
                  <w:rFonts w:hint="eastAsia" w:ascii="宋体" w:hAnsi="宋体" w:eastAsia="宋体" w:cs="宋体"/>
                  <w:b/>
                  <w:bCs/>
                  <w:sz w:val="32"/>
                  <w:szCs w:val="32"/>
                </w:rPr>
                <w:t>第十章 保障机制</w:t>
              </w:r>
            </w:sdtContent>
          </w:sdt>
          <w:r>
            <w:rPr>
              <w:rFonts w:hint="eastAsia" w:ascii="宋体" w:hAnsi="宋体" w:eastAsia="宋体" w:cs="宋体"/>
              <w:b/>
              <w:bCs/>
              <w:sz w:val="32"/>
              <w:szCs w:val="32"/>
            </w:rPr>
            <w:tab/>
          </w:r>
          <w:r>
            <w:rPr>
              <w:rFonts w:hint="eastAsia" w:ascii="宋体" w:hAnsi="宋体" w:cs="宋体"/>
              <w:b/>
              <w:bCs/>
              <w:sz w:val="32"/>
              <w:szCs w:val="32"/>
              <w:lang w:val="en-US" w:eastAsia="zh-CN"/>
            </w:rPr>
            <w:t>7</w:t>
          </w:r>
          <w:r>
            <w:rPr>
              <w:rFonts w:hint="eastAsia" w:ascii="宋体" w:hAnsi="宋体" w:eastAsia="宋体" w:cs="宋体"/>
              <w:b/>
              <w:bCs/>
              <w:sz w:val="32"/>
              <w:szCs w:val="32"/>
            </w:rPr>
            <w:fldChar w:fldCharType="end"/>
          </w:r>
          <w:r>
            <w:rPr>
              <w:rFonts w:hint="eastAsia" w:ascii="宋体" w:hAnsi="宋体" w:cs="宋体"/>
              <w:b/>
              <w:bCs/>
              <w:sz w:val="32"/>
              <w:szCs w:val="32"/>
              <w:lang w:val="en-US" w:eastAsia="zh-CN"/>
            </w:rPr>
            <w:t>9</w:t>
          </w:r>
        </w:p>
        <w:p>
          <w:pPr>
            <w:pStyle w:val="43"/>
            <w:tabs>
              <w:tab w:val="right" w:leader="dot" w:pos="8300"/>
            </w:tabs>
            <w:rPr>
              <w:rFonts w:hint="eastAsia" w:ascii="宋体" w:hAnsi="宋体" w:eastAsia="宋体" w:cs="宋体"/>
              <w:sz w:val="32"/>
              <w:szCs w:val="32"/>
              <w:lang w:val="en-US" w:eastAsia="zh-CN"/>
            </w:rPr>
          </w:pPr>
          <w:r>
            <w:rPr>
              <w:rFonts w:hint="eastAsia" w:ascii="宋体" w:hAnsi="宋体" w:eastAsia="宋体" w:cs="宋体"/>
              <w:sz w:val="32"/>
              <w:szCs w:val="32"/>
            </w:rPr>
            <w:fldChar w:fldCharType="begin"/>
          </w:r>
          <w:r>
            <w:rPr>
              <w:rFonts w:hint="eastAsia" w:ascii="宋体" w:hAnsi="宋体" w:eastAsia="宋体" w:cs="宋体"/>
              <w:sz w:val="32"/>
              <w:szCs w:val="32"/>
            </w:rPr>
            <w:instrText xml:space="preserve"> HYPERLINK \l _Toc1506407809_WPSOffice_Level2 </w:instrText>
          </w:r>
          <w:r>
            <w:rPr>
              <w:rFonts w:hint="eastAsia" w:ascii="宋体" w:hAnsi="宋体" w:eastAsia="宋体" w:cs="宋体"/>
              <w:sz w:val="32"/>
              <w:szCs w:val="32"/>
            </w:rPr>
            <w:fldChar w:fldCharType="separate"/>
          </w:r>
          <w:sdt>
            <w:sdtPr>
              <w:rPr>
                <w:rFonts w:hint="eastAsia" w:ascii="宋体" w:hAnsi="宋体" w:eastAsia="宋体" w:cs="宋体"/>
                <w:kern w:val="2"/>
                <w:sz w:val="32"/>
                <w:szCs w:val="32"/>
                <w:lang w:val="en-US" w:eastAsia="zh-CN" w:bidi="ar-SA"/>
              </w:rPr>
              <w:id w:val="357570069"/>
              <w:placeholder>
                <w:docPart w:val="{32e4b029-59b5-4c67-b6ca-1263b3d2bf9e}"/>
              </w:placeholder>
            </w:sdtPr>
            <w:sdtEndPr>
              <w:rPr>
                <w:rFonts w:hint="eastAsia" w:ascii="宋体" w:hAnsi="宋体" w:eastAsia="宋体" w:cs="宋体"/>
                <w:kern w:val="2"/>
                <w:sz w:val="32"/>
                <w:szCs w:val="32"/>
                <w:lang w:val="en-US" w:eastAsia="zh-CN" w:bidi="ar-SA"/>
              </w:rPr>
            </w:sdtEndPr>
            <w:sdtContent>
              <w:r>
                <w:rPr>
                  <w:rFonts w:hint="eastAsia" w:ascii="宋体" w:hAnsi="宋体" w:eastAsia="宋体" w:cs="宋体"/>
                  <w:sz w:val="32"/>
                  <w:szCs w:val="32"/>
                </w:rPr>
                <w:t>第一节 加强组织领导</w:t>
              </w:r>
            </w:sdtContent>
          </w:sdt>
          <w:r>
            <w:rPr>
              <w:rFonts w:hint="eastAsia" w:ascii="宋体" w:hAnsi="宋体" w:eastAsia="宋体" w:cs="宋体"/>
              <w:sz w:val="32"/>
              <w:szCs w:val="32"/>
            </w:rPr>
            <w:tab/>
          </w:r>
          <w:r>
            <w:rPr>
              <w:rFonts w:hint="eastAsia" w:ascii="宋体" w:hAnsi="宋体" w:eastAsia="宋体" w:cs="宋体"/>
              <w:sz w:val="32"/>
              <w:szCs w:val="32"/>
              <w:lang w:val="en-US" w:eastAsia="zh-CN"/>
            </w:rPr>
            <w:t>7</w:t>
          </w:r>
          <w:r>
            <w:rPr>
              <w:rFonts w:hint="eastAsia" w:ascii="宋体" w:hAnsi="宋体" w:eastAsia="宋体" w:cs="宋体"/>
              <w:sz w:val="32"/>
              <w:szCs w:val="32"/>
            </w:rPr>
            <w:fldChar w:fldCharType="end"/>
          </w:r>
          <w:r>
            <w:rPr>
              <w:rFonts w:hint="eastAsia" w:ascii="宋体" w:hAnsi="宋体" w:eastAsia="宋体" w:cs="宋体"/>
              <w:sz w:val="32"/>
              <w:szCs w:val="32"/>
              <w:lang w:val="en-US" w:eastAsia="zh-CN"/>
            </w:rPr>
            <w:t>9</w:t>
          </w:r>
        </w:p>
        <w:p>
          <w:pPr>
            <w:pStyle w:val="43"/>
            <w:tabs>
              <w:tab w:val="right" w:leader="dot" w:pos="8300"/>
            </w:tabs>
            <w:rPr>
              <w:rFonts w:hint="eastAsia" w:ascii="宋体" w:hAnsi="宋体" w:eastAsia="宋体" w:cs="宋体"/>
              <w:sz w:val="32"/>
              <w:szCs w:val="32"/>
              <w:lang w:val="en-US" w:eastAsia="zh-CN"/>
            </w:rPr>
          </w:pPr>
          <w:r>
            <w:rPr>
              <w:rFonts w:hint="eastAsia" w:ascii="宋体" w:hAnsi="宋体" w:eastAsia="宋体" w:cs="宋体"/>
              <w:sz w:val="32"/>
              <w:szCs w:val="32"/>
            </w:rPr>
            <w:fldChar w:fldCharType="begin"/>
          </w:r>
          <w:r>
            <w:rPr>
              <w:rFonts w:hint="eastAsia" w:ascii="宋体" w:hAnsi="宋体" w:eastAsia="宋体" w:cs="宋体"/>
              <w:sz w:val="32"/>
              <w:szCs w:val="32"/>
            </w:rPr>
            <w:instrText xml:space="preserve"> HYPERLINK \l _Toc131061107_WPSOffice_Level2 </w:instrText>
          </w:r>
          <w:r>
            <w:rPr>
              <w:rFonts w:hint="eastAsia" w:ascii="宋体" w:hAnsi="宋体" w:eastAsia="宋体" w:cs="宋体"/>
              <w:sz w:val="32"/>
              <w:szCs w:val="32"/>
            </w:rPr>
            <w:fldChar w:fldCharType="separate"/>
          </w:r>
          <w:sdt>
            <w:sdtPr>
              <w:rPr>
                <w:rFonts w:hint="eastAsia" w:ascii="宋体" w:hAnsi="宋体" w:eastAsia="宋体" w:cs="宋体"/>
                <w:kern w:val="2"/>
                <w:sz w:val="32"/>
                <w:szCs w:val="32"/>
                <w:lang w:val="en-US" w:eastAsia="zh-CN" w:bidi="ar-SA"/>
              </w:rPr>
              <w:id w:val="357570069"/>
              <w:placeholder>
                <w:docPart w:val="{c4685623-2704-4d8e-9651-59e8965d20de}"/>
              </w:placeholder>
            </w:sdtPr>
            <w:sdtEndPr>
              <w:rPr>
                <w:rFonts w:hint="eastAsia" w:ascii="宋体" w:hAnsi="宋体" w:eastAsia="宋体" w:cs="宋体"/>
                <w:kern w:val="2"/>
                <w:sz w:val="32"/>
                <w:szCs w:val="32"/>
                <w:lang w:val="en-US" w:eastAsia="zh-CN" w:bidi="ar-SA"/>
              </w:rPr>
            </w:sdtEndPr>
            <w:sdtContent>
              <w:r>
                <w:rPr>
                  <w:rFonts w:hint="eastAsia" w:ascii="宋体" w:hAnsi="宋体" w:eastAsia="宋体" w:cs="宋体"/>
                  <w:sz w:val="32"/>
                  <w:szCs w:val="32"/>
                </w:rPr>
                <w:t>第二节 加大政策支持</w:t>
              </w:r>
            </w:sdtContent>
          </w:sdt>
          <w:r>
            <w:rPr>
              <w:rFonts w:hint="eastAsia" w:ascii="宋体" w:hAnsi="宋体" w:eastAsia="宋体" w:cs="宋体"/>
              <w:sz w:val="32"/>
              <w:szCs w:val="32"/>
            </w:rPr>
            <w:tab/>
          </w:r>
          <w:r>
            <w:rPr>
              <w:rFonts w:hint="eastAsia" w:ascii="宋体" w:hAnsi="宋体" w:eastAsia="宋体" w:cs="宋体"/>
              <w:sz w:val="32"/>
              <w:szCs w:val="32"/>
              <w:lang w:val="en-US" w:eastAsia="zh-CN"/>
            </w:rPr>
            <w:t>7</w:t>
          </w:r>
          <w:r>
            <w:rPr>
              <w:rFonts w:hint="eastAsia" w:ascii="宋体" w:hAnsi="宋体" w:eastAsia="宋体" w:cs="宋体"/>
              <w:sz w:val="32"/>
              <w:szCs w:val="32"/>
            </w:rPr>
            <w:fldChar w:fldCharType="end"/>
          </w:r>
          <w:r>
            <w:rPr>
              <w:rFonts w:hint="eastAsia" w:ascii="宋体" w:hAnsi="宋体" w:eastAsia="宋体" w:cs="宋体"/>
              <w:sz w:val="32"/>
              <w:szCs w:val="32"/>
              <w:lang w:val="en-US" w:eastAsia="zh-CN"/>
            </w:rPr>
            <w:t>9</w:t>
          </w:r>
        </w:p>
        <w:p>
          <w:pPr>
            <w:pStyle w:val="43"/>
            <w:tabs>
              <w:tab w:val="right" w:leader="dot" w:pos="8300"/>
            </w:tabs>
            <w:rPr>
              <w:rFonts w:hint="eastAsia" w:ascii="宋体" w:hAnsi="宋体" w:eastAsia="宋体" w:cs="宋体"/>
              <w:sz w:val="32"/>
              <w:szCs w:val="32"/>
            </w:rPr>
          </w:pPr>
          <w:r>
            <w:rPr>
              <w:rFonts w:hint="eastAsia" w:ascii="宋体" w:hAnsi="宋体" w:eastAsia="宋体" w:cs="宋体"/>
              <w:sz w:val="32"/>
              <w:szCs w:val="32"/>
            </w:rPr>
            <w:fldChar w:fldCharType="begin"/>
          </w:r>
          <w:r>
            <w:rPr>
              <w:rFonts w:hint="eastAsia" w:ascii="宋体" w:hAnsi="宋体" w:eastAsia="宋体" w:cs="宋体"/>
              <w:sz w:val="32"/>
              <w:szCs w:val="32"/>
            </w:rPr>
            <w:instrText xml:space="preserve"> HYPERLINK \l _Toc1819215166_WPSOffice_Level2 </w:instrText>
          </w:r>
          <w:r>
            <w:rPr>
              <w:rFonts w:hint="eastAsia" w:ascii="宋体" w:hAnsi="宋体" w:eastAsia="宋体" w:cs="宋体"/>
              <w:sz w:val="32"/>
              <w:szCs w:val="32"/>
            </w:rPr>
            <w:fldChar w:fldCharType="separate"/>
          </w:r>
          <w:sdt>
            <w:sdtPr>
              <w:rPr>
                <w:rFonts w:hint="eastAsia" w:ascii="宋体" w:hAnsi="宋体" w:eastAsia="宋体" w:cs="宋体"/>
                <w:kern w:val="2"/>
                <w:sz w:val="32"/>
                <w:szCs w:val="32"/>
                <w:lang w:val="en-US" w:eastAsia="zh-CN" w:bidi="ar-SA"/>
              </w:rPr>
              <w:id w:val="357570069"/>
              <w:placeholder>
                <w:docPart w:val="{66d36309-f128-4094-935b-c1a36666f0cd}"/>
              </w:placeholder>
            </w:sdtPr>
            <w:sdtEndPr>
              <w:rPr>
                <w:rFonts w:hint="eastAsia" w:ascii="宋体" w:hAnsi="宋体" w:eastAsia="宋体" w:cs="宋体"/>
                <w:kern w:val="2"/>
                <w:sz w:val="32"/>
                <w:szCs w:val="32"/>
                <w:lang w:val="en-US" w:eastAsia="zh-CN" w:bidi="ar-SA"/>
              </w:rPr>
            </w:sdtEndPr>
            <w:sdtContent>
              <w:r>
                <w:rPr>
                  <w:rFonts w:hint="eastAsia" w:ascii="宋体" w:hAnsi="宋体" w:eastAsia="宋体" w:cs="宋体"/>
                  <w:sz w:val="32"/>
                  <w:szCs w:val="32"/>
                </w:rPr>
                <w:t>第三节 强化法制保障</w:t>
              </w:r>
            </w:sdtContent>
          </w:sdt>
          <w:r>
            <w:rPr>
              <w:rFonts w:hint="eastAsia" w:ascii="宋体" w:hAnsi="宋体" w:eastAsia="宋体" w:cs="宋体"/>
              <w:sz w:val="32"/>
              <w:szCs w:val="32"/>
            </w:rPr>
            <w:tab/>
          </w:r>
          <w:bookmarkStart w:id="57" w:name="_Toc1819215166_WPSOffice_Level2Page"/>
          <w:r>
            <w:rPr>
              <w:rFonts w:hint="eastAsia" w:ascii="宋体" w:hAnsi="宋体" w:eastAsia="宋体" w:cs="宋体"/>
              <w:sz w:val="32"/>
              <w:szCs w:val="32"/>
            </w:rPr>
            <w:t>8</w:t>
          </w:r>
          <w:bookmarkEnd w:id="57"/>
          <w:r>
            <w:rPr>
              <w:rFonts w:hint="eastAsia" w:ascii="宋体" w:hAnsi="宋体" w:eastAsia="宋体" w:cs="宋体"/>
              <w:sz w:val="32"/>
              <w:szCs w:val="32"/>
              <w:lang w:val="en-US" w:eastAsia="zh-CN"/>
            </w:rPr>
            <w:t>0</w:t>
          </w:r>
          <w:r>
            <w:rPr>
              <w:rFonts w:hint="eastAsia" w:ascii="宋体" w:hAnsi="宋体" w:eastAsia="宋体" w:cs="宋体"/>
              <w:sz w:val="32"/>
              <w:szCs w:val="32"/>
            </w:rPr>
            <w:fldChar w:fldCharType="end"/>
          </w:r>
        </w:p>
        <w:p>
          <w:pPr>
            <w:pStyle w:val="43"/>
            <w:tabs>
              <w:tab w:val="right" w:leader="dot" w:pos="8300"/>
            </w:tabs>
            <w:rPr>
              <w:rFonts w:hint="eastAsia" w:ascii="宋体" w:hAnsi="宋体" w:eastAsia="宋体" w:cs="宋体"/>
              <w:sz w:val="32"/>
              <w:szCs w:val="32"/>
            </w:rPr>
          </w:pPr>
          <w:r>
            <w:rPr>
              <w:rFonts w:hint="eastAsia" w:ascii="宋体" w:hAnsi="宋体" w:eastAsia="宋体" w:cs="宋体"/>
              <w:sz w:val="32"/>
              <w:szCs w:val="32"/>
            </w:rPr>
            <w:fldChar w:fldCharType="begin"/>
          </w:r>
          <w:r>
            <w:rPr>
              <w:rFonts w:hint="eastAsia" w:ascii="宋体" w:hAnsi="宋体" w:eastAsia="宋体" w:cs="宋体"/>
              <w:sz w:val="32"/>
              <w:szCs w:val="32"/>
            </w:rPr>
            <w:instrText xml:space="preserve"> HYPERLINK \l _Toc517717901_WPSOffice_Level2 </w:instrText>
          </w:r>
          <w:r>
            <w:rPr>
              <w:rFonts w:hint="eastAsia" w:ascii="宋体" w:hAnsi="宋体" w:eastAsia="宋体" w:cs="宋体"/>
              <w:sz w:val="32"/>
              <w:szCs w:val="32"/>
            </w:rPr>
            <w:fldChar w:fldCharType="separate"/>
          </w:r>
          <w:sdt>
            <w:sdtPr>
              <w:rPr>
                <w:rFonts w:hint="eastAsia" w:ascii="宋体" w:hAnsi="宋体" w:eastAsia="宋体" w:cs="宋体"/>
                <w:kern w:val="2"/>
                <w:sz w:val="32"/>
                <w:szCs w:val="32"/>
                <w:lang w:val="en-US" w:eastAsia="zh-CN" w:bidi="ar-SA"/>
              </w:rPr>
              <w:id w:val="357570069"/>
              <w:placeholder>
                <w:docPart w:val="{90713ec6-7525-4849-9e29-6fe9cf4260a5}"/>
              </w:placeholder>
            </w:sdtPr>
            <w:sdtEndPr>
              <w:rPr>
                <w:rFonts w:hint="eastAsia" w:ascii="宋体" w:hAnsi="宋体" w:eastAsia="宋体" w:cs="宋体"/>
                <w:kern w:val="2"/>
                <w:sz w:val="32"/>
                <w:szCs w:val="32"/>
                <w:lang w:val="en-US" w:eastAsia="zh-CN" w:bidi="ar-SA"/>
              </w:rPr>
            </w:sdtEndPr>
            <w:sdtContent>
              <w:r>
                <w:rPr>
                  <w:rFonts w:hint="eastAsia" w:ascii="宋体" w:hAnsi="宋体" w:eastAsia="宋体" w:cs="宋体"/>
                  <w:sz w:val="32"/>
                  <w:szCs w:val="32"/>
                </w:rPr>
                <w:t>第四节 严格评估考核</w:t>
              </w:r>
            </w:sdtContent>
          </w:sdt>
          <w:r>
            <w:rPr>
              <w:rFonts w:hint="eastAsia" w:ascii="宋体" w:hAnsi="宋体" w:eastAsia="宋体" w:cs="宋体"/>
              <w:sz w:val="32"/>
              <w:szCs w:val="32"/>
            </w:rPr>
            <w:tab/>
          </w:r>
          <w:bookmarkStart w:id="58" w:name="_Toc517717901_WPSOffice_Level2Page"/>
          <w:r>
            <w:rPr>
              <w:rFonts w:hint="eastAsia" w:ascii="宋体" w:hAnsi="宋体" w:eastAsia="宋体" w:cs="宋体"/>
              <w:sz w:val="32"/>
              <w:szCs w:val="32"/>
            </w:rPr>
            <w:t>8</w:t>
          </w:r>
          <w:bookmarkEnd w:id="58"/>
          <w:r>
            <w:rPr>
              <w:rFonts w:hint="eastAsia" w:ascii="宋体" w:hAnsi="宋体" w:eastAsia="宋体" w:cs="宋体"/>
              <w:sz w:val="32"/>
              <w:szCs w:val="32"/>
              <w:lang w:val="en-US" w:eastAsia="zh-CN"/>
            </w:rPr>
            <w:t>1</w:t>
          </w:r>
          <w:r>
            <w:rPr>
              <w:rFonts w:hint="eastAsia" w:ascii="宋体" w:hAnsi="宋体" w:eastAsia="宋体" w:cs="宋体"/>
              <w:sz w:val="32"/>
              <w:szCs w:val="32"/>
            </w:rPr>
            <w:fldChar w:fldCharType="end"/>
          </w:r>
        </w:p>
        <w:bookmarkEnd w:id="0"/>
        <w:p>
          <w:pPr>
            <w:pStyle w:val="43"/>
            <w:tabs>
              <w:tab w:val="right" w:leader="dot" w:pos="8300"/>
            </w:tabs>
          </w:pPr>
        </w:p>
      </w:sdtContent>
    </w:sdt>
    <w:p>
      <w:pPr>
        <w:spacing w:line="500" w:lineRule="exact"/>
        <w:jc w:val="center"/>
        <w:rPr>
          <w:rFonts w:ascii="方正小标宋简体" w:hAnsi="方正小标宋简体" w:eastAsia="方正小标宋简体" w:cs="方正小标宋简体"/>
          <w:sz w:val="44"/>
          <w:szCs w:val="44"/>
        </w:rPr>
      </w:pPr>
    </w:p>
    <w:p>
      <w:pPr>
        <w:spacing w:line="500" w:lineRule="exact"/>
        <w:jc w:val="center"/>
        <w:rPr>
          <w:rFonts w:ascii="方正小标宋简体" w:hAnsi="方正小标宋简体" w:eastAsia="方正小标宋简体" w:cs="方正小标宋简体"/>
          <w:sz w:val="44"/>
          <w:szCs w:val="44"/>
        </w:rPr>
      </w:pPr>
    </w:p>
    <w:p>
      <w:pPr>
        <w:spacing w:line="500" w:lineRule="exact"/>
        <w:jc w:val="center"/>
        <w:rPr>
          <w:rFonts w:ascii="方正小标宋简体" w:hAnsi="方正小标宋简体" w:eastAsia="方正小标宋简体" w:cs="方正小标宋简体"/>
          <w:sz w:val="44"/>
          <w:szCs w:val="44"/>
        </w:rPr>
      </w:pPr>
    </w:p>
    <w:p>
      <w:pPr>
        <w:spacing w:line="500" w:lineRule="exact"/>
        <w:jc w:val="center"/>
        <w:rPr>
          <w:rFonts w:ascii="方正小标宋简体" w:hAnsi="方正小标宋简体" w:eastAsia="方正小标宋简体" w:cs="方正小标宋简体"/>
          <w:sz w:val="44"/>
          <w:szCs w:val="44"/>
        </w:rPr>
      </w:pPr>
    </w:p>
    <w:p>
      <w:pPr>
        <w:spacing w:line="500" w:lineRule="exact"/>
        <w:jc w:val="center"/>
        <w:rPr>
          <w:rFonts w:ascii="方正小标宋简体" w:hAnsi="方正小标宋简体" w:eastAsia="方正小标宋简体" w:cs="方正小标宋简体"/>
          <w:sz w:val="44"/>
          <w:szCs w:val="44"/>
        </w:rPr>
        <w:sectPr>
          <w:footerReference r:id="rId6" w:type="default"/>
          <w:pgSz w:w="11900" w:h="16840"/>
          <w:pgMar w:top="1440" w:right="1800" w:bottom="1440" w:left="1800" w:header="851" w:footer="992" w:gutter="0"/>
          <w:pgBorders>
            <w:top w:val="none" w:sz="0" w:space="0"/>
            <w:left w:val="none" w:sz="0" w:space="0"/>
            <w:bottom w:val="none" w:sz="0" w:space="0"/>
            <w:right w:val="none" w:sz="0" w:space="0"/>
          </w:pgBorders>
          <w:pgNumType w:fmt="numberInDash" w:start="1"/>
          <w:cols w:space="425" w:num="1"/>
          <w:docGrid w:type="lines" w:linePitch="312" w:charSpace="0"/>
        </w:sectPr>
      </w:pPr>
    </w:p>
    <w:bookmarkEnd w:id="1"/>
    <w:bookmarkEnd w:id="2"/>
    <w:bookmarkEnd w:id="3"/>
    <w:p>
      <w:pPr>
        <w:jc w:val="center"/>
        <w:rPr>
          <w:rFonts w:hint="eastAsia" w:ascii="仿宋" w:hAnsi="仿宋" w:eastAsia="仿宋" w:cs="仿宋"/>
          <w:sz w:val="32"/>
          <w:szCs w:val="32"/>
        </w:rPr>
      </w:pPr>
      <w:bookmarkStart w:id="59" w:name="_Toc13534"/>
      <w:bookmarkStart w:id="60" w:name="_Toc17403"/>
      <w:bookmarkStart w:id="61" w:name="_Toc27771"/>
      <w:bookmarkStart w:id="62" w:name="_Toc23741"/>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sz w:val="44"/>
          <w:szCs w:val="44"/>
        </w:rPr>
      </w:pPr>
      <w:bookmarkStart w:id="63" w:name="_Toc729357472_WPSOffice_Level1"/>
      <w:r>
        <w:rPr>
          <w:rFonts w:hint="eastAsia" w:ascii="方正小标宋简体" w:hAnsi="方正小标宋简体" w:eastAsia="方正小标宋简体" w:cs="方正小标宋简体"/>
          <w:sz w:val="44"/>
          <w:szCs w:val="44"/>
        </w:rPr>
        <w:t xml:space="preserve">前 </w:t>
      </w:r>
      <w:r>
        <w:rPr>
          <w:rFonts w:hint="eastAsia" w:ascii="方正小标宋简体" w:hAnsi="方正小标宋简体" w:eastAsia="方正小标宋简体" w:cs="方正小标宋简体"/>
          <w:sz w:val="44"/>
          <w:szCs w:val="44"/>
          <w:lang w:val="en-US" w:eastAsia="zh-CN"/>
        </w:rPr>
        <w:t xml:space="preserve"> </w:t>
      </w:r>
      <w:r>
        <w:rPr>
          <w:rFonts w:hint="eastAsia" w:ascii="方正小标宋简体" w:hAnsi="方正小标宋简体" w:eastAsia="方正小标宋简体" w:cs="方正小标宋简体"/>
          <w:sz w:val="44"/>
          <w:szCs w:val="44"/>
        </w:rPr>
        <w:t>言</w:t>
      </w:r>
      <w:bookmarkEnd w:id="59"/>
      <w:bookmarkEnd w:id="60"/>
      <w:bookmarkEnd w:id="61"/>
      <w:bookmarkEnd w:id="62"/>
      <w:bookmarkEnd w:id="63"/>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sz w:val="32"/>
          <w:szCs w:val="32"/>
        </w:rPr>
      </w:pP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ascii="仿宋" w:hAnsi="仿宋" w:eastAsia="仿宋" w:cs="仿宋"/>
          <w:bCs/>
          <w:kern w:val="1"/>
          <w:sz w:val="32"/>
          <w:szCs w:val="32"/>
        </w:rPr>
      </w:pPr>
      <w:r>
        <w:rPr>
          <w:rFonts w:hint="eastAsia" w:ascii="仿宋" w:hAnsi="仿宋" w:eastAsia="仿宋" w:cs="仿宋"/>
          <w:sz w:val="32"/>
          <w:szCs w:val="32"/>
        </w:rPr>
        <w:t>“十四五”时期是我国乘势而上开启全面建设社会主义现代化国家新征程、向第二个百年奋斗目标进军的第一个五年，也是</w:t>
      </w:r>
      <w:r>
        <w:rPr>
          <w:rFonts w:hint="eastAsia" w:ascii="仿宋" w:hAnsi="仿宋" w:eastAsia="仿宋" w:cs="仿宋"/>
          <w:sz w:val="32"/>
          <w:szCs w:val="32"/>
          <w:lang w:eastAsia="zh-CN"/>
        </w:rPr>
        <w:t>我盟</w:t>
      </w:r>
      <w:r>
        <w:rPr>
          <w:rFonts w:hint="eastAsia" w:ascii="仿宋" w:hAnsi="仿宋" w:eastAsia="仿宋" w:cs="仿宋"/>
          <w:sz w:val="32"/>
          <w:szCs w:val="32"/>
        </w:rPr>
        <w:t>探索走好以生态优先、绿色发展为导向的高质量发展新路子的关键时期</w:t>
      </w:r>
      <w:r>
        <w:rPr>
          <w:rFonts w:hint="eastAsia" w:ascii="仿宋" w:hAnsi="仿宋" w:eastAsia="仿宋" w:cs="仿宋"/>
          <w:sz w:val="32"/>
          <w:szCs w:val="32"/>
          <w:lang w:eastAsia="zh-CN"/>
        </w:rPr>
        <w:t>，</w:t>
      </w:r>
      <w:r>
        <w:rPr>
          <w:rFonts w:hint="eastAsia" w:ascii="仿宋" w:hAnsi="仿宋" w:eastAsia="仿宋" w:cs="仿宋"/>
          <w:sz w:val="32"/>
          <w:szCs w:val="32"/>
        </w:rPr>
        <w:t>做好这一时期“三农三牧”工作任务艰巨、意义重大。</w:t>
      </w:r>
      <w:r>
        <w:rPr>
          <w:rFonts w:hint="eastAsia" w:ascii="仿宋" w:hAnsi="仿宋" w:eastAsia="仿宋" w:cs="仿宋"/>
          <w:sz w:val="32"/>
          <w:szCs w:val="32"/>
          <w:lang w:eastAsia="zh-CN"/>
        </w:rPr>
        <w:t>为</w:t>
      </w:r>
      <w:r>
        <w:rPr>
          <w:rFonts w:hint="eastAsia" w:ascii="仿宋" w:hAnsi="仿宋" w:eastAsia="仿宋" w:cs="仿宋"/>
          <w:sz w:val="32"/>
          <w:szCs w:val="32"/>
        </w:rPr>
        <w:t>深入贯彻落实习近平总书记</w:t>
      </w:r>
      <w:r>
        <w:rPr>
          <w:rFonts w:hint="eastAsia" w:ascii="仿宋" w:hAnsi="仿宋" w:eastAsia="仿宋" w:cs="仿宋"/>
          <w:sz w:val="32"/>
          <w:szCs w:val="32"/>
          <w:lang w:eastAsia="zh-CN"/>
        </w:rPr>
        <w:t>关于“三农”工作重要论述和对内蒙古重要讲话重要指示批示精神</w:t>
      </w:r>
      <w:r>
        <w:rPr>
          <w:rFonts w:hint="eastAsia" w:ascii="仿宋" w:hAnsi="仿宋" w:eastAsia="仿宋" w:cs="仿宋"/>
          <w:sz w:val="32"/>
          <w:szCs w:val="32"/>
        </w:rPr>
        <w:t>，全面实施乡村振兴战略，</w:t>
      </w:r>
      <w:r>
        <w:rPr>
          <w:rFonts w:hint="eastAsia" w:ascii="仿宋" w:hAnsi="仿宋" w:eastAsia="仿宋" w:cs="仿宋"/>
          <w:sz w:val="32"/>
          <w:szCs w:val="32"/>
          <w:lang w:eastAsia="zh-CN"/>
        </w:rPr>
        <w:t>稳步促进</w:t>
      </w:r>
      <w:r>
        <w:rPr>
          <w:rFonts w:hint="eastAsia" w:ascii="仿宋" w:hAnsi="仿宋" w:eastAsia="仿宋" w:cs="仿宋"/>
          <w:sz w:val="32"/>
          <w:szCs w:val="32"/>
        </w:rPr>
        <w:t>农牧业农村牧区现代化</w:t>
      </w:r>
      <w:r>
        <w:rPr>
          <w:rFonts w:hint="eastAsia" w:ascii="仿宋" w:hAnsi="仿宋" w:eastAsia="仿宋" w:cs="仿宋"/>
          <w:sz w:val="32"/>
          <w:szCs w:val="32"/>
          <w:lang w:eastAsia="zh-CN"/>
        </w:rPr>
        <w:t>发展</w:t>
      </w:r>
      <w:r>
        <w:rPr>
          <w:rFonts w:hint="eastAsia" w:ascii="仿宋" w:hAnsi="仿宋" w:eastAsia="仿宋" w:cs="仿宋"/>
          <w:sz w:val="32"/>
          <w:szCs w:val="32"/>
        </w:rPr>
        <w:t>，不断提</w:t>
      </w:r>
      <w:r>
        <w:rPr>
          <w:rFonts w:hint="eastAsia" w:ascii="仿宋" w:hAnsi="仿宋" w:eastAsia="仿宋" w:cs="仿宋"/>
          <w:sz w:val="32"/>
          <w:szCs w:val="32"/>
          <w:lang w:eastAsia="zh-CN"/>
        </w:rPr>
        <w:t>升</w:t>
      </w:r>
      <w:r>
        <w:rPr>
          <w:rFonts w:hint="eastAsia" w:ascii="仿宋" w:hAnsi="仿宋" w:eastAsia="仿宋" w:cs="仿宋"/>
          <w:sz w:val="32"/>
          <w:szCs w:val="32"/>
        </w:rPr>
        <w:t>农牧民</w:t>
      </w:r>
      <w:r>
        <w:rPr>
          <w:rFonts w:hint="eastAsia" w:ascii="仿宋" w:hAnsi="仿宋" w:eastAsia="仿宋" w:cs="仿宋"/>
          <w:sz w:val="32"/>
          <w:szCs w:val="32"/>
          <w:lang w:eastAsia="zh-CN"/>
        </w:rPr>
        <w:t>生产</w:t>
      </w:r>
      <w:r>
        <w:rPr>
          <w:rFonts w:hint="eastAsia" w:ascii="仿宋" w:hAnsi="仿宋" w:eastAsia="仿宋" w:cs="仿宋"/>
          <w:sz w:val="32"/>
          <w:szCs w:val="32"/>
        </w:rPr>
        <w:t>生活水平，根据《内蒙古自治区“十四五”推进农牧业农村牧区现代化发展规划》和《锡林郭勒盟国民经济和社会发展第十四个五年规划和2035年远景目标纲要》</w:t>
      </w:r>
      <w:r>
        <w:rPr>
          <w:rFonts w:hint="eastAsia" w:ascii="仿宋" w:hAnsi="仿宋" w:eastAsia="仿宋" w:cs="仿宋"/>
          <w:sz w:val="32"/>
          <w:szCs w:val="32"/>
          <w:lang w:eastAsia="zh-CN"/>
        </w:rPr>
        <w:t>，</w:t>
      </w:r>
      <w:r>
        <w:rPr>
          <w:rFonts w:hint="eastAsia" w:ascii="仿宋" w:hAnsi="仿宋" w:eastAsia="仿宋" w:cs="仿宋"/>
          <w:sz w:val="32"/>
          <w:szCs w:val="32"/>
        </w:rPr>
        <w:t>编制</w:t>
      </w:r>
      <w:r>
        <w:rPr>
          <w:rFonts w:hint="eastAsia" w:ascii="仿宋" w:hAnsi="仿宋" w:eastAsia="仿宋" w:cs="仿宋"/>
          <w:sz w:val="32"/>
          <w:szCs w:val="32"/>
          <w:lang w:eastAsia="zh-CN"/>
        </w:rPr>
        <w:t>本规划</w:t>
      </w:r>
      <w:r>
        <w:rPr>
          <w:rFonts w:hint="eastAsia" w:ascii="仿宋" w:hAnsi="仿宋" w:eastAsia="仿宋" w:cs="仿宋"/>
          <w:bCs/>
          <w:kern w:val="1"/>
          <w:sz w:val="32"/>
          <w:szCs w:val="32"/>
        </w:rPr>
        <w:t>。</w:t>
      </w:r>
    </w:p>
    <w:p>
      <w:pPr>
        <w:pStyle w:val="2"/>
        <w:keepNext w:val="0"/>
        <w:keepLines w:val="0"/>
        <w:pageBreakBefore w:val="0"/>
        <w:widowControl w:val="0"/>
        <w:kinsoku/>
        <w:wordWrap/>
        <w:overflowPunct/>
        <w:topLinePunct w:val="0"/>
        <w:autoSpaceDE/>
        <w:autoSpaceDN/>
        <w:bidi w:val="0"/>
        <w:adjustRightInd/>
        <w:snapToGrid/>
        <w:spacing w:line="600" w:lineRule="exact"/>
        <w:textAlignment w:val="auto"/>
        <w:rPr>
          <w:rFonts w:ascii="仿宋" w:hAnsi="仿宋" w:eastAsia="仿宋" w:cs="仿宋"/>
          <w:bCs/>
          <w:kern w:val="1"/>
        </w:rPr>
      </w:pPr>
    </w:p>
    <w:p>
      <w:pPr>
        <w:pageBreakBefore w:val="0"/>
        <w:widowControl w:val="0"/>
        <w:kinsoku/>
        <w:wordWrap/>
        <w:overflowPunct/>
        <w:topLinePunct w:val="0"/>
        <w:autoSpaceDE/>
        <w:autoSpaceDN/>
        <w:bidi w:val="0"/>
        <w:adjustRightInd/>
        <w:spacing w:line="600" w:lineRule="exact"/>
        <w:textAlignment w:val="auto"/>
        <w:rPr>
          <w:rFonts w:ascii="仿宋" w:hAnsi="仿宋" w:eastAsia="仿宋" w:cs="仿宋"/>
          <w:bCs/>
          <w:kern w:val="1"/>
          <w:sz w:val="32"/>
          <w:szCs w:val="32"/>
        </w:rPr>
      </w:pPr>
    </w:p>
    <w:p>
      <w:pPr>
        <w:pStyle w:val="2"/>
        <w:rPr>
          <w:rFonts w:ascii="仿宋" w:hAnsi="仿宋" w:eastAsia="仿宋" w:cs="仿宋"/>
          <w:bCs/>
          <w:kern w:val="1"/>
          <w:sz w:val="32"/>
          <w:szCs w:val="32"/>
        </w:rPr>
      </w:pPr>
    </w:p>
    <w:p/>
    <w:p>
      <w:pPr>
        <w:rPr>
          <w:rFonts w:ascii="仿宋" w:hAnsi="仿宋" w:eastAsia="仿宋" w:cs="仿宋"/>
          <w:bCs/>
          <w:kern w:val="1"/>
          <w:sz w:val="32"/>
          <w:szCs w:val="32"/>
        </w:rPr>
      </w:pPr>
    </w:p>
    <w:p>
      <w:pPr>
        <w:pStyle w:val="2"/>
      </w:pPr>
    </w:p>
    <w:p/>
    <w:p>
      <w:pPr>
        <w:pStyle w:val="2"/>
      </w:pPr>
    </w:p>
    <w:p/>
    <w:p/>
    <w:p>
      <w:pPr>
        <w:pStyle w:val="2"/>
        <w:pageBreakBefore w:val="0"/>
        <w:widowControl w:val="0"/>
        <w:kinsoku/>
        <w:wordWrap/>
        <w:overflowPunct/>
        <w:topLinePunct w:val="0"/>
        <w:autoSpaceDE/>
        <w:autoSpaceDN/>
        <w:bidi w:val="0"/>
        <w:adjustRightInd/>
        <w:spacing w:line="600" w:lineRule="exact"/>
        <w:textAlignment w:val="auto"/>
        <w:rPr>
          <w:rFonts w:hint="eastAsia" w:ascii="仿宋" w:hAnsi="仿宋" w:eastAsia="仿宋" w:cs="仿宋"/>
        </w:rPr>
      </w:pPr>
    </w:p>
    <w:p>
      <w:pPr>
        <w:jc w:val="center"/>
        <w:rPr>
          <w:sz w:val="32"/>
          <w:szCs w:val="32"/>
        </w:rPr>
      </w:pPr>
      <w:bookmarkStart w:id="64" w:name="_Toc23278"/>
      <w:bookmarkStart w:id="65" w:name="_Toc26710"/>
      <w:bookmarkStart w:id="66" w:name="_Toc1310849214_WPSOffice_Level1"/>
      <w:bookmarkStart w:id="67" w:name="_Toc27969"/>
      <w:bookmarkStart w:id="68" w:name="_Toc20842"/>
      <w:r>
        <w:rPr>
          <w:rFonts w:hint="eastAsia" w:ascii="方正小标宋简体" w:hAnsi="方正小标宋简体" w:eastAsia="方正小标宋简体" w:cs="方正小标宋简体"/>
          <w:sz w:val="44"/>
          <w:szCs w:val="44"/>
        </w:rPr>
        <w:t>第一章 发展基础及环境</w:t>
      </w:r>
      <w:bookmarkEnd w:id="64"/>
      <w:bookmarkEnd w:id="65"/>
      <w:bookmarkEnd w:id="66"/>
      <w:bookmarkEnd w:id="67"/>
      <w:bookmarkEnd w:id="68"/>
    </w:p>
    <w:p>
      <w:pPr>
        <w:pageBreakBefore w:val="0"/>
        <w:widowControl w:val="0"/>
        <w:kinsoku/>
        <w:wordWrap/>
        <w:overflowPunct/>
        <w:topLinePunct w:val="0"/>
        <w:autoSpaceDE/>
        <w:autoSpaceDN/>
        <w:bidi w:val="0"/>
        <w:adjustRightInd/>
        <w:snapToGrid/>
        <w:spacing w:line="600" w:lineRule="exact"/>
        <w:ind w:firstLine="640" w:firstLineChars="200"/>
        <w:textAlignment w:val="auto"/>
        <w:rPr>
          <w:rFonts w:ascii="仿宋" w:hAnsi="仿宋" w:eastAsia="仿宋" w:cstheme="minorBidi"/>
          <w:sz w:val="32"/>
          <w:szCs w:val="32"/>
        </w:rPr>
      </w:pPr>
      <w:r>
        <w:rPr>
          <w:rFonts w:hint="eastAsia" w:ascii="仿宋" w:hAnsi="仿宋" w:eastAsia="仿宋" w:cs="仿宋"/>
          <w:sz w:val="32"/>
          <w:szCs w:val="32"/>
        </w:rPr>
        <w:t>“十三五”时期，</w:t>
      </w:r>
      <w:r>
        <w:rPr>
          <w:rFonts w:hint="eastAsia" w:ascii="仿宋" w:hAnsi="仿宋" w:eastAsia="仿宋" w:cs="仿宋"/>
          <w:sz w:val="32"/>
          <w:szCs w:val="32"/>
          <w:lang w:eastAsia="zh-CN"/>
        </w:rPr>
        <w:t>锡林郭勒盟</w:t>
      </w:r>
      <w:r>
        <w:rPr>
          <w:rFonts w:hint="eastAsia" w:ascii="仿宋" w:hAnsi="仿宋" w:eastAsia="仿宋" w:cs="仿宋"/>
          <w:sz w:val="32"/>
          <w:szCs w:val="32"/>
        </w:rPr>
        <w:t>盟委、行署</w:t>
      </w:r>
      <w:r>
        <w:rPr>
          <w:rFonts w:hint="eastAsia" w:ascii="仿宋" w:hAnsi="仿宋" w:eastAsia="仿宋" w:cs="仿宋"/>
          <w:sz w:val="32"/>
          <w:szCs w:val="32"/>
          <w:lang w:eastAsia="zh-CN"/>
        </w:rPr>
        <w:t>坚持</w:t>
      </w:r>
      <w:r>
        <w:rPr>
          <w:rFonts w:hint="eastAsia" w:ascii="仿宋" w:hAnsi="仿宋" w:eastAsia="仿宋" w:cs="仿宋"/>
          <w:sz w:val="32"/>
          <w:szCs w:val="32"/>
        </w:rPr>
        <w:t>以习近平</w:t>
      </w:r>
      <w:r>
        <w:rPr>
          <w:rFonts w:hint="eastAsia" w:ascii="仿宋" w:hAnsi="仿宋" w:eastAsia="仿宋" w:cstheme="minorBidi"/>
          <w:sz w:val="32"/>
          <w:szCs w:val="32"/>
        </w:rPr>
        <w:t>新时代中国特色社会主义思想为指导，深入贯彻落实国家、自治区决策部署，始终把</w:t>
      </w:r>
      <w:r>
        <w:rPr>
          <w:rFonts w:ascii="仿宋" w:hAnsi="仿宋" w:eastAsia="仿宋" w:cstheme="minorBidi"/>
          <w:sz w:val="32"/>
          <w:szCs w:val="32"/>
        </w:rPr>
        <w:t>“三农三牧”作为</w:t>
      </w:r>
      <w:r>
        <w:rPr>
          <w:rFonts w:hint="eastAsia" w:ascii="仿宋" w:hAnsi="仿宋" w:eastAsia="仿宋" w:cstheme="minorBidi"/>
          <w:sz w:val="32"/>
          <w:szCs w:val="32"/>
        </w:rPr>
        <w:t>全</w:t>
      </w:r>
      <w:r>
        <w:rPr>
          <w:rFonts w:ascii="仿宋" w:hAnsi="仿宋" w:eastAsia="仿宋" w:cstheme="minorBidi"/>
          <w:sz w:val="32"/>
          <w:szCs w:val="32"/>
        </w:rPr>
        <w:t>盟工作重中之重，</w:t>
      </w:r>
      <w:r>
        <w:rPr>
          <w:rFonts w:hint="eastAsia" w:ascii="仿宋" w:hAnsi="仿宋" w:eastAsia="仿宋" w:cstheme="minorBidi"/>
          <w:sz w:val="32"/>
          <w:szCs w:val="32"/>
        </w:rPr>
        <w:t>以深化</w:t>
      </w:r>
      <w:r>
        <w:rPr>
          <w:rFonts w:ascii="仿宋" w:hAnsi="仿宋" w:eastAsia="仿宋" w:cstheme="minorBidi"/>
          <w:sz w:val="32"/>
          <w:szCs w:val="32"/>
        </w:rPr>
        <w:t>农牧业供给侧结构性改革</w:t>
      </w:r>
      <w:r>
        <w:rPr>
          <w:rFonts w:hint="eastAsia" w:ascii="仿宋" w:hAnsi="仿宋" w:eastAsia="仿宋" w:cstheme="minorBidi"/>
          <w:sz w:val="32"/>
          <w:szCs w:val="32"/>
        </w:rPr>
        <w:t>为主线</w:t>
      </w:r>
      <w:r>
        <w:rPr>
          <w:rFonts w:ascii="仿宋" w:hAnsi="仿宋" w:eastAsia="仿宋" w:cstheme="minorBidi"/>
          <w:sz w:val="32"/>
          <w:szCs w:val="32"/>
        </w:rPr>
        <w:t>，</w:t>
      </w:r>
      <w:r>
        <w:rPr>
          <w:rFonts w:hint="eastAsia" w:ascii="仿宋" w:hAnsi="仿宋" w:eastAsia="仿宋" w:cstheme="minorBidi"/>
          <w:sz w:val="32"/>
          <w:szCs w:val="32"/>
        </w:rPr>
        <w:t>加快转变农牧业发展方式</w:t>
      </w:r>
      <w:r>
        <w:rPr>
          <w:rFonts w:ascii="仿宋" w:hAnsi="仿宋" w:eastAsia="仿宋" w:cstheme="minorBidi"/>
          <w:sz w:val="32"/>
          <w:szCs w:val="32"/>
        </w:rPr>
        <w:t>，</w:t>
      </w:r>
      <w:r>
        <w:rPr>
          <w:rFonts w:hint="eastAsia" w:ascii="仿宋" w:hAnsi="仿宋" w:eastAsia="仿宋" w:cstheme="minorBidi"/>
          <w:sz w:val="32"/>
          <w:szCs w:val="32"/>
        </w:rPr>
        <w:t>全面深化农村</w:t>
      </w:r>
      <w:r>
        <w:rPr>
          <w:rFonts w:ascii="仿宋" w:hAnsi="仿宋" w:eastAsia="仿宋" w:cstheme="minorBidi"/>
          <w:sz w:val="32"/>
          <w:szCs w:val="32"/>
        </w:rPr>
        <w:t>牧区改革，</w:t>
      </w:r>
      <w:r>
        <w:rPr>
          <w:rFonts w:hint="eastAsia" w:ascii="仿宋" w:hAnsi="仿宋" w:eastAsia="仿宋" w:cstheme="minorBidi"/>
          <w:sz w:val="32"/>
          <w:szCs w:val="32"/>
        </w:rPr>
        <w:t>农牧业农村牧区各项工作</w:t>
      </w:r>
      <w:r>
        <w:rPr>
          <w:rFonts w:ascii="仿宋" w:hAnsi="仿宋" w:eastAsia="仿宋" w:cstheme="minorBidi"/>
          <w:sz w:val="32"/>
          <w:szCs w:val="32"/>
        </w:rPr>
        <w:t>取得了新</w:t>
      </w:r>
      <w:r>
        <w:rPr>
          <w:rFonts w:hint="eastAsia" w:ascii="仿宋" w:hAnsi="仿宋" w:eastAsia="仿宋" w:cstheme="minorBidi"/>
          <w:sz w:val="32"/>
          <w:szCs w:val="32"/>
          <w:lang w:eastAsia="zh-CN"/>
        </w:rPr>
        <w:t>成效</w:t>
      </w:r>
      <w:r>
        <w:rPr>
          <w:rFonts w:ascii="仿宋" w:hAnsi="仿宋" w:eastAsia="仿宋" w:cstheme="minorBidi"/>
          <w:sz w:val="32"/>
          <w:szCs w:val="32"/>
        </w:rPr>
        <w:t>。</w:t>
      </w:r>
      <w:bookmarkStart w:id="69" w:name="_Toc4315"/>
      <w:bookmarkStart w:id="70" w:name="_Toc60561645"/>
      <w:bookmarkStart w:id="71" w:name="_Toc58870061"/>
      <w:bookmarkStart w:id="72" w:name="_Toc30978"/>
      <w:bookmarkStart w:id="73" w:name="_Toc2259"/>
      <w:bookmarkStart w:id="74" w:name="_Toc59000469"/>
    </w:p>
    <w:p>
      <w:pPr>
        <w:pStyle w:val="4"/>
        <w:pageBreakBefore w:val="0"/>
        <w:widowControl w:val="0"/>
        <w:kinsoku/>
        <w:wordWrap/>
        <w:overflowPunct/>
        <w:topLinePunct w:val="0"/>
        <w:autoSpaceDE/>
        <w:autoSpaceDN/>
        <w:bidi w:val="0"/>
        <w:adjustRightInd/>
        <w:snapToGrid/>
        <w:spacing w:before="156" w:beforeLines="50" w:after="156" w:afterLines="50" w:line="600" w:lineRule="exact"/>
        <w:textAlignment w:val="auto"/>
        <w:rPr>
          <w:rFonts w:ascii="Calibri Light" w:hAnsi="Calibri Light" w:cs="Times New Roman"/>
          <w:b w:val="0"/>
          <w:bCs w:val="0"/>
          <w:sz w:val="32"/>
          <w:szCs w:val="32"/>
        </w:rPr>
      </w:pPr>
      <w:bookmarkStart w:id="75" w:name="_Toc27331"/>
      <w:bookmarkStart w:id="76" w:name="_Toc22713"/>
      <w:bookmarkStart w:id="77" w:name="_Toc1310849214_WPSOffice_Level2"/>
      <w:bookmarkStart w:id="78" w:name="_Toc30736"/>
      <w:bookmarkStart w:id="79" w:name="_Toc121"/>
      <w:r>
        <w:rPr>
          <w:rFonts w:hint="eastAsia" w:ascii="Calibri Light" w:hAnsi="Calibri Light" w:cs="Times New Roman"/>
          <w:b w:val="0"/>
          <w:bCs w:val="0"/>
          <w:sz w:val="32"/>
          <w:szCs w:val="32"/>
        </w:rPr>
        <w:t>第一节 发展</w:t>
      </w:r>
      <w:bookmarkEnd w:id="69"/>
      <w:bookmarkEnd w:id="70"/>
      <w:bookmarkEnd w:id="71"/>
      <w:bookmarkEnd w:id="72"/>
      <w:bookmarkEnd w:id="73"/>
      <w:bookmarkEnd w:id="74"/>
      <w:bookmarkStart w:id="80" w:name="_Toc24432"/>
      <w:bookmarkStart w:id="81" w:name="_Toc59000471"/>
      <w:bookmarkStart w:id="82" w:name="_Toc28116"/>
      <w:bookmarkStart w:id="83" w:name="_Toc58870063"/>
      <w:bookmarkStart w:id="84" w:name="_Toc25156"/>
      <w:r>
        <w:rPr>
          <w:rFonts w:hint="eastAsia" w:ascii="Calibri Light" w:hAnsi="Calibri Light" w:cs="Times New Roman"/>
          <w:b w:val="0"/>
          <w:bCs w:val="0"/>
          <w:sz w:val="32"/>
          <w:szCs w:val="32"/>
        </w:rPr>
        <w:t>基础</w:t>
      </w:r>
      <w:bookmarkEnd w:id="75"/>
      <w:bookmarkEnd w:id="76"/>
      <w:bookmarkEnd w:id="77"/>
      <w:bookmarkEnd w:id="78"/>
      <w:bookmarkEnd w:id="79"/>
    </w:p>
    <w:bookmarkEnd w:id="80"/>
    <w:bookmarkEnd w:id="81"/>
    <w:bookmarkEnd w:id="82"/>
    <w:bookmarkEnd w:id="83"/>
    <w:bookmarkEnd w:id="84"/>
    <w:p>
      <w:pPr>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sz w:val="32"/>
          <w:szCs w:val="32"/>
        </w:rPr>
      </w:pPr>
      <w:r>
        <w:rPr>
          <w:rFonts w:hint="eastAsia" w:ascii="仿宋" w:hAnsi="仿宋" w:eastAsia="仿宋" w:cs="仿宋"/>
          <w:b/>
          <w:bCs w:val="0"/>
          <w:sz w:val="32"/>
          <w:szCs w:val="32"/>
        </w:rPr>
        <w:t>农牧业综合生产能力</w:t>
      </w:r>
      <w:r>
        <w:rPr>
          <w:rFonts w:hint="eastAsia" w:ascii="仿宋" w:hAnsi="仿宋" w:eastAsia="仿宋" w:cs="仿宋"/>
          <w:b/>
          <w:bCs w:val="0"/>
          <w:sz w:val="32"/>
          <w:szCs w:val="32"/>
          <w:lang w:eastAsia="zh-CN"/>
        </w:rPr>
        <w:t>稳步</w:t>
      </w:r>
      <w:r>
        <w:rPr>
          <w:rFonts w:hint="eastAsia" w:ascii="仿宋" w:hAnsi="仿宋" w:eastAsia="仿宋" w:cs="仿宋"/>
          <w:b/>
          <w:bCs w:val="0"/>
          <w:sz w:val="32"/>
          <w:szCs w:val="32"/>
        </w:rPr>
        <w:t>提升。</w:t>
      </w:r>
      <w:r>
        <w:rPr>
          <w:rFonts w:hint="eastAsia" w:ascii="仿宋" w:hAnsi="仿宋" w:eastAsia="仿宋" w:cs="仿宋"/>
          <w:sz w:val="32"/>
          <w:szCs w:val="32"/>
        </w:rPr>
        <w:t>因地制宜实施“减羊增牛”战略，2020年，全盟肉牛存栏172.96万头，比2015年增</w:t>
      </w:r>
      <w:r>
        <w:rPr>
          <w:rFonts w:hint="eastAsia" w:ascii="仿宋" w:hAnsi="仿宋" w:eastAsia="仿宋" w:cs="仿宋"/>
          <w:sz w:val="32"/>
          <w:szCs w:val="32"/>
          <w:lang w:eastAsia="zh-CN"/>
        </w:rPr>
        <w:t>长</w:t>
      </w:r>
      <w:r>
        <w:rPr>
          <w:rFonts w:hint="eastAsia" w:ascii="仿宋" w:hAnsi="仿宋" w:eastAsia="仿宋" w:cs="仿宋"/>
          <w:sz w:val="32"/>
          <w:szCs w:val="32"/>
        </w:rPr>
        <w:t>25%，其中</w:t>
      </w:r>
      <w:r>
        <w:rPr>
          <w:rFonts w:hint="eastAsia" w:ascii="仿宋" w:hAnsi="仿宋" w:eastAsia="仿宋" w:cs="仿宋"/>
          <w:sz w:val="32"/>
          <w:szCs w:val="32"/>
          <w:lang w:eastAsia="zh-CN"/>
        </w:rPr>
        <w:t>：</w:t>
      </w:r>
      <w:r>
        <w:rPr>
          <w:rFonts w:hint="eastAsia" w:ascii="仿宋" w:hAnsi="仿宋" w:eastAsia="仿宋" w:cs="仿宋"/>
          <w:sz w:val="32"/>
          <w:szCs w:val="32"/>
        </w:rPr>
        <w:t>安格斯肉牛达到8万头，居全区首位；肉羊存栏1110.27万只，比2015年</w:t>
      </w:r>
      <w:r>
        <w:rPr>
          <w:rFonts w:hint="eastAsia" w:ascii="仿宋" w:hAnsi="仿宋" w:eastAsia="仿宋" w:cs="仿宋"/>
          <w:sz w:val="32"/>
          <w:szCs w:val="32"/>
          <w:lang w:eastAsia="zh-CN"/>
        </w:rPr>
        <w:t>下降</w:t>
      </w:r>
      <w:r>
        <w:rPr>
          <w:rFonts w:hint="eastAsia" w:ascii="仿宋" w:hAnsi="仿宋" w:eastAsia="仿宋" w:cs="仿宋"/>
          <w:sz w:val="32"/>
          <w:szCs w:val="32"/>
        </w:rPr>
        <w:t>20%</w:t>
      </w:r>
      <w:r>
        <w:rPr>
          <w:rFonts w:hint="eastAsia" w:ascii="仿宋" w:hAnsi="仿宋" w:eastAsia="仿宋" w:cs="仿宋"/>
          <w:sz w:val="32"/>
          <w:szCs w:val="32"/>
          <w:lang w:eastAsia="zh-CN"/>
        </w:rPr>
        <w:t>，畜牧业产业结构渐趋优化</w:t>
      </w:r>
      <w:r>
        <w:rPr>
          <w:rFonts w:hint="eastAsia" w:ascii="仿宋" w:hAnsi="仿宋" w:eastAsia="仿宋" w:cs="仿宋"/>
          <w:sz w:val="32"/>
          <w:szCs w:val="32"/>
        </w:rPr>
        <w:t>。牛羊肉</w:t>
      </w:r>
      <w:r>
        <w:rPr>
          <w:rFonts w:hint="eastAsia" w:ascii="仿宋" w:hAnsi="仿宋" w:eastAsia="仿宋" w:cs="仿宋"/>
          <w:sz w:val="32"/>
          <w:szCs w:val="32"/>
          <w:lang w:eastAsia="zh-CN"/>
        </w:rPr>
        <w:t>产量</w:t>
      </w:r>
      <w:r>
        <w:rPr>
          <w:rFonts w:hint="eastAsia" w:ascii="仿宋" w:hAnsi="仿宋" w:eastAsia="仿宋" w:cs="仿宋"/>
          <w:sz w:val="32"/>
          <w:szCs w:val="32"/>
        </w:rPr>
        <w:t>达到25.94万吨，比2015年增长4.1%</w:t>
      </w:r>
      <w:r>
        <w:rPr>
          <w:rFonts w:hint="eastAsia" w:ascii="仿宋" w:hAnsi="仿宋" w:eastAsia="仿宋" w:cs="仿宋"/>
          <w:sz w:val="32"/>
          <w:szCs w:val="32"/>
          <w:lang w:eastAsia="zh-CN"/>
        </w:rPr>
        <w:t>。</w:t>
      </w:r>
      <w:r>
        <w:rPr>
          <w:rFonts w:hint="eastAsia" w:ascii="仿宋" w:hAnsi="仿宋" w:eastAsia="仿宋" w:cs="仿宋"/>
          <w:sz w:val="32"/>
          <w:szCs w:val="32"/>
        </w:rPr>
        <w:t>落实草原生态保护政策，草原综合植被盖度达到</w:t>
      </w:r>
      <w:r>
        <w:rPr>
          <w:rFonts w:hint="eastAsia" w:ascii="仿宋" w:hAnsi="仿宋" w:eastAsia="仿宋" w:cs="仿宋"/>
          <w:sz w:val="32"/>
          <w:szCs w:val="32"/>
          <w:lang w:val="en-US" w:eastAsia="zh-CN"/>
        </w:rPr>
        <w:t>50.09</w:t>
      </w:r>
      <w:r>
        <w:rPr>
          <w:rFonts w:hint="eastAsia" w:ascii="仿宋" w:hAnsi="仿宋" w:eastAsia="仿宋" w:cs="仿宋"/>
          <w:sz w:val="32"/>
          <w:szCs w:val="32"/>
        </w:rPr>
        <w:t>%，</w:t>
      </w:r>
      <w:r>
        <w:rPr>
          <w:rFonts w:hint="eastAsia" w:ascii="仿宋" w:hAnsi="仿宋" w:eastAsia="仿宋" w:cs="仿宋"/>
          <w:sz w:val="32"/>
          <w:szCs w:val="32"/>
          <w:lang w:eastAsia="zh-CN"/>
        </w:rPr>
        <w:t>实现</w:t>
      </w:r>
      <w:r>
        <w:rPr>
          <w:rFonts w:hint="eastAsia" w:ascii="仿宋" w:hAnsi="仿宋" w:eastAsia="仿宋" w:cs="仿宋"/>
          <w:sz w:val="32"/>
          <w:szCs w:val="32"/>
        </w:rPr>
        <w:t>草原生态保护和畜牧业发展“双赢”。粮食产量达到46.5万吨，比2015年增长25%，种植业标准化生产面积达到240.29万亩，划定粮食生产功能区85万亩。</w:t>
      </w:r>
    </w:p>
    <w:p>
      <w:pPr>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sz w:val="32"/>
          <w:szCs w:val="32"/>
        </w:rPr>
      </w:pPr>
      <w:r>
        <w:rPr>
          <w:rFonts w:hint="eastAsia" w:ascii="仿宋" w:hAnsi="仿宋" w:eastAsia="仿宋" w:cs="仿宋"/>
          <w:b/>
          <w:bCs w:val="0"/>
          <w:sz w:val="32"/>
          <w:szCs w:val="32"/>
        </w:rPr>
        <w:t>三产融合发展格局基本形成。</w:t>
      </w:r>
      <w:r>
        <w:rPr>
          <w:rFonts w:hint="eastAsia" w:ascii="仿宋" w:hAnsi="仿宋" w:eastAsia="仿宋" w:cs="仿宋"/>
          <w:sz w:val="32"/>
          <w:szCs w:val="32"/>
        </w:rPr>
        <w:t>初步构建</w:t>
      </w:r>
      <w:r>
        <w:rPr>
          <w:rFonts w:hint="eastAsia" w:ascii="仿宋" w:hAnsi="仿宋" w:eastAsia="仿宋" w:cs="仿宋"/>
          <w:sz w:val="32"/>
          <w:szCs w:val="32"/>
          <w:lang w:eastAsia="zh-CN"/>
        </w:rPr>
        <w:t>集良种繁育、规模种养</w:t>
      </w:r>
      <w:r>
        <w:rPr>
          <w:rFonts w:hint="eastAsia" w:ascii="仿宋" w:hAnsi="仿宋" w:eastAsia="仿宋" w:cs="仿宋"/>
          <w:sz w:val="32"/>
          <w:szCs w:val="32"/>
        </w:rPr>
        <w:t>、</w:t>
      </w:r>
      <w:r>
        <w:rPr>
          <w:rFonts w:hint="eastAsia" w:ascii="仿宋" w:hAnsi="仿宋" w:eastAsia="仿宋" w:cs="仿宋"/>
          <w:sz w:val="32"/>
          <w:szCs w:val="32"/>
          <w:lang w:eastAsia="zh-CN"/>
        </w:rPr>
        <w:t>精深</w:t>
      </w:r>
      <w:r>
        <w:rPr>
          <w:rFonts w:hint="eastAsia" w:ascii="仿宋" w:hAnsi="仿宋" w:eastAsia="仿宋" w:cs="仿宋"/>
          <w:sz w:val="32"/>
          <w:szCs w:val="32"/>
        </w:rPr>
        <w:t>加工、</w:t>
      </w:r>
      <w:r>
        <w:rPr>
          <w:rFonts w:hint="eastAsia" w:ascii="仿宋" w:hAnsi="仿宋" w:eastAsia="仿宋" w:cs="仿宋"/>
          <w:sz w:val="32"/>
          <w:szCs w:val="32"/>
          <w:lang w:eastAsia="zh-CN"/>
        </w:rPr>
        <w:t>销售服务于一体的</w:t>
      </w:r>
      <w:r>
        <w:rPr>
          <w:rFonts w:hint="eastAsia" w:ascii="仿宋" w:hAnsi="仿宋" w:eastAsia="仿宋" w:cs="仿宋"/>
          <w:sz w:val="32"/>
          <w:szCs w:val="32"/>
        </w:rPr>
        <w:t>全产业链发展模式，农企利益联结机制</w:t>
      </w:r>
      <w:r>
        <w:rPr>
          <w:rFonts w:hint="eastAsia" w:ascii="仿宋" w:hAnsi="仿宋" w:eastAsia="仿宋" w:cs="仿宋"/>
          <w:sz w:val="32"/>
          <w:szCs w:val="32"/>
          <w:lang w:eastAsia="zh-CN"/>
        </w:rPr>
        <w:t>不断</w:t>
      </w:r>
      <w:r>
        <w:rPr>
          <w:rFonts w:hint="eastAsia" w:ascii="仿宋" w:hAnsi="仿宋" w:eastAsia="仿宋" w:cs="仿宋"/>
          <w:sz w:val="32"/>
          <w:szCs w:val="32"/>
        </w:rPr>
        <w:t>完善。创建国家产业集群1个、国家产业强镇2个、自治区产业园1个，农牧业龙头企业达到97家。年平均屠宰加工肉羊400万只、肉牛2万头，肉类产品精细分割率达到65%以上，农畜产品加工转化率达到67%。“锡林郭勒羊”成功跻身“2017中国百强农产品区域公用品牌”、“中国特色农产品优势区”</w:t>
      </w:r>
      <w:r>
        <w:rPr>
          <w:rFonts w:hint="eastAsia" w:ascii="仿宋" w:hAnsi="仿宋" w:eastAsia="仿宋" w:cs="仿宋"/>
          <w:color w:val="000000" w:themeColor="text1"/>
          <w:sz w:val="32"/>
          <w:szCs w:val="32"/>
        </w:rPr>
        <w:t>，</w:t>
      </w:r>
      <w:r>
        <w:rPr>
          <w:rFonts w:hint="eastAsia" w:ascii="仿宋" w:hAnsi="仿宋" w:eastAsia="仿宋" w:cs="仿宋"/>
          <w:sz w:val="32"/>
          <w:szCs w:val="32"/>
        </w:rPr>
        <w:t>“乌珠穆沁羊肉”和“苏尼特羊肉”成为国家原产地地理标志保护产品</w:t>
      </w:r>
      <w:r>
        <w:rPr>
          <w:rFonts w:hint="eastAsia" w:ascii="仿宋" w:hAnsi="仿宋" w:eastAsia="仿宋" w:cs="仿宋"/>
          <w:color w:val="000000" w:themeColor="text1"/>
          <w:sz w:val="32"/>
          <w:szCs w:val="32"/>
        </w:rPr>
        <w:t>，</w:t>
      </w:r>
      <w:r>
        <w:rPr>
          <w:rFonts w:hint="eastAsia" w:ascii="仿宋" w:hAnsi="仿宋" w:eastAsia="仿宋" w:cs="仿宋"/>
          <w:sz w:val="32"/>
          <w:szCs w:val="32"/>
        </w:rPr>
        <w:t>“锡林郭勒奶酪”成为中国农产品地理标志登记产品。</w:t>
      </w:r>
    </w:p>
    <w:p>
      <w:pPr>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sz w:val="32"/>
          <w:szCs w:val="32"/>
        </w:rPr>
      </w:pPr>
      <w:r>
        <w:rPr>
          <w:rFonts w:hint="eastAsia" w:ascii="仿宋" w:hAnsi="仿宋" w:eastAsia="仿宋" w:cs="仿宋"/>
          <w:b/>
          <w:bCs w:val="0"/>
          <w:sz w:val="32"/>
          <w:szCs w:val="32"/>
        </w:rPr>
        <w:t>农牧业科技水平稳步提高。</w:t>
      </w:r>
      <w:r>
        <w:rPr>
          <w:rFonts w:hint="eastAsia" w:ascii="仿宋" w:hAnsi="仿宋" w:eastAsia="仿宋" w:cs="仿宋"/>
          <w:sz w:val="32"/>
          <w:szCs w:val="32"/>
        </w:rPr>
        <w:t>重点围绕良种繁育、绿色种养、产地环境净化、机械化作业等农牧业生产关键环节，集成推广提质量、保安全、促循环的农牧业生产新技术、新模式，创建了一批长期稳定</w:t>
      </w:r>
      <w:r>
        <w:rPr>
          <w:rFonts w:hint="eastAsia" w:ascii="仿宋" w:hAnsi="仿宋" w:eastAsia="仿宋" w:cs="仿宋"/>
          <w:sz w:val="32"/>
          <w:szCs w:val="32"/>
          <w:lang w:eastAsia="zh-CN"/>
        </w:rPr>
        <w:t>的</w:t>
      </w:r>
      <w:r>
        <w:rPr>
          <w:rFonts w:hint="eastAsia" w:ascii="仿宋" w:hAnsi="仿宋" w:eastAsia="仿宋" w:cs="仿宋"/>
          <w:sz w:val="32"/>
          <w:szCs w:val="32"/>
        </w:rPr>
        <w:t>农牧业绿色生产试验示范推广基地，农技人员和农牧民现代技术运用能力明显提升。全盟畜牧业机械化率达到44%，</w:t>
      </w:r>
      <w:r>
        <w:rPr>
          <w:rFonts w:hint="eastAsia" w:ascii="仿宋" w:hAnsi="仿宋" w:eastAsia="仿宋" w:cs="仿宋"/>
          <w:color w:val="000000" w:themeColor="text1"/>
          <w:sz w:val="32"/>
          <w:szCs w:val="32"/>
        </w:rPr>
        <w:t>农作物耕种收综合机械化率达到90%，</w:t>
      </w:r>
      <w:r>
        <w:rPr>
          <w:rFonts w:hint="eastAsia" w:ascii="仿宋" w:hAnsi="仿宋" w:eastAsia="仿宋" w:cs="仿宋"/>
          <w:sz w:val="32"/>
          <w:szCs w:val="32"/>
        </w:rPr>
        <w:t>农牧业科技进步贡献率达到49.13%，30余项农牧业实用技术得到广泛推广应用。培育高素质农牧民6800余人，每年500余名农技人员接受能力提升培训，农牧业主推技术到位率达</w:t>
      </w:r>
      <w:r>
        <w:rPr>
          <w:rFonts w:hint="eastAsia" w:ascii="仿宋" w:hAnsi="仿宋" w:eastAsia="仿宋" w:cs="仿宋"/>
          <w:sz w:val="32"/>
          <w:szCs w:val="32"/>
          <w:lang w:eastAsia="zh-CN"/>
        </w:rPr>
        <w:t>到</w:t>
      </w:r>
      <w:r>
        <w:rPr>
          <w:rFonts w:hint="eastAsia" w:ascii="仿宋" w:hAnsi="仿宋" w:eastAsia="仿宋" w:cs="仿宋"/>
          <w:sz w:val="32"/>
          <w:szCs w:val="32"/>
        </w:rPr>
        <w:t>95%以上。坚持“产管”并举，绿色、有机、地理标志农畜产品总数达到60个。监管检测能力显著提升，质量安全形势稳中向好，农畜产品</w:t>
      </w:r>
      <w:r>
        <w:rPr>
          <w:rFonts w:hint="eastAsia" w:ascii="仿宋" w:hAnsi="仿宋" w:eastAsia="仿宋" w:cs="仿宋"/>
          <w:sz w:val="32"/>
          <w:szCs w:val="32"/>
          <w:lang w:eastAsia="zh-CN"/>
        </w:rPr>
        <w:t>检测</w:t>
      </w:r>
      <w:r>
        <w:rPr>
          <w:rFonts w:hint="eastAsia" w:ascii="仿宋" w:hAnsi="仿宋" w:eastAsia="仿宋" w:cs="仿宋"/>
          <w:sz w:val="32"/>
          <w:szCs w:val="32"/>
        </w:rPr>
        <w:t>合格率连续5年保持在98%以上。</w:t>
      </w:r>
    </w:p>
    <w:p>
      <w:pPr>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bCs/>
          <w:sz w:val="32"/>
          <w:szCs w:val="32"/>
        </w:rPr>
      </w:pPr>
      <w:bookmarkStart w:id="85" w:name="_Toc58870064"/>
      <w:bookmarkStart w:id="86" w:name="_Toc15620"/>
      <w:bookmarkStart w:id="87" w:name="_Toc58870065"/>
      <w:bookmarkStart w:id="88" w:name="_Toc7410"/>
      <w:bookmarkStart w:id="89" w:name="_Toc59000472"/>
      <w:bookmarkStart w:id="90" w:name="_Toc30866"/>
      <w:bookmarkStart w:id="91" w:name="_Toc20459"/>
      <w:bookmarkStart w:id="92" w:name="_Toc26280"/>
      <w:bookmarkStart w:id="93" w:name="_Toc59000473"/>
      <w:bookmarkStart w:id="94" w:name="_Toc9512"/>
      <w:r>
        <w:rPr>
          <w:rFonts w:hint="eastAsia" w:ascii="仿宋" w:hAnsi="仿宋" w:eastAsia="仿宋" w:cs="仿宋"/>
          <w:b/>
          <w:bCs w:val="0"/>
          <w:sz w:val="32"/>
          <w:szCs w:val="32"/>
        </w:rPr>
        <w:t>农村牧区人居环境持续改善。</w:t>
      </w:r>
      <w:r>
        <w:rPr>
          <w:rFonts w:hint="eastAsia" w:ascii="仿宋" w:hAnsi="仿宋" w:eastAsia="仿宋" w:cs="仿宋"/>
          <w:bCs/>
          <w:sz w:val="32"/>
          <w:szCs w:val="32"/>
        </w:rPr>
        <w:t>具备条件的苏木乡镇和建制嘎查村硬化路实现全覆盖，农村牧区饮水安全工程实现全覆盖，电网供电可靠率达到99.</w:t>
      </w:r>
      <w:r>
        <w:rPr>
          <w:rFonts w:hint="eastAsia" w:ascii="仿宋" w:hAnsi="仿宋" w:eastAsia="仿宋" w:cs="仿宋"/>
          <w:bCs/>
          <w:sz w:val="32"/>
          <w:szCs w:val="32"/>
          <w:lang w:val="en-US" w:eastAsia="zh-CN"/>
        </w:rPr>
        <w:t>5</w:t>
      </w:r>
      <w:r>
        <w:rPr>
          <w:rFonts w:hint="eastAsia" w:ascii="仿宋" w:hAnsi="仿宋" w:eastAsia="仿宋" w:cs="仿宋"/>
          <w:bCs/>
          <w:sz w:val="32"/>
          <w:szCs w:val="32"/>
        </w:rPr>
        <w:t>%以上，</w:t>
      </w:r>
      <w:r>
        <w:rPr>
          <w:rFonts w:hint="eastAsia" w:ascii="仿宋" w:hAnsi="仿宋" w:eastAsia="仿宋" w:cs="仿宋"/>
          <w:bCs/>
          <w:sz w:val="32"/>
          <w:szCs w:val="32"/>
          <w:lang w:eastAsia="zh-CN"/>
        </w:rPr>
        <w:t>宽带</w:t>
      </w:r>
      <w:r>
        <w:rPr>
          <w:rFonts w:hint="eastAsia" w:ascii="仿宋" w:hAnsi="仿宋" w:eastAsia="仿宋" w:cs="仿宋"/>
          <w:bCs/>
          <w:sz w:val="32"/>
          <w:szCs w:val="32"/>
        </w:rPr>
        <w:t>网络覆盖率提升到9</w:t>
      </w:r>
      <w:r>
        <w:rPr>
          <w:rFonts w:hint="eastAsia" w:ascii="仿宋" w:hAnsi="仿宋" w:eastAsia="仿宋" w:cs="仿宋"/>
          <w:bCs/>
          <w:sz w:val="32"/>
          <w:szCs w:val="32"/>
          <w:lang w:val="en-US" w:eastAsia="zh-CN"/>
        </w:rPr>
        <w:t>7</w:t>
      </w:r>
      <w:r>
        <w:rPr>
          <w:rFonts w:hint="eastAsia" w:ascii="仿宋" w:hAnsi="仿宋" w:eastAsia="仿宋" w:cs="仿宋"/>
          <w:bCs/>
          <w:sz w:val="32"/>
          <w:szCs w:val="32"/>
        </w:rPr>
        <w:t>%以上。农村牧区人居环境整治三年行动目标圆满完成，70%以上嘎查村建立了人居环境长效管护机制。全盟农村牧区卫厕改造</w:t>
      </w:r>
      <w:r>
        <w:rPr>
          <w:rFonts w:hint="eastAsia" w:ascii="仿宋" w:hAnsi="仿宋" w:eastAsia="仿宋" w:cs="仿宋"/>
          <w:bCs/>
          <w:sz w:val="32"/>
          <w:szCs w:val="32"/>
          <w:lang w:val="en-US" w:eastAsia="zh-CN"/>
        </w:rPr>
        <w:t>3.79</w:t>
      </w:r>
      <w:r>
        <w:rPr>
          <w:rFonts w:hint="eastAsia" w:ascii="仿宋" w:hAnsi="仿宋" w:eastAsia="仿宋" w:cs="仿宋"/>
          <w:bCs/>
          <w:sz w:val="32"/>
          <w:szCs w:val="32"/>
        </w:rPr>
        <w:t>万户，普及率达到</w:t>
      </w:r>
      <w:r>
        <w:rPr>
          <w:rFonts w:hint="eastAsia" w:ascii="仿宋" w:hAnsi="仿宋" w:eastAsia="仿宋" w:cs="仿宋"/>
          <w:bCs/>
          <w:sz w:val="32"/>
          <w:szCs w:val="32"/>
          <w:lang w:val="en-US" w:eastAsia="zh-CN"/>
        </w:rPr>
        <w:t>35.6%</w:t>
      </w:r>
      <w:r>
        <w:rPr>
          <w:rFonts w:hint="eastAsia" w:ascii="仿宋" w:hAnsi="仿宋" w:eastAsia="仿宋" w:cs="仿宋"/>
          <w:bCs/>
          <w:color w:val="0000FF"/>
          <w:sz w:val="32"/>
          <w:szCs w:val="32"/>
        </w:rPr>
        <w:t>。</w:t>
      </w:r>
      <w:r>
        <w:rPr>
          <w:rFonts w:hint="eastAsia" w:ascii="仿宋" w:hAnsi="仿宋" w:eastAsia="仿宋" w:cs="仿宋"/>
          <w:bCs/>
          <w:sz w:val="32"/>
          <w:szCs w:val="32"/>
        </w:rPr>
        <w:t>畜禽粪污资源化利用率达到81%，大型规模养殖场粪污处理设施配套率达到100%。95.32%的行政嘎查村基本建立生活垃圾收运体系，所有嘎查村</w:t>
      </w:r>
      <w:r>
        <w:rPr>
          <w:rFonts w:hint="eastAsia" w:ascii="仿宋" w:hAnsi="仿宋" w:eastAsia="仿宋" w:cs="仿宋"/>
          <w:bCs/>
          <w:sz w:val="32"/>
          <w:szCs w:val="32"/>
          <w:lang w:eastAsia="zh-CN"/>
        </w:rPr>
        <w:t>均</w:t>
      </w:r>
      <w:r>
        <w:rPr>
          <w:rFonts w:hint="eastAsia" w:ascii="仿宋" w:hAnsi="仿宋" w:eastAsia="仿宋" w:cs="仿宋"/>
          <w:bCs/>
          <w:sz w:val="32"/>
          <w:szCs w:val="32"/>
        </w:rPr>
        <w:t>开展了清洁行动，实现了常态化保洁。</w:t>
      </w:r>
    </w:p>
    <w:p>
      <w:pPr>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sz w:val="32"/>
          <w:szCs w:val="32"/>
        </w:rPr>
      </w:pPr>
      <w:r>
        <w:rPr>
          <w:rFonts w:hint="eastAsia" w:ascii="仿宋" w:hAnsi="仿宋" w:eastAsia="仿宋" w:cs="仿宋"/>
          <w:b/>
          <w:bCs w:val="0"/>
          <w:sz w:val="32"/>
          <w:szCs w:val="32"/>
        </w:rPr>
        <w:t>农村牧区综合改革稳步推进。</w:t>
      </w:r>
      <w:r>
        <w:rPr>
          <w:rFonts w:hint="eastAsia" w:ascii="仿宋" w:hAnsi="仿宋" w:eastAsia="仿宋" w:cs="仿宋"/>
          <w:sz w:val="32"/>
          <w:szCs w:val="32"/>
        </w:rPr>
        <w:t>农村牧区集体产权制度改革工作基本完成，850个嘎查村全部开展了集体资产清产核资工作，集体经济组织成员身份全部确认，全部成立股份（经济）合作社。农垦改革基本完成，9家国有农牧场基本完成土地确权发证任务，6家国有农牧场社会职能移交地方管理。土地承包经营权登记颁证、草原确权承包工作基本完成，土地草原承包“三权”分置改革取得实质性进展。阿巴嘎旗全区牧区现代化试点工作稳步推进。</w:t>
      </w:r>
    </w:p>
    <w:bookmarkEnd w:id="85"/>
    <w:bookmarkEnd w:id="86"/>
    <w:bookmarkEnd w:id="87"/>
    <w:bookmarkEnd w:id="88"/>
    <w:bookmarkEnd w:id="89"/>
    <w:bookmarkEnd w:id="90"/>
    <w:bookmarkEnd w:id="91"/>
    <w:bookmarkEnd w:id="92"/>
    <w:bookmarkEnd w:id="93"/>
    <w:bookmarkEnd w:id="94"/>
    <w:p>
      <w:pPr>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sz w:val="32"/>
          <w:szCs w:val="32"/>
        </w:rPr>
      </w:pPr>
      <w:r>
        <w:rPr>
          <w:rFonts w:hint="eastAsia" w:ascii="仿宋" w:hAnsi="仿宋" w:eastAsia="仿宋" w:cs="仿宋"/>
          <w:b/>
          <w:bCs w:val="0"/>
          <w:sz w:val="32"/>
          <w:szCs w:val="32"/>
        </w:rPr>
        <w:t>乡村振兴实现良好开局。</w:t>
      </w:r>
      <w:r>
        <w:rPr>
          <w:rFonts w:hint="eastAsia" w:ascii="仿宋" w:hAnsi="仿宋" w:eastAsia="仿宋" w:cs="仿宋"/>
          <w:sz w:val="32"/>
          <w:szCs w:val="32"/>
        </w:rPr>
        <w:t>脱贫攻坚取得决定性胜利，现行标准下3个国贫旗县和5个区贫旗县全部摘帽</w:t>
      </w:r>
      <w:r>
        <w:rPr>
          <w:rFonts w:hint="eastAsia" w:ascii="仿宋" w:hAnsi="仿宋" w:eastAsia="仿宋" w:cs="仿宋"/>
          <w:sz w:val="32"/>
          <w:szCs w:val="32"/>
          <w:lang w:eastAsia="zh-CN"/>
        </w:rPr>
        <w:t>，</w:t>
      </w:r>
      <w:r>
        <w:rPr>
          <w:rFonts w:hint="eastAsia" w:ascii="仿宋" w:hAnsi="仿宋" w:eastAsia="仿宋" w:cs="仿宋"/>
          <w:sz w:val="32"/>
          <w:szCs w:val="32"/>
        </w:rPr>
        <w:t>2.2万户、5.2万贫困人口全部脱贫。农村牧区基础设施加快建设，教育、医疗、养老等公共服务水平不断提升，</w:t>
      </w:r>
      <w:r>
        <w:rPr>
          <w:rFonts w:hint="eastAsia" w:ascii="仿宋" w:hAnsi="仿宋" w:eastAsia="仿宋" w:cs="仿宋"/>
          <w:sz w:val="32"/>
          <w:szCs w:val="32"/>
          <w:lang w:eastAsia="zh-CN"/>
        </w:rPr>
        <w:t>乡村</w:t>
      </w:r>
      <w:r>
        <w:rPr>
          <w:rFonts w:hint="eastAsia" w:ascii="仿宋" w:hAnsi="仿宋" w:eastAsia="仿宋" w:cs="仿宋"/>
          <w:sz w:val="32"/>
          <w:szCs w:val="32"/>
        </w:rPr>
        <w:t>治理体系进一步完善，</w:t>
      </w:r>
      <w:r>
        <w:rPr>
          <w:rFonts w:hint="eastAsia" w:ascii="仿宋" w:hAnsi="仿宋" w:eastAsia="仿宋" w:cs="仿宋"/>
          <w:sz w:val="32"/>
          <w:szCs w:val="32"/>
          <w:lang w:eastAsia="zh-CN"/>
        </w:rPr>
        <w:t>农村</w:t>
      </w:r>
      <w:r>
        <w:rPr>
          <w:rFonts w:hint="eastAsia" w:ascii="仿宋" w:hAnsi="仿宋" w:eastAsia="仿宋" w:cs="仿宋"/>
          <w:sz w:val="32"/>
          <w:szCs w:val="32"/>
        </w:rPr>
        <w:t>牧区面貌焕发新气象。2020年，全盟农牧民人均可支配收入达到18864元，比2015年增加6642元，增长</w:t>
      </w:r>
      <w:r>
        <w:rPr>
          <w:rFonts w:hint="eastAsia" w:ascii="仿宋" w:hAnsi="仿宋" w:eastAsia="仿宋" w:cs="仿宋"/>
          <w:color w:val="000000" w:themeColor="text1"/>
          <w:sz w:val="32"/>
          <w:szCs w:val="32"/>
        </w:rPr>
        <w:t>54.3</w:t>
      </w:r>
      <w:r>
        <w:rPr>
          <w:rFonts w:hint="eastAsia" w:ascii="仿宋" w:hAnsi="仿宋" w:eastAsia="仿宋" w:cs="仿宋"/>
          <w:sz w:val="32"/>
          <w:szCs w:val="32"/>
        </w:rPr>
        <w:t>%。城乡居民收入差距持续缩小，全盟城乡居民收入比为2.19：1，低于全区2.5：1水平。</w:t>
      </w:r>
      <w:bookmarkEnd w:id="4"/>
      <w:bookmarkEnd w:id="5"/>
      <w:bookmarkEnd w:id="6"/>
      <w:bookmarkEnd w:id="7"/>
      <w:bookmarkEnd w:id="8"/>
      <w:bookmarkEnd w:id="9"/>
      <w:bookmarkStart w:id="95" w:name="_Toc28839"/>
      <w:bookmarkStart w:id="96" w:name="_Toc9407"/>
      <w:bookmarkStart w:id="97" w:name="_Toc23895"/>
      <w:bookmarkStart w:id="98" w:name="_Toc71465642_WPSOffice_Level2"/>
      <w:bookmarkStart w:id="99" w:name="_Toc24122"/>
      <w:bookmarkStart w:id="100" w:name="_Toc29396"/>
      <w:bookmarkStart w:id="101" w:name="_Toc31571"/>
      <w:bookmarkStart w:id="102" w:name="_Toc59000487"/>
      <w:bookmarkStart w:id="103" w:name="_Toc57041337"/>
      <w:bookmarkStart w:id="104" w:name="_Toc58870079"/>
    </w:p>
    <w:p>
      <w:pPr>
        <w:pageBreakBefore w:val="0"/>
        <w:widowControl w:val="0"/>
        <w:kinsoku/>
        <w:wordWrap/>
        <w:overflowPunct/>
        <w:topLinePunct w:val="0"/>
        <w:autoSpaceDE/>
        <w:autoSpaceDN/>
        <w:bidi w:val="0"/>
        <w:adjustRightInd/>
        <w:snapToGrid/>
        <w:spacing w:line="600" w:lineRule="exact"/>
        <w:jc w:val="center"/>
        <w:textAlignment w:val="auto"/>
        <w:rPr>
          <w:rFonts w:hint="eastAsia" w:ascii="黑体" w:hAnsi="黑体" w:eastAsia="黑体" w:cs="黑体"/>
          <w:b w:val="0"/>
          <w:bCs w:val="0"/>
          <w:sz w:val="32"/>
          <w:szCs w:val="32"/>
        </w:rPr>
      </w:pPr>
      <w:r>
        <w:rPr>
          <w:rFonts w:hint="eastAsia" w:ascii="黑体" w:hAnsi="黑体" w:eastAsia="黑体" w:cs="黑体"/>
          <w:b w:val="0"/>
          <w:bCs w:val="0"/>
          <w:sz w:val="32"/>
          <w:szCs w:val="32"/>
        </w:rPr>
        <w:t>第二节 发展机遇</w:t>
      </w:r>
      <w:bookmarkEnd w:id="95"/>
      <w:bookmarkEnd w:id="96"/>
      <w:bookmarkEnd w:id="97"/>
      <w:bookmarkEnd w:id="98"/>
      <w:bookmarkEnd w:id="99"/>
    </w:p>
    <w:p>
      <w:pPr>
        <w:pageBreakBefore w:val="0"/>
        <w:widowControl w:val="0"/>
        <w:kinsoku/>
        <w:wordWrap/>
        <w:overflowPunct/>
        <w:topLinePunct w:val="0"/>
        <w:autoSpaceDE/>
        <w:autoSpaceDN/>
        <w:bidi w:val="0"/>
        <w:adjustRightInd/>
        <w:snapToGrid/>
        <w:spacing w:line="600" w:lineRule="exact"/>
        <w:ind w:firstLine="643" w:firstLineChars="200"/>
        <w:textAlignment w:val="auto"/>
        <w:rPr>
          <w:rFonts w:ascii="仿宋" w:hAnsi="仿宋" w:eastAsia="仿宋" w:cs="楷体"/>
          <w:sz w:val="32"/>
          <w:szCs w:val="32"/>
        </w:rPr>
      </w:pPr>
      <w:r>
        <w:rPr>
          <w:rFonts w:hint="eastAsia" w:ascii="仿宋" w:hAnsi="仿宋" w:eastAsia="仿宋" w:cs="仿宋"/>
          <w:b/>
          <w:bCs w:val="0"/>
          <w:sz w:val="32"/>
          <w:szCs w:val="32"/>
        </w:rPr>
        <w:t>新发展理念加快农牧业农村牧区现代化步伐。</w:t>
      </w:r>
      <w:r>
        <w:rPr>
          <w:rFonts w:hint="eastAsia" w:ascii="仿宋" w:hAnsi="仿宋" w:eastAsia="仿宋" w:cs="楷体"/>
          <w:sz w:val="32"/>
          <w:szCs w:val="32"/>
        </w:rPr>
        <w:t>全国农业农村工作</w:t>
      </w:r>
      <w:r>
        <w:rPr>
          <w:rFonts w:hint="eastAsia" w:ascii="仿宋" w:hAnsi="仿宋" w:eastAsia="仿宋" w:cs="楷体"/>
          <w:sz w:val="32"/>
          <w:szCs w:val="32"/>
          <w:lang w:eastAsia="zh-CN"/>
        </w:rPr>
        <w:t>已</w:t>
      </w:r>
      <w:r>
        <w:rPr>
          <w:rFonts w:hint="eastAsia" w:ascii="仿宋" w:hAnsi="仿宋" w:eastAsia="仿宋" w:cs="楷体"/>
          <w:sz w:val="32"/>
          <w:szCs w:val="32"/>
        </w:rPr>
        <w:t>全面转向乡村振兴，在发展导向上，从注重数量增长转向稳量提质，在发展路径上，从依靠资源投入转向创新驱动、绿色发展，“创新、协调、绿色、开放、共享”的新发展理念已成为国家农业农村工作的总引领，更是全盟“三农三牧”领域破难题、补短板的基本遵循。创新引领技术攻关，协调统筹城乡融合，绿色推动永续发展，开放强化区域协作，共享促进农牧民增收。坚定不移贯彻新发展理念，必将引领全盟农牧业供给侧结构性改革持续深化，产业发展结构持续优化，生产经营方式持续转变，推动我盟从农牧业大盟稳步向农牧业强盟转变，不断向着“产业兴旺、生态宜居、乡风文明、治理有效和生活富裕”全面振兴目标迈进。</w:t>
      </w:r>
    </w:p>
    <w:p>
      <w:pPr>
        <w:pageBreakBefore w:val="0"/>
        <w:widowControl w:val="0"/>
        <w:kinsoku/>
        <w:wordWrap/>
        <w:overflowPunct/>
        <w:topLinePunct w:val="0"/>
        <w:autoSpaceDE/>
        <w:autoSpaceDN/>
        <w:bidi w:val="0"/>
        <w:adjustRightInd/>
        <w:snapToGrid/>
        <w:spacing w:line="600" w:lineRule="exact"/>
        <w:ind w:firstLine="643" w:firstLineChars="200"/>
        <w:textAlignment w:val="auto"/>
        <w:rPr>
          <w:rFonts w:ascii="仿宋" w:hAnsi="仿宋" w:eastAsia="仿宋" w:cs="楷体"/>
          <w:sz w:val="32"/>
          <w:szCs w:val="32"/>
        </w:rPr>
      </w:pPr>
      <w:r>
        <w:rPr>
          <w:rFonts w:hint="eastAsia" w:ascii="仿宋" w:hAnsi="仿宋" w:eastAsia="仿宋" w:cs="仿宋"/>
          <w:b/>
          <w:bCs w:val="0"/>
          <w:sz w:val="32"/>
          <w:szCs w:val="32"/>
        </w:rPr>
        <w:t>新发展阶段营造农牧业农村牧区良好政策环境。</w:t>
      </w:r>
      <w:r>
        <w:rPr>
          <w:rFonts w:hint="eastAsia" w:ascii="仿宋" w:hAnsi="仿宋" w:eastAsia="仿宋" w:cstheme="minorBidi"/>
          <w:bCs/>
          <w:sz w:val="32"/>
          <w:szCs w:val="32"/>
        </w:rPr>
        <w:t>党的十九届五中全会提出，要</w:t>
      </w:r>
      <w:r>
        <w:rPr>
          <w:rFonts w:ascii="仿宋" w:hAnsi="仿宋" w:eastAsia="仿宋" w:cstheme="minorBidi"/>
          <w:bCs/>
          <w:sz w:val="32"/>
          <w:szCs w:val="32"/>
        </w:rPr>
        <w:t>优先发展农业农村，全面推进乡村振兴</w:t>
      </w:r>
      <w:r>
        <w:rPr>
          <w:rFonts w:hint="eastAsia" w:ascii="仿宋" w:hAnsi="仿宋" w:eastAsia="仿宋" w:cstheme="minorBidi"/>
          <w:bCs/>
          <w:sz w:val="32"/>
          <w:szCs w:val="32"/>
        </w:rPr>
        <w:t>，</w:t>
      </w:r>
      <w:r>
        <w:rPr>
          <w:rFonts w:ascii="仿宋" w:hAnsi="仿宋" w:eastAsia="仿宋" w:cstheme="minorBidi"/>
          <w:bCs/>
          <w:sz w:val="32"/>
          <w:szCs w:val="32"/>
        </w:rPr>
        <w:t>提高农业质量效益和竞争力，实施乡村建设行动，深化农村改革，实现巩固拓展脱贫攻坚成果同乡村振兴有效衔接。同时</w:t>
      </w:r>
      <w:r>
        <w:rPr>
          <w:rFonts w:hint="eastAsia" w:ascii="仿宋" w:hAnsi="仿宋" w:eastAsia="仿宋" w:cstheme="minorBidi"/>
          <w:bCs/>
          <w:sz w:val="32"/>
          <w:szCs w:val="32"/>
        </w:rPr>
        <w:t>强调，要坚持把解决好“三农”问题作为全党工作重中之重，把全面推进乡村振兴作为实现中华民族伟大复兴的一项重大任务，举全党全社会之力加快农业农村现代化</w:t>
      </w:r>
      <w:r>
        <w:rPr>
          <w:rFonts w:hint="eastAsia" w:ascii="仿宋" w:hAnsi="仿宋" w:eastAsia="仿宋" w:cstheme="minorBidi"/>
          <w:bCs/>
          <w:sz w:val="32"/>
          <w:szCs w:val="32"/>
          <w:lang w:eastAsia="zh-CN"/>
        </w:rPr>
        <w:t>进程</w:t>
      </w:r>
      <w:r>
        <w:rPr>
          <w:rFonts w:hint="eastAsia" w:ascii="仿宋" w:hAnsi="仿宋" w:eastAsia="仿宋" w:cstheme="minorBidi"/>
          <w:bCs/>
          <w:sz w:val="32"/>
          <w:szCs w:val="32"/>
        </w:rPr>
        <w:t>。</w:t>
      </w:r>
      <w:r>
        <w:rPr>
          <w:rFonts w:hint="eastAsia" w:ascii="仿宋" w:hAnsi="仿宋" w:eastAsia="仿宋" w:cstheme="minorBidi"/>
          <w:sz w:val="32"/>
          <w:szCs w:val="32"/>
        </w:rPr>
        <w:t>国家、</w:t>
      </w:r>
      <w:r>
        <w:rPr>
          <w:rFonts w:hint="eastAsia" w:ascii="仿宋" w:hAnsi="仿宋" w:eastAsia="仿宋" w:cstheme="minorBidi"/>
          <w:bCs/>
          <w:sz w:val="32"/>
          <w:szCs w:val="32"/>
        </w:rPr>
        <w:t>自治区相继在</w:t>
      </w:r>
      <w:r>
        <w:rPr>
          <w:rFonts w:hint="eastAsia" w:ascii="仿宋" w:hAnsi="仿宋" w:eastAsia="仿宋" w:cstheme="minorBidi"/>
          <w:bCs/>
          <w:sz w:val="32"/>
          <w:szCs w:val="32"/>
          <w:lang w:eastAsia="zh-CN"/>
        </w:rPr>
        <w:t>西部大开发、东北振兴、推动</w:t>
      </w:r>
      <w:r>
        <w:rPr>
          <w:rFonts w:hint="eastAsia" w:ascii="仿宋" w:hAnsi="仿宋" w:eastAsia="仿宋" w:cstheme="minorBidi"/>
          <w:bCs/>
          <w:sz w:val="32"/>
          <w:szCs w:val="32"/>
        </w:rPr>
        <w:t>农牧业高质量发展、巩固脱贫攻坚成果、</w:t>
      </w:r>
      <w:r>
        <w:rPr>
          <w:rFonts w:ascii="仿宋" w:hAnsi="仿宋" w:eastAsia="仿宋" w:cstheme="minorBidi"/>
          <w:bCs/>
          <w:sz w:val="32"/>
          <w:szCs w:val="32"/>
        </w:rPr>
        <w:t>加强基层治理体系和治理能力建设</w:t>
      </w:r>
      <w:r>
        <w:rPr>
          <w:rFonts w:hint="eastAsia" w:ascii="仿宋" w:hAnsi="仿宋" w:eastAsia="仿宋" w:cstheme="minorBidi"/>
          <w:bCs/>
          <w:sz w:val="32"/>
          <w:szCs w:val="32"/>
        </w:rPr>
        <w:t>等方面出台系列重大政策</w:t>
      </w:r>
      <w:r>
        <w:rPr>
          <w:rFonts w:hint="eastAsia" w:ascii="仿宋" w:hAnsi="仿宋" w:eastAsia="仿宋" w:cstheme="minorBidi"/>
          <w:bCs/>
          <w:sz w:val="32"/>
          <w:szCs w:val="32"/>
          <w:lang w:eastAsia="zh-CN"/>
        </w:rPr>
        <w:t>，更多资源要素向农村牧区集聚，多元投入格局加快形成。</w:t>
      </w:r>
      <w:r>
        <w:rPr>
          <w:rFonts w:hint="eastAsia" w:ascii="仿宋" w:hAnsi="仿宋" w:eastAsia="仿宋" w:cstheme="minorBidi"/>
          <w:bCs/>
          <w:sz w:val="32"/>
          <w:szCs w:val="32"/>
        </w:rPr>
        <w:t>这些都为全盟农牧业农村牧区</w:t>
      </w:r>
      <w:r>
        <w:rPr>
          <w:rFonts w:hint="eastAsia" w:ascii="仿宋" w:hAnsi="仿宋" w:eastAsia="仿宋" w:cstheme="minorBidi"/>
          <w:bCs/>
          <w:sz w:val="32"/>
          <w:szCs w:val="32"/>
          <w:lang w:eastAsia="zh-CN"/>
        </w:rPr>
        <w:t>现代化</w:t>
      </w:r>
      <w:r>
        <w:rPr>
          <w:rFonts w:hint="eastAsia" w:ascii="仿宋" w:hAnsi="仿宋" w:eastAsia="仿宋" w:cstheme="minorBidi"/>
          <w:bCs/>
          <w:sz w:val="32"/>
          <w:szCs w:val="32"/>
        </w:rPr>
        <w:t>发展</w:t>
      </w:r>
      <w:r>
        <w:rPr>
          <w:rFonts w:hint="eastAsia" w:ascii="仿宋" w:hAnsi="仿宋" w:eastAsia="仿宋" w:cstheme="minorBidi"/>
          <w:sz w:val="32"/>
          <w:szCs w:val="32"/>
        </w:rPr>
        <w:t>提供了重要机遇和政策</w:t>
      </w:r>
      <w:r>
        <w:rPr>
          <w:rFonts w:hint="eastAsia" w:ascii="仿宋" w:hAnsi="仿宋" w:eastAsia="仿宋" w:cstheme="minorBidi"/>
          <w:sz w:val="32"/>
          <w:szCs w:val="32"/>
          <w:lang w:eastAsia="zh-CN"/>
        </w:rPr>
        <w:t>支撑</w:t>
      </w:r>
      <w:r>
        <w:rPr>
          <w:rFonts w:hint="eastAsia" w:ascii="仿宋" w:hAnsi="仿宋" w:eastAsia="仿宋" w:cstheme="minorBidi"/>
          <w:sz w:val="32"/>
          <w:szCs w:val="32"/>
        </w:rPr>
        <w:t>。</w:t>
      </w:r>
    </w:p>
    <w:p>
      <w:pPr>
        <w:pageBreakBefore w:val="0"/>
        <w:widowControl w:val="0"/>
        <w:kinsoku/>
        <w:wordWrap/>
        <w:overflowPunct/>
        <w:topLinePunct w:val="0"/>
        <w:autoSpaceDE/>
        <w:autoSpaceDN/>
        <w:bidi w:val="0"/>
        <w:adjustRightInd/>
        <w:snapToGrid/>
        <w:spacing w:line="600" w:lineRule="exact"/>
        <w:ind w:firstLine="643" w:firstLineChars="200"/>
        <w:textAlignment w:val="auto"/>
        <w:rPr>
          <w:rFonts w:ascii="仿宋" w:hAnsi="仿宋" w:eastAsia="仿宋" w:cstheme="minorBidi"/>
          <w:sz w:val="32"/>
          <w:szCs w:val="32"/>
        </w:rPr>
      </w:pPr>
      <w:r>
        <w:rPr>
          <w:rFonts w:hint="eastAsia" w:ascii="仿宋" w:hAnsi="仿宋" w:eastAsia="仿宋" w:cs="仿宋"/>
          <w:b/>
          <w:bCs w:val="0"/>
          <w:sz w:val="32"/>
          <w:szCs w:val="32"/>
        </w:rPr>
        <w:t>新发展格局助推农牧业农村牧区高质量发展。</w:t>
      </w:r>
      <w:r>
        <w:rPr>
          <w:rFonts w:ascii="仿宋" w:hAnsi="仿宋" w:eastAsia="仿宋" w:cstheme="minorBidi"/>
          <w:sz w:val="32"/>
          <w:szCs w:val="32"/>
        </w:rPr>
        <w:t>国家</w:t>
      </w:r>
      <w:r>
        <w:rPr>
          <w:rFonts w:hint="eastAsia" w:ascii="仿宋" w:hAnsi="仿宋" w:eastAsia="仿宋" w:cstheme="minorBidi"/>
          <w:sz w:val="32"/>
          <w:szCs w:val="32"/>
          <w:lang w:eastAsia="zh-CN"/>
        </w:rPr>
        <w:t>深入</w:t>
      </w:r>
      <w:r>
        <w:rPr>
          <w:rFonts w:ascii="仿宋" w:hAnsi="仿宋" w:eastAsia="仿宋" w:cstheme="minorBidi"/>
          <w:sz w:val="32"/>
          <w:szCs w:val="32"/>
        </w:rPr>
        <w:t>推进以国内大循环为主体、国内国际双循环相互促进的新发展格局，优质绿色农畜产品消费需求持续增长，有力提升了生态绿色农牧业发展</w:t>
      </w:r>
      <w:r>
        <w:rPr>
          <w:rFonts w:hint="eastAsia" w:ascii="仿宋" w:hAnsi="仿宋" w:eastAsia="仿宋" w:cstheme="minorBidi"/>
          <w:sz w:val="32"/>
          <w:szCs w:val="32"/>
        </w:rPr>
        <w:t>动能。</w:t>
      </w:r>
      <w:r>
        <w:rPr>
          <w:rFonts w:hint="eastAsia" w:ascii="仿宋" w:hAnsi="仿宋" w:eastAsia="仿宋" w:cstheme="minorBidi"/>
          <w:sz w:val="32"/>
          <w:szCs w:val="32"/>
          <w:lang w:eastAsia="zh-CN"/>
        </w:rPr>
        <w:t>我盟</w:t>
      </w:r>
      <w:r>
        <w:rPr>
          <w:rFonts w:hint="eastAsia" w:ascii="仿宋" w:hAnsi="仿宋" w:eastAsia="仿宋" w:cstheme="minorBidi"/>
          <w:sz w:val="32"/>
          <w:szCs w:val="32"/>
        </w:rPr>
        <w:t>生态畜牧业发展优势明显，主要畜产品产量和质量位居全区前列，农畜产品品牌优势不断增强，是全区建设国家绿色农畜产品生产基地的重要依托，在国内牛羊肉</w:t>
      </w:r>
      <w:r>
        <w:rPr>
          <w:rFonts w:hint="eastAsia" w:ascii="仿宋" w:hAnsi="仿宋" w:eastAsia="仿宋" w:cstheme="minorBidi"/>
          <w:sz w:val="32"/>
          <w:szCs w:val="32"/>
          <w:lang w:eastAsia="zh-CN"/>
        </w:rPr>
        <w:t>供给</w:t>
      </w:r>
      <w:r>
        <w:rPr>
          <w:rFonts w:hint="eastAsia" w:ascii="仿宋" w:hAnsi="仿宋" w:eastAsia="仿宋" w:cstheme="minorBidi"/>
          <w:sz w:val="32"/>
          <w:szCs w:val="32"/>
        </w:rPr>
        <w:t>大循环中占有重要地位。同时，党的农村工作条例深入落实，</w:t>
      </w:r>
      <w:r>
        <w:rPr>
          <w:rFonts w:hint="eastAsia" w:ascii="仿宋" w:hAnsi="仿宋" w:eastAsia="仿宋" w:cs="仿宋"/>
          <w:sz w:val="32"/>
          <w:szCs w:val="32"/>
        </w:rPr>
        <w:t>乡村振兴</w:t>
      </w:r>
      <w:r>
        <w:rPr>
          <w:rFonts w:hint="eastAsia" w:ascii="仿宋" w:hAnsi="仿宋" w:eastAsia="仿宋" w:cs="仿宋"/>
          <w:sz w:val="32"/>
          <w:szCs w:val="32"/>
          <w:lang w:eastAsia="zh-CN"/>
        </w:rPr>
        <w:t>战略</w:t>
      </w:r>
      <w:r>
        <w:rPr>
          <w:rFonts w:hint="eastAsia" w:ascii="仿宋" w:hAnsi="仿宋" w:eastAsia="仿宋" w:cs="仿宋"/>
          <w:sz w:val="32"/>
          <w:szCs w:val="32"/>
        </w:rPr>
        <w:t>规划和产业、人才、文化、生态、组织五大振兴方案部署深入推进，乡村振兴制度框架和政策体系基本形成。</w:t>
      </w:r>
      <w:r>
        <w:rPr>
          <w:rFonts w:hint="eastAsia" w:ascii="仿宋" w:hAnsi="仿宋" w:eastAsia="仿宋" w:cstheme="minorBidi"/>
          <w:sz w:val="32"/>
          <w:szCs w:val="32"/>
        </w:rPr>
        <w:t>这些都为</w:t>
      </w:r>
      <w:r>
        <w:rPr>
          <w:rFonts w:hint="eastAsia" w:ascii="仿宋" w:hAnsi="仿宋" w:eastAsia="仿宋" w:cstheme="minorBidi"/>
          <w:sz w:val="32"/>
          <w:szCs w:val="32"/>
          <w:lang w:eastAsia="zh-CN"/>
        </w:rPr>
        <w:t>我盟将农牧业资源、生态等比较优势转化发展优势，为</w:t>
      </w:r>
      <w:r>
        <w:rPr>
          <w:rFonts w:hint="eastAsia" w:ascii="仿宋" w:hAnsi="仿宋" w:eastAsia="仿宋" w:cstheme="minorBidi"/>
          <w:sz w:val="32"/>
          <w:szCs w:val="32"/>
        </w:rPr>
        <w:t>农牧业农村牧区在</w:t>
      </w:r>
      <w:r>
        <w:rPr>
          <w:rFonts w:hint="eastAsia" w:ascii="仿宋" w:hAnsi="仿宋" w:eastAsia="仿宋" w:cstheme="minorBidi"/>
          <w:sz w:val="32"/>
          <w:szCs w:val="32"/>
          <w:lang w:eastAsia="zh-CN"/>
        </w:rPr>
        <w:t>新</w:t>
      </w:r>
      <w:r>
        <w:rPr>
          <w:rFonts w:hint="eastAsia" w:ascii="仿宋" w:hAnsi="仿宋" w:eastAsia="仿宋" w:cstheme="minorBidi"/>
          <w:sz w:val="32"/>
          <w:szCs w:val="32"/>
        </w:rPr>
        <w:t>格局下实现高质量发展提供了坚强保障。</w:t>
      </w:r>
    </w:p>
    <w:p>
      <w:pPr>
        <w:pStyle w:val="4"/>
        <w:pageBreakBefore w:val="0"/>
        <w:widowControl w:val="0"/>
        <w:kinsoku/>
        <w:wordWrap/>
        <w:overflowPunct/>
        <w:topLinePunct w:val="0"/>
        <w:autoSpaceDE/>
        <w:autoSpaceDN/>
        <w:bidi w:val="0"/>
        <w:adjustRightInd/>
        <w:snapToGrid/>
        <w:spacing w:before="156" w:beforeLines="50" w:after="156" w:afterLines="50" w:line="600" w:lineRule="exact"/>
        <w:textAlignment w:val="auto"/>
        <w:rPr>
          <w:rFonts w:ascii="Calibri Light" w:hAnsi="Calibri Light" w:cs="Times New Roman"/>
          <w:b w:val="0"/>
          <w:bCs w:val="0"/>
          <w:sz w:val="32"/>
          <w:szCs w:val="32"/>
        </w:rPr>
      </w:pPr>
      <w:bookmarkStart w:id="105" w:name="_Toc15748"/>
      <w:bookmarkStart w:id="106" w:name="_Toc28873"/>
      <w:bookmarkStart w:id="107" w:name="_Toc11180"/>
      <w:bookmarkStart w:id="108" w:name="_Toc29517728_WPSOffice_Level2"/>
      <w:bookmarkStart w:id="109" w:name="_Toc24012"/>
      <w:r>
        <w:rPr>
          <w:rFonts w:hint="eastAsia" w:ascii="Calibri Light" w:hAnsi="Calibri Light" w:cs="Times New Roman"/>
          <w:b w:val="0"/>
          <w:bCs w:val="0"/>
          <w:sz w:val="32"/>
          <w:szCs w:val="32"/>
        </w:rPr>
        <w:t xml:space="preserve">第三节 </w:t>
      </w:r>
      <w:bookmarkEnd w:id="100"/>
      <w:bookmarkEnd w:id="101"/>
      <w:r>
        <w:rPr>
          <w:rFonts w:hint="eastAsia" w:ascii="Calibri Light" w:hAnsi="Calibri Light" w:cs="Times New Roman"/>
          <w:b w:val="0"/>
          <w:bCs w:val="0"/>
          <w:sz w:val="32"/>
          <w:szCs w:val="32"/>
        </w:rPr>
        <w:t>面临挑战</w:t>
      </w:r>
      <w:bookmarkEnd w:id="102"/>
      <w:bookmarkEnd w:id="103"/>
      <w:bookmarkEnd w:id="104"/>
      <w:bookmarkEnd w:id="105"/>
      <w:bookmarkEnd w:id="106"/>
      <w:bookmarkEnd w:id="107"/>
      <w:bookmarkEnd w:id="108"/>
      <w:bookmarkEnd w:id="109"/>
    </w:p>
    <w:p>
      <w:pPr>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sz w:val="32"/>
          <w:szCs w:val="32"/>
        </w:rPr>
      </w:pPr>
      <w:r>
        <w:rPr>
          <w:rFonts w:hint="eastAsia" w:ascii="仿宋" w:hAnsi="仿宋" w:eastAsia="仿宋" w:cs="仿宋"/>
          <w:b/>
          <w:bCs w:val="0"/>
          <w:sz w:val="32"/>
          <w:szCs w:val="32"/>
        </w:rPr>
        <w:t>资源与生态环境约束日益趋紧。</w:t>
      </w:r>
      <w:r>
        <w:rPr>
          <w:rFonts w:ascii="仿宋" w:hAnsi="仿宋" w:eastAsia="仿宋"/>
          <w:sz w:val="32"/>
          <w:szCs w:val="32"/>
        </w:rPr>
        <w:t>通过持续实施草原生态补奖</w:t>
      </w:r>
      <w:r>
        <w:rPr>
          <w:rFonts w:hint="eastAsia" w:ascii="仿宋" w:hAnsi="仿宋" w:eastAsia="仿宋"/>
          <w:sz w:val="32"/>
          <w:szCs w:val="32"/>
        </w:rPr>
        <w:t>政策</w:t>
      </w:r>
      <w:r>
        <w:rPr>
          <w:rFonts w:ascii="仿宋" w:hAnsi="仿宋" w:eastAsia="仿宋"/>
          <w:sz w:val="32"/>
          <w:szCs w:val="32"/>
        </w:rPr>
        <w:t>、京津风沙源治理、退化草原修复、矿山治理等系统性</w:t>
      </w:r>
      <w:r>
        <w:rPr>
          <w:rFonts w:hint="eastAsia" w:ascii="仿宋" w:hAnsi="仿宋" w:eastAsia="仿宋"/>
          <w:sz w:val="32"/>
          <w:szCs w:val="32"/>
          <w:lang w:eastAsia="zh-CN"/>
        </w:rPr>
        <w:t>生态</w:t>
      </w:r>
      <w:r>
        <w:rPr>
          <w:rFonts w:ascii="仿宋" w:hAnsi="仿宋" w:eastAsia="仿宋"/>
          <w:sz w:val="32"/>
          <w:szCs w:val="32"/>
        </w:rPr>
        <w:t>保护工程，</w:t>
      </w:r>
      <w:r>
        <w:rPr>
          <w:rFonts w:hint="eastAsia" w:ascii="仿宋" w:hAnsi="仿宋" w:eastAsia="仿宋"/>
          <w:sz w:val="32"/>
          <w:szCs w:val="32"/>
        </w:rPr>
        <w:t>全</w:t>
      </w:r>
      <w:r>
        <w:rPr>
          <w:rFonts w:ascii="仿宋" w:hAnsi="仿宋" w:eastAsia="仿宋"/>
          <w:sz w:val="32"/>
          <w:szCs w:val="32"/>
        </w:rPr>
        <w:t>盟草原生态环境明显改善，但总体上草原生态保护形势依然严峻，草原生态系统依然脆弱，局部超载过牧现象不同程度存在，退化、沙化趋势尚未得到全面扭转，草原</w:t>
      </w:r>
      <w:r>
        <w:rPr>
          <w:rFonts w:hint="eastAsia" w:ascii="仿宋" w:hAnsi="仿宋" w:eastAsia="仿宋"/>
          <w:sz w:val="32"/>
          <w:szCs w:val="32"/>
          <w:lang w:eastAsia="zh-CN"/>
        </w:rPr>
        <w:t>综合</w:t>
      </w:r>
      <w:r>
        <w:rPr>
          <w:rFonts w:ascii="仿宋" w:hAnsi="仿宋" w:eastAsia="仿宋"/>
          <w:sz w:val="32"/>
          <w:szCs w:val="32"/>
        </w:rPr>
        <w:t>植被盖度仍需进一步提升</w:t>
      </w:r>
      <w:r>
        <w:rPr>
          <w:rFonts w:hint="eastAsia" w:ascii="仿宋" w:hAnsi="仿宋" w:eastAsia="仿宋"/>
          <w:sz w:val="32"/>
          <w:szCs w:val="32"/>
        </w:rPr>
        <w:t>。全盟水资源量匮乏，可利用水资源较少</w:t>
      </w:r>
      <w:r>
        <w:rPr>
          <w:rFonts w:hint="eastAsia" w:ascii="仿宋" w:hAnsi="仿宋" w:eastAsia="仿宋" w:cs="仿宋"/>
          <w:sz w:val="32"/>
          <w:szCs w:val="32"/>
        </w:rPr>
        <w:t>，地均水资源量低于全国和全区平均水平，土地面积占全区17%</w:t>
      </w:r>
      <w:r>
        <w:rPr>
          <w:rFonts w:hint="eastAsia" w:ascii="仿宋" w:hAnsi="仿宋" w:eastAsia="仿宋" w:cs="仿宋"/>
          <w:sz w:val="32"/>
          <w:szCs w:val="32"/>
          <w:lang w:eastAsia="zh-CN"/>
        </w:rPr>
        <w:t>，</w:t>
      </w:r>
      <w:r>
        <w:rPr>
          <w:rFonts w:hint="eastAsia" w:ascii="仿宋" w:hAnsi="仿宋" w:eastAsia="仿宋" w:cs="仿宋"/>
          <w:sz w:val="32"/>
          <w:szCs w:val="32"/>
        </w:rPr>
        <w:t>但水资源量仅为全区水资源总量的6%，农牧</w:t>
      </w:r>
      <w:r>
        <w:rPr>
          <w:rFonts w:hint="eastAsia" w:ascii="仿宋" w:hAnsi="仿宋" w:eastAsia="仿宋" w:cs="仿宋"/>
          <w:sz w:val="32"/>
          <w:szCs w:val="32"/>
          <w:lang w:eastAsia="zh-CN"/>
        </w:rPr>
        <w:t>领域</w:t>
      </w:r>
      <w:r>
        <w:rPr>
          <w:rFonts w:hint="eastAsia" w:ascii="仿宋" w:hAnsi="仿宋" w:eastAsia="仿宋" w:cs="仿宋"/>
          <w:sz w:val="32"/>
          <w:szCs w:val="32"/>
        </w:rPr>
        <w:t>生产生活用水主要为地下水，水资源供需矛盾突出。</w:t>
      </w:r>
    </w:p>
    <w:p>
      <w:pPr>
        <w:keepNext w:val="0"/>
        <w:keepLines w:val="0"/>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sz w:val="32"/>
          <w:szCs w:val="32"/>
        </w:rPr>
      </w:pPr>
      <w:r>
        <w:rPr>
          <w:rFonts w:hint="eastAsia" w:ascii="仿宋" w:hAnsi="仿宋" w:eastAsia="仿宋" w:cs="仿宋"/>
          <w:b/>
          <w:bCs w:val="0"/>
          <w:sz w:val="32"/>
          <w:szCs w:val="32"/>
        </w:rPr>
        <w:t>农牧业发展质量</w:t>
      </w:r>
      <w:r>
        <w:rPr>
          <w:rFonts w:hint="eastAsia" w:ascii="仿宋" w:hAnsi="仿宋" w:eastAsia="仿宋" w:cs="仿宋"/>
          <w:b/>
          <w:bCs w:val="0"/>
          <w:sz w:val="32"/>
          <w:szCs w:val="32"/>
          <w:lang w:eastAsia="zh-CN"/>
        </w:rPr>
        <w:t>效益</w:t>
      </w:r>
      <w:r>
        <w:rPr>
          <w:rFonts w:hint="eastAsia" w:ascii="仿宋" w:hAnsi="仿宋" w:eastAsia="仿宋" w:cs="仿宋"/>
          <w:b/>
          <w:bCs w:val="0"/>
          <w:sz w:val="32"/>
          <w:szCs w:val="32"/>
        </w:rPr>
        <w:t>和竞争力亟待提升。</w:t>
      </w:r>
      <w:r>
        <w:rPr>
          <w:rFonts w:hint="eastAsia" w:ascii="仿宋" w:hAnsi="仿宋" w:eastAsia="仿宋" w:cs="仿宋"/>
          <w:sz w:val="32"/>
          <w:szCs w:val="32"/>
        </w:rPr>
        <w:t>农牧业</w:t>
      </w:r>
      <w:r>
        <w:rPr>
          <w:rFonts w:hint="eastAsia" w:ascii="仿宋" w:hAnsi="仿宋" w:eastAsia="仿宋" w:cs="仿宋"/>
          <w:sz w:val="32"/>
          <w:szCs w:val="32"/>
          <w:lang w:eastAsia="zh-CN"/>
        </w:rPr>
        <w:t>总体</w:t>
      </w:r>
      <w:r>
        <w:rPr>
          <w:rFonts w:hint="eastAsia" w:ascii="仿宋" w:hAnsi="仿宋" w:eastAsia="仿宋" w:cs="仿宋"/>
          <w:sz w:val="32"/>
          <w:szCs w:val="32"/>
        </w:rPr>
        <w:t>生产经营方式与现代产业发展要求还不相适应，农牧业生产标准化、规模化、组织化程度相对较低，产业结构有待</w:t>
      </w:r>
      <w:r>
        <w:rPr>
          <w:rFonts w:hint="eastAsia" w:ascii="仿宋" w:hAnsi="仿宋" w:eastAsia="仿宋" w:cs="仿宋"/>
          <w:sz w:val="32"/>
          <w:szCs w:val="32"/>
          <w:lang w:eastAsia="zh-CN"/>
        </w:rPr>
        <w:t>进一步</w:t>
      </w:r>
      <w:r>
        <w:rPr>
          <w:rFonts w:hint="eastAsia" w:ascii="仿宋" w:hAnsi="仿宋" w:eastAsia="仿宋" w:cs="仿宋"/>
          <w:sz w:val="32"/>
          <w:szCs w:val="32"/>
        </w:rPr>
        <w:t>优化，产业链条有待</w:t>
      </w:r>
      <w:r>
        <w:rPr>
          <w:rFonts w:hint="eastAsia" w:ascii="仿宋" w:hAnsi="仿宋" w:eastAsia="仿宋" w:cs="仿宋"/>
          <w:sz w:val="32"/>
          <w:szCs w:val="32"/>
          <w:lang w:eastAsia="zh-CN"/>
        </w:rPr>
        <w:t>拓展</w:t>
      </w:r>
      <w:r>
        <w:rPr>
          <w:rFonts w:hint="eastAsia" w:ascii="仿宋" w:hAnsi="仿宋" w:eastAsia="仿宋" w:cs="仿宋"/>
          <w:sz w:val="32"/>
          <w:szCs w:val="32"/>
        </w:rPr>
        <w:t>延伸，特色产业发展不突出。主要表现在：一是畜牧业生产精细化程度较低，饲养管理规范化水平不高，牲畜繁成率和个体生产能力有待进一步提升。二是优质农畜产品有效供给与消费需求衔接还不相适应，初级加工产品多，精深加工产品少，产业链条短，加工增值率低，效益实现不充分，市场竞争力较弱。三是实力较强的龙头企业不多，带动能力不强，一二三产利益联结机制不够健全，融合</w:t>
      </w:r>
      <w:r>
        <w:rPr>
          <w:rFonts w:hint="eastAsia" w:ascii="仿宋" w:hAnsi="仿宋" w:eastAsia="仿宋" w:cs="仿宋"/>
          <w:sz w:val="32"/>
          <w:szCs w:val="32"/>
          <w:lang w:eastAsia="zh-CN"/>
        </w:rPr>
        <w:t>发展水平</w:t>
      </w:r>
      <w:r>
        <w:rPr>
          <w:rFonts w:hint="eastAsia" w:ascii="仿宋" w:hAnsi="仿宋" w:eastAsia="仿宋" w:cs="仿宋"/>
          <w:sz w:val="32"/>
          <w:szCs w:val="32"/>
        </w:rPr>
        <w:t>仍需进一步</w:t>
      </w:r>
      <w:r>
        <w:rPr>
          <w:rFonts w:hint="eastAsia" w:ascii="仿宋" w:hAnsi="仿宋" w:eastAsia="仿宋" w:cs="仿宋"/>
          <w:sz w:val="32"/>
          <w:szCs w:val="32"/>
          <w:lang w:eastAsia="zh-CN"/>
        </w:rPr>
        <w:t>提升</w:t>
      </w:r>
      <w:r>
        <w:rPr>
          <w:rFonts w:hint="eastAsia" w:ascii="仿宋" w:hAnsi="仿宋" w:eastAsia="仿宋" w:cs="仿宋"/>
          <w:sz w:val="32"/>
          <w:szCs w:val="32"/>
        </w:rPr>
        <w:t>。四是部分地区农畜产品生产、加工、流通、质检等关键环节缺乏严格的标准化管理，市场准入监管体系和农畜产品质量安全控制体系有待进一步健全。</w:t>
      </w:r>
    </w:p>
    <w:p>
      <w:pPr>
        <w:keepNext w:val="0"/>
        <w:keepLines w:val="0"/>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eastAsia="仿宋"/>
          <w:sz w:val="32"/>
          <w:szCs w:val="32"/>
          <w:lang w:eastAsia="zh-CN"/>
        </w:rPr>
      </w:pPr>
      <w:r>
        <w:rPr>
          <w:rFonts w:hint="eastAsia" w:ascii="仿宋" w:hAnsi="仿宋" w:eastAsia="仿宋" w:cs="仿宋"/>
          <w:b/>
          <w:bCs w:val="0"/>
          <w:sz w:val="32"/>
          <w:szCs w:val="32"/>
        </w:rPr>
        <w:t>农村牧区基础设施</w:t>
      </w:r>
      <w:r>
        <w:rPr>
          <w:rFonts w:hint="eastAsia" w:ascii="仿宋" w:hAnsi="仿宋" w:eastAsia="仿宋" w:cs="仿宋"/>
          <w:b/>
          <w:bCs w:val="0"/>
          <w:sz w:val="32"/>
          <w:szCs w:val="32"/>
          <w:lang w:eastAsia="zh-CN"/>
        </w:rPr>
        <w:t>建设</w:t>
      </w:r>
      <w:r>
        <w:rPr>
          <w:rFonts w:hint="eastAsia" w:ascii="仿宋" w:hAnsi="仿宋" w:eastAsia="仿宋" w:cs="仿宋"/>
          <w:b/>
          <w:bCs w:val="0"/>
          <w:sz w:val="32"/>
          <w:szCs w:val="32"/>
        </w:rPr>
        <w:t>和公共服务</w:t>
      </w:r>
      <w:r>
        <w:rPr>
          <w:rFonts w:hint="eastAsia" w:ascii="仿宋" w:hAnsi="仿宋" w:eastAsia="仿宋" w:cs="仿宋"/>
          <w:b/>
          <w:bCs w:val="0"/>
          <w:sz w:val="32"/>
          <w:szCs w:val="32"/>
          <w:lang w:eastAsia="zh-CN"/>
        </w:rPr>
        <w:t>能力</w:t>
      </w:r>
      <w:r>
        <w:rPr>
          <w:rFonts w:hint="eastAsia" w:ascii="仿宋" w:hAnsi="仿宋" w:eastAsia="仿宋" w:cs="仿宋"/>
          <w:b/>
          <w:bCs w:val="0"/>
          <w:sz w:val="32"/>
          <w:szCs w:val="32"/>
        </w:rPr>
        <w:t>相对滞后。</w:t>
      </w:r>
      <w:r>
        <w:rPr>
          <w:rFonts w:hint="eastAsia" w:ascii="仿宋" w:hAnsi="仿宋" w:eastAsia="仿宋" w:cs="仿宋"/>
          <w:sz w:val="32"/>
          <w:szCs w:val="32"/>
        </w:rPr>
        <w:t>农牧业生产</w:t>
      </w:r>
      <w:r>
        <w:rPr>
          <w:rFonts w:hint="eastAsia" w:ascii="仿宋" w:hAnsi="仿宋" w:eastAsia="仿宋" w:cs="仿宋"/>
          <w:sz w:val="32"/>
          <w:szCs w:val="32"/>
          <w:lang w:eastAsia="zh-CN"/>
        </w:rPr>
        <w:t>设施条件还不够完善</w:t>
      </w:r>
      <w:r>
        <w:rPr>
          <w:rFonts w:hint="eastAsia" w:ascii="仿宋" w:hAnsi="仿宋" w:eastAsia="仿宋" w:cs="仿宋"/>
          <w:sz w:val="32"/>
          <w:szCs w:val="32"/>
        </w:rPr>
        <w:t>，</w:t>
      </w:r>
      <w:r>
        <w:rPr>
          <w:rFonts w:hint="eastAsia" w:ascii="仿宋" w:hAnsi="仿宋" w:eastAsia="仿宋" w:cs="仿宋"/>
          <w:sz w:val="32"/>
          <w:szCs w:val="32"/>
          <w:lang w:eastAsia="zh-CN"/>
        </w:rPr>
        <w:t>科技</w:t>
      </w:r>
      <w:r>
        <w:rPr>
          <w:rFonts w:hint="eastAsia" w:ascii="仿宋" w:hAnsi="仿宋" w:eastAsia="仿宋" w:cs="仿宋"/>
          <w:sz w:val="32"/>
          <w:szCs w:val="32"/>
        </w:rPr>
        <w:t>装备水平相对落后，靠天种养的局面</w:t>
      </w:r>
      <w:r>
        <w:rPr>
          <w:rFonts w:hint="eastAsia" w:ascii="仿宋" w:hAnsi="仿宋" w:eastAsia="仿宋" w:cs="仿宋"/>
          <w:sz w:val="32"/>
          <w:szCs w:val="32"/>
          <w:lang w:eastAsia="zh-CN"/>
        </w:rPr>
        <w:t>尚未</w:t>
      </w:r>
      <w:r>
        <w:rPr>
          <w:rFonts w:hint="eastAsia" w:ascii="仿宋" w:hAnsi="仿宋" w:eastAsia="仿宋" w:cs="仿宋"/>
          <w:sz w:val="32"/>
          <w:szCs w:val="32"/>
        </w:rPr>
        <w:t>得到根本</w:t>
      </w:r>
      <w:r>
        <w:rPr>
          <w:rFonts w:hint="eastAsia" w:ascii="仿宋" w:hAnsi="仿宋" w:eastAsia="仿宋" w:cs="仿宋"/>
          <w:sz w:val="32"/>
          <w:szCs w:val="32"/>
          <w:lang w:eastAsia="zh-CN"/>
        </w:rPr>
        <w:t>性</w:t>
      </w:r>
      <w:r>
        <w:rPr>
          <w:rFonts w:hint="eastAsia" w:ascii="仿宋" w:hAnsi="仿宋" w:eastAsia="仿宋" w:cs="仿宋"/>
          <w:sz w:val="32"/>
          <w:szCs w:val="32"/>
        </w:rPr>
        <w:t>转变。农村牧区供水、供电、道路、</w:t>
      </w:r>
      <w:r>
        <w:rPr>
          <w:rFonts w:hint="eastAsia" w:ascii="仿宋" w:hAnsi="仿宋" w:eastAsia="仿宋" w:cs="仿宋"/>
          <w:sz w:val="32"/>
          <w:szCs w:val="32"/>
          <w:lang w:eastAsia="zh-CN"/>
        </w:rPr>
        <w:t>通讯</w:t>
      </w:r>
      <w:r>
        <w:rPr>
          <w:rFonts w:hint="eastAsia" w:ascii="仿宋" w:hAnsi="仿宋" w:eastAsia="仿宋" w:cs="仿宋"/>
          <w:sz w:val="32"/>
          <w:szCs w:val="32"/>
        </w:rPr>
        <w:t>等</w:t>
      </w:r>
      <w:r>
        <w:rPr>
          <w:rFonts w:hint="eastAsia" w:ascii="仿宋" w:hAnsi="仿宋" w:eastAsia="仿宋" w:cs="仿宋"/>
          <w:sz w:val="32"/>
          <w:szCs w:val="32"/>
          <w:lang w:eastAsia="zh-CN"/>
        </w:rPr>
        <w:t>公共基础设施建设</w:t>
      </w:r>
      <w:r>
        <w:rPr>
          <w:rFonts w:hint="eastAsia" w:ascii="仿宋" w:hAnsi="仿宋" w:eastAsia="仿宋" w:cs="仿宋"/>
          <w:sz w:val="32"/>
          <w:szCs w:val="32"/>
        </w:rPr>
        <w:t>仍</w:t>
      </w:r>
      <w:r>
        <w:rPr>
          <w:rFonts w:hint="eastAsia" w:ascii="仿宋" w:hAnsi="仿宋" w:eastAsia="仿宋" w:cs="仿宋"/>
          <w:sz w:val="32"/>
          <w:szCs w:val="32"/>
          <w:lang w:eastAsia="zh-CN"/>
        </w:rPr>
        <w:t>需加强，</w:t>
      </w:r>
      <w:r>
        <w:rPr>
          <w:rFonts w:hint="eastAsia" w:ascii="仿宋" w:hAnsi="仿宋" w:eastAsia="仿宋" w:cs="仿宋"/>
          <w:sz w:val="32"/>
          <w:szCs w:val="32"/>
        </w:rPr>
        <w:t>教育、医疗</w:t>
      </w:r>
      <w:r>
        <w:rPr>
          <w:rFonts w:hint="eastAsia" w:ascii="仿宋" w:hAnsi="仿宋" w:eastAsia="仿宋"/>
          <w:sz w:val="32"/>
          <w:szCs w:val="32"/>
        </w:rPr>
        <w:t>、</w:t>
      </w:r>
      <w:r>
        <w:rPr>
          <w:rFonts w:hint="eastAsia" w:ascii="仿宋" w:hAnsi="仿宋" w:eastAsia="仿宋"/>
          <w:sz w:val="32"/>
          <w:szCs w:val="32"/>
          <w:lang w:eastAsia="zh-CN"/>
        </w:rPr>
        <w:t>就业、文化、</w:t>
      </w:r>
      <w:r>
        <w:rPr>
          <w:rFonts w:hint="eastAsia" w:ascii="仿宋" w:hAnsi="仿宋" w:eastAsia="仿宋"/>
          <w:sz w:val="32"/>
          <w:szCs w:val="32"/>
        </w:rPr>
        <w:t>社保等</w:t>
      </w:r>
      <w:r>
        <w:rPr>
          <w:rFonts w:ascii="仿宋" w:hAnsi="仿宋" w:eastAsia="仿宋"/>
          <w:sz w:val="32"/>
          <w:szCs w:val="32"/>
        </w:rPr>
        <w:t>公共服务</w:t>
      </w:r>
      <w:r>
        <w:rPr>
          <w:rFonts w:hint="eastAsia" w:ascii="仿宋" w:hAnsi="仿宋" w:eastAsia="仿宋"/>
          <w:sz w:val="32"/>
          <w:szCs w:val="32"/>
        </w:rPr>
        <w:t>供给</w:t>
      </w:r>
      <w:r>
        <w:rPr>
          <w:rFonts w:hint="eastAsia" w:ascii="仿宋" w:hAnsi="仿宋" w:eastAsia="仿宋"/>
          <w:sz w:val="32"/>
          <w:szCs w:val="32"/>
          <w:lang w:eastAsia="zh-CN"/>
        </w:rPr>
        <w:t>仍然不足。人</w:t>
      </w:r>
      <w:r>
        <w:rPr>
          <w:rFonts w:ascii="仿宋" w:hAnsi="仿宋" w:eastAsia="仿宋"/>
          <w:sz w:val="32"/>
          <w:szCs w:val="32"/>
        </w:rPr>
        <w:t>居环境整治</w:t>
      </w:r>
      <w:r>
        <w:rPr>
          <w:rFonts w:hint="eastAsia" w:ascii="仿宋" w:hAnsi="仿宋" w:eastAsia="仿宋"/>
          <w:sz w:val="32"/>
          <w:szCs w:val="32"/>
          <w:lang w:eastAsia="zh-CN"/>
        </w:rPr>
        <w:t>仍需加大力度</w:t>
      </w:r>
      <w:r>
        <w:rPr>
          <w:rFonts w:ascii="仿宋" w:hAnsi="仿宋" w:eastAsia="仿宋"/>
          <w:sz w:val="32"/>
          <w:szCs w:val="32"/>
        </w:rPr>
        <w:t>，</w:t>
      </w:r>
      <w:r>
        <w:rPr>
          <w:rFonts w:hint="eastAsia" w:ascii="仿宋" w:hAnsi="仿宋" w:eastAsia="仿宋"/>
          <w:sz w:val="32"/>
          <w:szCs w:val="32"/>
        </w:rPr>
        <w:t>长效管护机制有待</w:t>
      </w:r>
      <w:r>
        <w:rPr>
          <w:rFonts w:hint="eastAsia" w:ascii="仿宋" w:hAnsi="仿宋" w:eastAsia="仿宋"/>
          <w:sz w:val="32"/>
          <w:szCs w:val="32"/>
          <w:lang w:eastAsia="zh-CN"/>
        </w:rPr>
        <w:t>健全</w:t>
      </w:r>
      <w:r>
        <w:rPr>
          <w:rFonts w:ascii="仿宋" w:hAnsi="仿宋" w:eastAsia="仿宋"/>
          <w:sz w:val="32"/>
          <w:szCs w:val="32"/>
        </w:rPr>
        <w:t>。</w:t>
      </w:r>
      <w:bookmarkStart w:id="110" w:name="_Toc59000477"/>
      <w:bookmarkStart w:id="111" w:name="_Toc58870069"/>
      <w:r>
        <w:rPr>
          <w:rFonts w:hint="eastAsia" w:ascii="仿宋" w:hAnsi="仿宋" w:eastAsia="仿宋"/>
          <w:sz w:val="32"/>
          <w:szCs w:val="32"/>
          <w:lang w:eastAsia="zh-CN"/>
        </w:rPr>
        <w:t>农村牧区发展人才缺乏，农牧业兼业化、农村牧区空心化、农牧民老龄化问题突出。</w:t>
      </w:r>
    </w:p>
    <w:bookmarkEnd w:id="110"/>
    <w:bookmarkEnd w:id="111"/>
    <w:p>
      <w:pPr>
        <w:pStyle w:val="2"/>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theme="minorBidi"/>
          <w:sz w:val="32"/>
          <w:szCs w:val="32"/>
        </w:rPr>
      </w:pPr>
      <w:r>
        <w:rPr>
          <w:rFonts w:hint="eastAsia" w:ascii="仿宋" w:hAnsi="仿宋" w:eastAsia="仿宋" w:cstheme="minorBidi"/>
          <w:sz w:val="32"/>
          <w:szCs w:val="32"/>
        </w:rPr>
        <w:t>总的来看，“十四五”时期是</w:t>
      </w:r>
      <w:r>
        <w:rPr>
          <w:rFonts w:hint="eastAsia" w:ascii="仿宋" w:hAnsi="仿宋" w:eastAsia="仿宋" w:cstheme="minorBidi"/>
          <w:sz w:val="32"/>
          <w:szCs w:val="32"/>
          <w:lang w:eastAsia="zh-CN"/>
        </w:rPr>
        <w:t>加快</w:t>
      </w:r>
      <w:r>
        <w:rPr>
          <w:rFonts w:hint="eastAsia" w:ascii="仿宋" w:hAnsi="仿宋" w:eastAsia="仿宋" w:cstheme="minorBidi"/>
          <w:sz w:val="32"/>
          <w:szCs w:val="32"/>
        </w:rPr>
        <w:t>推进农牧业农村牧区现代化</w:t>
      </w:r>
      <w:r>
        <w:rPr>
          <w:rFonts w:hint="eastAsia" w:ascii="仿宋" w:hAnsi="仿宋" w:eastAsia="仿宋" w:cstheme="minorBidi"/>
          <w:sz w:val="32"/>
          <w:szCs w:val="32"/>
          <w:lang w:eastAsia="zh-CN"/>
        </w:rPr>
        <w:t>发展</w:t>
      </w:r>
      <w:r>
        <w:rPr>
          <w:rFonts w:hint="eastAsia" w:ascii="仿宋" w:hAnsi="仿宋" w:eastAsia="仿宋" w:cstheme="minorBidi"/>
          <w:sz w:val="32"/>
          <w:szCs w:val="32"/>
        </w:rPr>
        <w:t>的</w:t>
      </w:r>
      <w:r>
        <w:rPr>
          <w:rFonts w:hint="eastAsia" w:ascii="仿宋" w:hAnsi="仿宋" w:eastAsia="仿宋" w:cstheme="minorBidi"/>
          <w:sz w:val="32"/>
          <w:szCs w:val="32"/>
          <w:lang w:eastAsia="zh-CN"/>
        </w:rPr>
        <w:t>重要</w:t>
      </w:r>
      <w:r>
        <w:rPr>
          <w:rFonts w:hint="eastAsia" w:ascii="仿宋" w:hAnsi="仿宋" w:eastAsia="仿宋" w:cstheme="minorBidi"/>
          <w:sz w:val="32"/>
          <w:szCs w:val="32"/>
        </w:rPr>
        <w:t>战略机遇期，必须坚定不移走生态优先、绿色发展为导向的高质量发展新路子，</w:t>
      </w:r>
      <w:r>
        <w:rPr>
          <w:rFonts w:hint="eastAsia" w:ascii="仿宋" w:hAnsi="仿宋" w:eastAsia="仿宋" w:cstheme="minorBidi"/>
          <w:sz w:val="32"/>
          <w:szCs w:val="32"/>
          <w:lang w:eastAsia="zh-CN"/>
        </w:rPr>
        <w:t>切实增强紧迫感和责任感，准确分析把握面临形势，更加注重全局性谋划和整体性推进，坚持问题导向、目标导向，抢抓机遇、应对挑战，用更大的力度和更实的措施，推动全盟农牧业农村牧区发展再上新台阶</w:t>
      </w:r>
      <w:r>
        <w:rPr>
          <w:rFonts w:hint="eastAsia" w:ascii="仿宋" w:hAnsi="仿宋" w:eastAsia="仿宋" w:cstheme="minorBidi"/>
          <w:sz w:val="32"/>
          <w:szCs w:val="32"/>
        </w:rPr>
        <w:t>。</w:t>
      </w:r>
      <w:bookmarkStart w:id="112" w:name="_Toc17866"/>
      <w:bookmarkStart w:id="113" w:name="_Toc20597"/>
      <w:bookmarkStart w:id="114" w:name="_Toc12494"/>
      <w:bookmarkStart w:id="115" w:name="_Toc59000493"/>
      <w:bookmarkStart w:id="116" w:name="_Toc58870085"/>
      <w:bookmarkStart w:id="117" w:name="_Toc24477"/>
      <w:bookmarkStart w:id="118" w:name="_Toc25694"/>
      <w:bookmarkStart w:id="119" w:name="_Toc20276"/>
      <w:bookmarkStart w:id="120" w:name="_Toc10952"/>
      <w:bookmarkStart w:id="121" w:name="_Toc2985"/>
      <w:bookmarkStart w:id="122" w:name="_Toc24400"/>
    </w:p>
    <w:p>
      <w:pPr>
        <w:pageBreakBefore w:val="0"/>
        <w:widowControl w:val="0"/>
        <w:kinsoku/>
        <w:wordWrap/>
        <w:overflowPunct/>
        <w:topLinePunct w:val="0"/>
        <w:autoSpaceDE/>
        <w:autoSpaceDN/>
        <w:bidi w:val="0"/>
        <w:adjustRightInd/>
        <w:snapToGrid/>
        <w:spacing w:line="600" w:lineRule="exact"/>
        <w:textAlignment w:val="auto"/>
        <w:rPr>
          <w:rFonts w:hint="eastAsia" w:ascii="仿宋" w:hAnsi="仿宋" w:eastAsia="仿宋" w:cstheme="minorBidi"/>
          <w:sz w:val="32"/>
          <w:szCs w:val="32"/>
        </w:rPr>
      </w:pPr>
    </w:p>
    <w:p>
      <w:pPr>
        <w:pStyle w:val="2"/>
        <w:rPr>
          <w:rFonts w:hint="eastAsia"/>
        </w:rPr>
      </w:pPr>
    </w:p>
    <w:p>
      <w:pPr>
        <w:pStyle w:val="2"/>
        <w:rPr>
          <w:rFonts w:hint="eastAsia"/>
        </w:rPr>
      </w:pPr>
    </w:p>
    <w:p/>
    <w:p/>
    <w:p>
      <w:pPr>
        <w:rPr>
          <w:rFonts w:hint="eastAsia"/>
        </w:rPr>
      </w:pPr>
      <w:bookmarkStart w:id="123" w:name="_Toc9560"/>
      <w:bookmarkStart w:id="124" w:name="_Toc18952"/>
      <w:bookmarkStart w:id="125" w:name="_Toc27021"/>
      <w:bookmarkStart w:id="126" w:name="_Toc27579"/>
    </w:p>
    <w:p>
      <w:pPr>
        <w:pStyle w:val="2"/>
        <w:rPr>
          <w:rFonts w:hint="eastAsia"/>
        </w:rPr>
      </w:pPr>
    </w:p>
    <w:p>
      <w:pPr>
        <w:jc w:val="center"/>
        <w:rPr>
          <w:rFonts w:hint="eastAsia" w:ascii="方正小标宋简体" w:hAnsi="方正小标宋简体" w:eastAsia="方正小标宋简体" w:cs="方正小标宋简体"/>
          <w:sz w:val="44"/>
          <w:szCs w:val="44"/>
        </w:rPr>
      </w:pPr>
    </w:p>
    <w:p>
      <w:pPr>
        <w:pStyle w:val="2"/>
        <w:rPr>
          <w:rFonts w:hint="eastAsia" w:ascii="方正小标宋简体" w:hAnsi="方正小标宋简体" w:eastAsia="方正小标宋简体" w:cs="方正小标宋简体"/>
          <w:sz w:val="44"/>
          <w:szCs w:val="44"/>
        </w:rPr>
      </w:pPr>
    </w:p>
    <w:p>
      <w:pPr>
        <w:rPr>
          <w:rFonts w:hint="eastAsia" w:ascii="方正小标宋简体" w:hAnsi="方正小标宋简体" w:eastAsia="方正小标宋简体" w:cs="方正小标宋简体"/>
          <w:sz w:val="44"/>
          <w:szCs w:val="44"/>
        </w:rPr>
      </w:pPr>
    </w:p>
    <w:p>
      <w:pPr>
        <w:pStyle w:val="2"/>
        <w:rPr>
          <w:rFonts w:hint="eastAsia" w:ascii="方正小标宋简体" w:hAnsi="方正小标宋简体" w:eastAsia="方正小标宋简体" w:cs="方正小标宋简体"/>
          <w:sz w:val="44"/>
          <w:szCs w:val="44"/>
        </w:rPr>
      </w:pPr>
    </w:p>
    <w:p>
      <w:pPr>
        <w:rPr>
          <w:rFonts w:hint="eastAsia" w:ascii="方正小标宋简体" w:hAnsi="方正小标宋简体" w:eastAsia="方正小标宋简体" w:cs="方正小标宋简体"/>
          <w:sz w:val="44"/>
          <w:szCs w:val="44"/>
        </w:rPr>
      </w:pPr>
    </w:p>
    <w:p>
      <w:pPr>
        <w:pStyle w:val="2"/>
        <w:rPr>
          <w:rFonts w:hint="eastAsia"/>
        </w:rPr>
      </w:pPr>
    </w:p>
    <w:p>
      <w:pPr>
        <w:pStyle w:val="2"/>
        <w:rPr>
          <w:rFonts w:hint="eastAsia"/>
        </w:rPr>
      </w:pPr>
    </w:p>
    <w:p>
      <w:pPr>
        <w:rPr>
          <w:rFonts w:hint="eastAsia"/>
        </w:rPr>
      </w:pPr>
    </w:p>
    <w:p>
      <w:pPr>
        <w:rPr>
          <w:rFonts w:hint="eastAsia"/>
        </w:rPr>
      </w:pPr>
    </w:p>
    <w:p>
      <w:pPr>
        <w:jc w:val="center"/>
        <w:rPr>
          <w:rFonts w:hint="eastAsia" w:ascii="仿宋" w:hAnsi="仿宋" w:eastAsia="仿宋" w:cs="仿宋"/>
          <w:sz w:val="32"/>
          <w:szCs w:val="32"/>
        </w:rPr>
      </w:pPr>
      <w:bookmarkStart w:id="127" w:name="_Toc71465642_WPSOffice_Level1"/>
    </w:p>
    <w:p>
      <w:pPr>
        <w:jc w:val="center"/>
        <w:rPr>
          <w:rFonts w:hint="eastAsia" w:ascii="方正小标宋简体" w:hAnsi="方正小标宋简体" w:eastAsia="方正小标宋简体" w:cs="方正小标宋简体"/>
          <w:sz w:val="32"/>
          <w:szCs w:val="32"/>
        </w:rPr>
      </w:pPr>
      <w:r>
        <w:rPr>
          <w:rFonts w:hint="eastAsia" w:ascii="方正小标宋简体" w:hAnsi="方正小标宋简体" w:eastAsia="方正小标宋简体" w:cs="方正小标宋简体"/>
          <w:sz w:val="44"/>
          <w:szCs w:val="44"/>
        </w:rPr>
        <w:t>第二章</w:t>
      </w:r>
      <w:bookmarkEnd w:id="112"/>
      <w:bookmarkEnd w:id="113"/>
      <w:r>
        <w:rPr>
          <w:rFonts w:hint="eastAsia" w:ascii="方正小标宋简体" w:hAnsi="方正小标宋简体" w:eastAsia="方正小标宋简体" w:cs="方正小标宋简体"/>
          <w:sz w:val="44"/>
          <w:szCs w:val="44"/>
        </w:rPr>
        <w:t xml:space="preserve"> </w:t>
      </w:r>
      <w:bookmarkEnd w:id="114"/>
      <w:bookmarkEnd w:id="115"/>
      <w:bookmarkEnd w:id="116"/>
      <w:r>
        <w:rPr>
          <w:rFonts w:hint="eastAsia" w:ascii="方正小标宋简体" w:hAnsi="方正小标宋简体" w:eastAsia="方正小标宋简体" w:cs="方正小标宋简体"/>
          <w:sz w:val="44"/>
          <w:szCs w:val="44"/>
        </w:rPr>
        <w:t>发展思路与目标</w:t>
      </w:r>
      <w:bookmarkEnd w:id="123"/>
      <w:bookmarkEnd w:id="124"/>
      <w:bookmarkEnd w:id="125"/>
      <w:bookmarkEnd w:id="126"/>
      <w:bookmarkEnd w:id="127"/>
      <w:bookmarkStart w:id="128" w:name="_Toc31034"/>
      <w:bookmarkStart w:id="129" w:name="_Toc24322"/>
      <w:bookmarkStart w:id="130" w:name="_Toc75046881_WPSOffice_Level2"/>
      <w:bookmarkStart w:id="131" w:name="_Toc22151"/>
      <w:bookmarkStart w:id="132" w:name="_Toc15615"/>
      <w:bookmarkStart w:id="133" w:name="_Toc58870086"/>
      <w:bookmarkStart w:id="134" w:name="_Toc27155"/>
      <w:bookmarkStart w:id="135" w:name="_Toc1813"/>
      <w:bookmarkStart w:id="136" w:name="_Toc22275"/>
      <w:bookmarkStart w:id="137" w:name="_Toc59000494"/>
    </w:p>
    <w:p>
      <w:pPr>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sz w:val="32"/>
          <w:szCs w:val="32"/>
        </w:rPr>
      </w:pPr>
      <w:r>
        <w:rPr>
          <w:rFonts w:hint="eastAsia" w:ascii="方正小标宋简体" w:hAnsi="方正小标宋简体" w:eastAsia="方正小标宋简体" w:cs="方正小标宋简体"/>
          <w:sz w:val="32"/>
          <w:szCs w:val="32"/>
        </w:rPr>
        <w:t>第一节 战略导向</w:t>
      </w:r>
      <w:bookmarkEnd w:id="128"/>
      <w:bookmarkEnd w:id="129"/>
      <w:bookmarkEnd w:id="130"/>
      <w:bookmarkEnd w:id="131"/>
      <w:bookmarkEnd w:id="132"/>
    </w:p>
    <w:p>
      <w:pPr>
        <w:pageBreakBefore w:val="0"/>
        <w:widowControl w:val="0"/>
        <w:kinsoku/>
        <w:wordWrap/>
        <w:overflowPunct/>
        <w:topLinePunct w:val="0"/>
        <w:autoSpaceDE/>
        <w:autoSpaceDN/>
        <w:bidi w:val="0"/>
        <w:adjustRightInd/>
        <w:snapToGrid/>
        <w:spacing w:line="600" w:lineRule="exact"/>
        <w:ind w:firstLine="640" w:firstLineChars="200"/>
        <w:textAlignment w:val="auto"/>
        <w:rPr>
          <w:rFonts w:ascii="仿宋" w:hAnsi="仿宋" w:eastAsia="仿宋" w:cstheme="minorBidi"/>
          <w:sz w:val="32"/>
          <w:szCs w:val="32"/>
        </w:rPr>
      </w:pPr>
      <w:r>
        <w:rPr>
          <w:rFonts w:ascii="仿宋" w:hAnsi="仿宋" w:eastAsia="仿宋" w:cstheme="minorBidi"/>
          <w:sz w:val="32"/>
          <w:szCs w:val="32"/>
        </w:rPr>
        <w:t>深入贯彻自治区</w:t>
      </w:r>
      <w:r>
        <w:rPr>
          <w:rFonts w:hint="eastAsia" w:ascii="仿宋" w:hAnsi="仿宋" w:eastAsia="仿宋" w:cstheme="minorBidi"/>
          <w:sz w:val="32"/>
          <w:szCs w:val="32"/>
          <w:lang w:eastAsia="zh-CN"/>
        </w:rPr>
        <w:t>党委、政府</w:t>
      </w:r>
      <w:r>
        <w:rPr>
          <w:rFonts w:ascii="仿宋" w:hAnsi="仿宋" w:eastAsia="仿宋" w:cstheme="minorBidi"/>
          <w:sz w:val="32"/>
          <w:szCs w:val="32"/>
        </w:rPr>
        <w:t>“推动农畜产品生产基地优质高效转型”决策部署，积极转变农牧业</w:t>
      </w:r>
      <w:r>
        <w:rPr>
          <w:rFonts w:hint="eastAsia" w:ascii="仿宋" w:hAnsi="仿宋" w:eastAsia="仿宋" w:cstheme="minorBidi"/>
          <w:sz w:val="32"/>
          <w:szCs w:val="32"/>
          <w:lang w:eastAsia="zh-CN"/>
        </w:rPr>
        <w:t>发展</w:t>
      </w:r>
      <w:r>
        <w:rPr>
          <w:rFonts w:ascii="仿宋" w:hAnsi="仿宋" w:eastAsia="仿宋" w:cstheme="minorBidi"/>
          <w:sz w:val="32"/>
          <w:szCs w:val="32"/>
        </w:rPr>
        <w:t>方式，持续深化供给侧结构性改革，不断将基础设施建设和基本公共服务向农村牧区延伸覆盖，将先进技术、现代装备和管理理念引入农牧业发展中，持续提高农牧业生产效率，改善农村牧区面貌，提升农牧民生活质量。要以保障农畜产品有效供给为基础，强化农牧业科技和装备支撑，推进农牧业全产业链开发，加强农村牧区建设和治理，引导小农牧户和现代农牧业发展有机衔接，促进农牧民共同富裕，推动农牧业农村牧区全面振兴。</w:t>
      </w:r>
    </w:p>
    <w:p>
      <w:pPr>
        <w:pStyle w:val="4"/>
        <w:pageBreakBefore w:val="0"/>
        <w:widowControl w:val="0"/>
        <w:kinsoku/>
        <w:wordWrap/>
        <w:overflowPunct/>
        <w:topLinePunct w:val="0"/>
        <w:autoSpaceDE/>
        <w:autoSpaceDN/>
        <w:bidi w:val="0"/>
        <w:adjustRightInd/>
        <w:snapToGrid/>
        <w:spacing w:before="156" w:beforeLines="50" w:after="156" w:afterLines="50" w:line="600" w:lineRule="exact"/>
        <w:jc w:val="center"/>
        <w:textAlignment w:val="auto"/>
        <w:rPr>
          <w:rFonts w:ascii="Calibri Light" w:hAnsi="Calibri Light" w:cs="Times New Roman"/>
          <w:b w:val="0"/>
          <w:bCs w:val="0"/>
          <w:szCs w:val="36"/>
        </w:rPr>
      </w:pPr>
      <w:bookmarkStart w:id="138" w:name="_Toc11292"/>
      <w:bookmarkStart w:id="139" w:name="_Toc23115"/>
      <w:bookmarkStart w:id="140" w:name="_Toc17495"/>
      <w:bookmarkStart w:id="141" w:name="_Toc513815349_WPSOffice_Level2"/>
      <w:bookmarkStart w:id="142" w:name="_Toc877"/>
      <w:r>
        <w:rPr>
          <w:rFonts w:hint="eastAsia" w:ascii="Calibri Light" w:hAnsi="Calibri Light" w:cs="Times New Roman"/>
          <w:b w:val="0"/>
          <w:bCs w:val="0"/>
          <w:szCs w:val="36"/>
        </w:rPr>
        <w:t>第二节 指导思想</w:t>
      </w:r>
      <w:bookmarkEnd w:id="133"/>
      <w:bookmarkEnd w:id="134"/>
      <w:bookmarkEnd w:id="135"/>
      <w:bookmarkEnd w:id="136"/>
      <w:bookmarkEnd w:id="137"/>
      <w:bookmarkEnd w:id="138"/>
      <w:bookmarkEnd w:id="139"/>
      <w:bookmarkEnd w:id="140"/>
      <w:bookmarkEnd w:id="141"/>
      <w:bookmarkEnd w:id="142"/>
    </w:p>
    <w:p>
      <w:pPr>
        <w:pageBreakBefore w:val="0"/>
        <w:widowControl w:val="0"/>
        <w:kinsoku/>
        <w:wordWrap/>
        <w:overflowPunct/>
        <w:topLinePunct w:val="0"/>
        <w:autoSpaceDE/>
        <w:autoSpaceDN/>
        <w:bidi w:val="0"/>
        <w:adjustRightInd/>
        <w:snapToGrid/>
        <w:spacing w:line="600" w:lineRule="exact"/>
        <w:ind w:firstLine="640" w:firstLineChars="200"/>
        <w:textAlignment w:val="auto"/>
        <w:rPr>
          <w:rFonts w:ascii="仿宋" w:hAnsi="仿宋" w:eastAsia="仿宋" w:cs="仿宋"/>
          <w:sz w:val="32"/>
          <w:szCs w:val="32"/>
        </w:rPr>
      </w:pPr>
      <w:bookmarkStart w:id="143" w:name="_Toc58870087"/>
      <w:bookmarkStart w:id="144" w:name="_Toc5322"/>
      <w:bookmarkStart w:id="145" w:name="_Toc59000495"/>
      <w:r>
        <w:rPr>
          <w:rFonts w:hint="eastAsia" w:ascii="仿宋" w:hAnsi="仿宋" w:eastAsia="仿宋" w:cs="仿宋"/>
          <w:sz w:val="32"/>
          <w:szCs w:val="32"/>
          <w:lang w:eastAsia="zh-CN"/>
        </w:rPr>
        <w:t>高举中国特色社会主义伟大旗帜，</w:t>
      </w:r>
      <w:r>
        <w:rPr>
          <w:rFonts w:hint="eastAsia" w:ascii="仿宋" w:hAnsi="仿宋" w:eastAsia="仿宋" w:cs="仿宋"/>
          <w:sz w:val="32"/>
          <w:szCs w:val="32"/>
        </w:rPr>
        <w:t>以习近平新时代中国特色社会主义思想为指导，</w:t>
      </w:r>
      <w:r>
        <w:rPr>
          <w:rFonts w:hint="eastAsia" w:ascii="仿宋" w:hAnsi="仿宋" w:eastAsia="仿宋" w:cs="仿宋"/>
          <w:sz w:val="32"/>
          <w:szCs w:val="32"/>
          <w:lang w:eastAsia="zh-CN"/>
        </w:rPr>
        <w:t>统筹推进“五位一体”总体布局，协调推进“四个全面”战略布局，</w:t>
      </w:r>
      <w:r>
        <w:rPr>
          <w:rFonts w:hint="eastAsia" w:ascii="仿宋" w:hAnsi="仿宋" w:eastAsia="仿宋" w:cs="仿宋"/>
          <w:sz w:val="32"/>
          <w:szCs w:val="32"/>
        </w:rPr>
        <w:t>深入贯彻党的十九大和十九届历次全会精神，</w:t>
      </w:r>
      <w:r>
        <w:rPr>
          <w:rFonts w:hint="eastAsia" w:ascii="仿宋" w:hAnsi="仿宋" w:eastAsia="仿宋" w:cs="仿宋"/>
          <w:sz w:val="32"/>
          <w:szCs w:val="32"/>
          <w:lang w:eastAsia="zh-CN"/>
        </w:rPr>
        <w:t>全面落实</w:t>
      </w:r>
      <w:r>
        <w:rPr>
          <w:rFonts w:hint="eastAsia" w:ascii="仿宋" w:hAnsi="仿宋" w:eastAsia="仿宋" w:cs="仿宋"/>
          <w:sz w:val="32"/>
          <w:szCs w:val="32"/>
        </w:rPr>
        <w:t>习近平总书记关于“三农”工作重要论述和对内蒙古重要讲话重要指示批示精神，</w:t>
      </w:r>
      <w:r>
        <w:rPr>
          <w:rFonts w:ascii="仿宋" w:hAnsi="仿宋" w:eastAsia="仿宋" w:cs="仿宋"/>
          <w:sz w:val="32"/>
          <w:szCs w:val="32"/>
        </w:rPr>
        <w:t>坚持稳中求进工作总基调，坚持农牧业农村牧区优先发展总方针，</w:t>
      </w:r>
      <w:r>
        <w:rPr>
          <w:rFonts w:hint="eastAsia" w:ascii="仿宋" w:hAnsi="仿宋" w:eastAsia="仿宋" w:cs="仿宋"/>
          <w:sz w:val="32"/>
          <w:szCs w:val="32"/>
        </w:rPr>
        <w:t>立足新发展阶段，贯彻新发展理念，构建新发展格局，全力服务于国家绿色农畜产品生产基地和</w:t>
      </w:r>
      <w:r>
        <w:rPr>
          <w:rFonts w:hint="eastAsia" w:ascii="仿宋" w:hAnsi="仿宋" w:eastAsia="仿宋" w:cs="仿宋"/>
          <w:sz w:val="32"/>
          <w:szCs w:val="32"/>
          <w:lang w:eastAsia="zh-CN"/>
        </w:rPr>
        <w:t>我国北方重要</w:t>
      </w:r>
      <w:r>
        <w:rPr>
          <w:rFonts w:hint="eastAsia" w:ascii="仿宋" w:hAnsi="仿宋" w:eastAsia="仿宋" w:cs="仿宋"/>
          <w:sz w:val="32"/>
          <w:szCs w:val="32"/>
        </w:rPr>
        <w:t>生态安全屏障战略定位，</w:t>
      </w:r>
      <w:r>
        <w:rPr>
          <w:rFonts w:hint="eastAsia" w:ascii="仿宋" w:hAnsi="仿宋" w:eastAsia="仿宋" w:cs="仿宋"/>
          <w:sz w:val="32"/>
          <w:szCs w:val="32"/>
          <w:lang w:eastAsia="zh-CN"/>
        </w:rPr>
        <w:t>坚持农牧业现代化与农村牧区现代化一体设计、一并推进，</w:t>
      </w:r>
      <w:r>
        <w:rPr>
          <w:rFonts w:hint="eastAsia" w:ascii="仿宋" w:hAnsi="仿宋" w:eastAsia="仿宋" w:cs="仿宋"/>
          <w:sz w:val="32"/>
          <w:szCs w:val="32"/>
        </w:rPr>
        <w:t>以实施乡村振兴战略为抓手，以深化供给侧结构性改革为主线，坚持绿色兴农兴牧、科技兴农兴牧、质量兴农兴牧，加快</w:t>
      </w:r>
      <w:r>
        <w:rPr>
          <w:rFonts w:hint="eastAsia" w:ascii="仿宋" w:hAnsi="仿宋" w:eastAsia="仿宋" w:cs="仿宋"/>
          <w:sz w:val="32"/>
          <w:szCs w:val="32"/>
          <w:lang w:eastAsia="zh-CN"/>
        </w:rPr>
        <w:t>推进</w:t>
      </w:r>
      <w:r>
        <w:rPr>
          <w:rFonts w:hint="eastAsia" w:ascii="仿宋" w:hAnsi="仿宋" w:eastAsia="仿宋" w:cs="仿宋"/>
          <w:sz w:val="32"/>
          <w:szCs w:val="32"/>
        </w:rPr>
        <w:t>农畜产品生产基地优质高效转型，持续加强农村牧区基础设施和公共服务能力建设，实现巩固拓展脱贫攻坚成果同乡村振兴有效衔接，</w:t>
      </w:r>
      <w:r>
        <w:rPr>
          <w:rFonts w:hint="eastAsia" w:ascii="仿宋" w:hAnsi="仿宋" w:eastAsia="仿宋" w:cs="仿宋"/>
          <w:sz w:val="32"/>
          <w:szCs w:val="32"/>
          <w:lang w:eastAsia="zh-CN"/>
        </w:rPr>
        <w:t>全面推进乡村产业、人才、文化、生态、组织振兴，</w:t>
      </w:r>
      <w:r>
        <w:rPr>
          <w:rFonts w:ascii="仿宋" w:hAnsi="仿宋" w:eastAsia="仿宋" w:cs="仿宋"/>
          <w:sz w:val="32"/>
          <w:szCs w:val="32"/>
        </w:rPr>
        <w:t>坚持走以生态优先、绿色发展为导向的高质量发展新路子，加快</w:t>
      </w:r>
      <w:r>
        <w:rPr>
          <w:rFonts w:hint="eastAsia" w:ascii="仿宋" w:hAnsi="仿宋" w:eastAsia="仿宋" w:cs="仿宋"/>
          <w:sz w:val="32"/>
          <w:szCs w:val="32"/>
          <w:lang w:eastAsia="zh-CN"/>
        </w:rPr>
        <w:t>推动</w:t>
      </w:r>
      <w:r>
        <w:rPr>
          <w:rFonts w:ascii="仿宋" w:hAnsi="仿宋" w:eastAsia="仿宋" w:cs="仿宋"/>
          <w:sz w:val="32"/>
          <w:szCs w:val="32"/>
        </w:rPr>
        <w:t>全盟农牧业农村牧区现代化发展步伐。</w:t>
      </w:r>
      <w:bookmarkEnd w:id="143"/>
      <w:bookmarkEnd w:id="144"/>
      <w:bookmarkEnd w:id="145"/>
      <w:bookmarkStart w:id="146" w:name="_Toc60561651"/>
      <w:bookmarkStart w:id="147" w:name="_Toc59000496"/>
      <w:bookmarkStart w:id="148" w:name="_Toc5419"/>
      <w:bookmarkStart w:id="149" w:name="_Toc3479"/>
      <w:bookmarkStart w:id="150" w:name="_Toc2603"/>
      <w:bookmarkStart w:id="151" w:name="_Toc58870088"/>
    </w:p>
    <w:p>
      <w:pPr>
        <w:pStyle w:val="4"/>
        <w:pageBreakBefore w:val="0"/>
        <w:widowControl w:val="0"/>
        <w:kinsoku/>
        <w:wordWrap/>
        <w:overflowPunct/>
        <w:topLinePunct w:val="0"/>
        <w:autoSpaceDE/>
        <w:autoSpaceDN/>
        <w:bidi w:val="0"/>
        <w:adjustRightInd/>
        <w:snapToGrid/>
        <w:spacing w:before="156" w:beforeLines="50" w:after="156" w:afterLines="50" w:line="600" w:lineRule="exact"/>
        <w:textAlignment w:val="auto"/>
        <w:rPr>
          <w:rFonts w:ascii="Calibri Light" w:hAnsi="Calibri Light" w:cs="Times New Roman"/>
          <w:b w:val="0"/>
          <w:bCs w:val="0"/>
          <w:szCs w:val="36"/>
        </w:rPr>
      </w:pPr>
      <w:bookmarkStart w:id="152" w:name="_Toc28274"/>
      <w:bookmarkStart w:id="153" w:name="_Toc654771145_WPSOffice_Level2"/>
      <w:bookmarkStart w:id="154" w:name="_Toc18774"/>
      <w:bookmarkStart w:id="155" w:name="_Toc15542"/>
      <w:bookmarkStart w:id="156" w:name="_Toc29526"/>
      <w:r>
        <w:rPr>
          <w:rFonts w:hint="eastAsia" w:ascii="Calibri Light" w:hAnsi="Calibri Light" w:cs="Times New Roman"/>
          <w:b w:val="0"/>
          <w:bCs w:val="0"/>
          <w:szCs w:val="36"/>
        </w:rPr>
        <w:t>第三节 基本原则</w:t>
      </w:r>
      <w:bookmarkEnd w:id="146"/>
      <w:bookmarkEnd w:id="152"/>
      <w:bookmarkEnd w:id="153"/>
      <w:bookmarkEnd w:id="154"/>
      <w:bookmarkEnd w:id="155"/>
      <w:bookmarkEnd w:id="156"/>
    </w:p>
    <w:p>
      <w:pPr>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sz w:val="32"/>
          <w:szCs w:val="32"/>
        </w:rPr>
      </w:pPr>
      <w:r>
        <w:rPr>
          <w:rFonts w:hint="eastAsia" w:ascii="仿宋" w:hAnsi="仿宋" w:eastAsia="仿宋" w:cs="仿宋"/>
          <w:b/>
          <w:bCs w:val="0"/>
          <w:sz w:val="32"/>
          <w:szCs w:val="32"/>
        </w:rPr>
        <w:t>坚持生态优先、绿色发展。</w:t>
      </w:r>
      <w:r>
        <w:rPr>
          <w:rFonts w:hint="eastAsia" w:ascii="仿宋" w:hAnsi="仿宋" w:eastAsia="仿宋" w:cs="仿宋"/>
          <w:sz w:val="32"/>
          <w:szCs w:val="32"/>
        </w:rPr>
        <w:t>牢固树立绿水青山就是金山银山的理念，以水资源和环境承载力为刚性约束，坚持以水定产、量水而行，严守生态保护红线，严格落实草畜平衡、禁牧、休牧、轮牧制度，优化农牧业布局和生产结构，推动农牧业绿色高质量发展。</w:t>
      </w:r>
    </w:p>
    <w:p>
      <w:pPr>
        <w:pStyle w:val="2"/>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b w:val="0"/>
          <w:bCs/>
          <w:sz w:val="32"/>
          <w:szCs w:val="32"/>
        </w:rPr>
      </w:pPr>
      <w:r>
        <w:rPr>
          <w:rFonts w:hint="eastAsia" w:ascii="仿宋" w:hAnsi="仿宋" w:eastAsia="仿宋" w:cs="仿宋"/>
          <w:b/>
          <w:bCs w:val="0"/>
          <w:sz w:val="32"/>
          <w:szCs w:val="32"/>
        </w:rPr>
        <w:t>坚持创新驱动、补齐短板。</w:t>
      </w:r>
      <w:r>
        <w:rPr>
          <w:rFonts w:hint="eastAsia" w:ascii="仿宋" w:hAnsi="仿宋" w:eastAsia="仿宋" w:cs="仿宋"/>
          <w:b w:val="0"/>
          <w:bCs/>
          <w:sz w:val="32"/>
          <w:szCs w:val="32"/>
        </w:rPr>
        <w:t>坚持科技创新引领全面创新，建立健全城乡融合发展体制机制，加快补齐农牧业农村牧区基础设施滞后、要素配置不合理、公共服务能力不强、人才队伍紧缺等方面短板和弱项，推动农牧业农村牧区充分发展和城乡融合发展。</w:t>
      </w:r>
    </w:p>
    <w:p>
      <w:pPr>
        <w:pStyle w:val="2"/>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b/>
          <w:bCs w:val="0"/>
          <w:sz w:val="32"/>
          <w:szCs w:val="32"/>
        </w:rPr>
      </w:pPr>
      <w:r>
        <w:rPr>
          <w:rFonts w:hint="eastAsia" w:ascii="仿宋" w:hAnsi="仿宋" w:eastAsia="仿宋" w:cs="仿宋"/>
          <w:b/>
          <w:bCs w:val="0"/>
          <w:sz w:val="32"/>
          <w:szCs w:val="32"/>
        </w:rPr>
        <w:t>坚持因地制宜、统筹推进。</w:t>
      </w:r>
      <w:r>
        <w:rPr>
          <w:rFonts w:hint="eastAsia" w:ascii="仿宋" w:hAnsi="仿宋" w:eastAsia="仿宋" w:cs="仿宋"/>
          <w:b w:val="0"/>
          <w:bCs/>
          <w:sz w:val="32"/>
          <w:szCs w:val="32"/>
        </w:rPr>
        <w:t>围绕各地区资源禀赋和产业实际，坚持因地制宜</w:t>
      </w:r>
      <w:r>
        <w:rPr>
          <w:rFonts w:hint="eastAsia" w:ascii="仿宋" w:hAnsi="仿宋" w:eastAsia="仿宋" w:cs="仿宋"/>
          <w:b w:val="0"/>
          <w:bCs/>
          <w:sz w:val="32"/>
          <w:szCs w:val="32"/>
          <w:lang w:eastAsia="zh-CN"/>
        </w:rPr>
        <w:t>、</w:t>
      </w:r>
      <w:r>
        <w:rPr>
          <w:rFonts w:hint="eastAsia" w:ascii="仿宋" w:hAnsi="仿宋" w:eastAsia="仿宋" w:cs="仿宋"/>
          <w:b w:val="0"/>
          <w:bCs/>
          <w:sz w:val="32"/>
          <w:szCs w:val="32"/>
        </w:rPr>
        <w:t>分类施策，</w:t>
      </w:r>
      <w:r>
        <w:rPr>
          <w:rFonts w:hint="eastAsia" w:ascii="仿宋" w:hAnsi="仿宋" w:eastAsia="仿宋" w:cs="仿宋"/>
          <w:b w:val="0"/>
          <w:bCs/>
          <w:sz w:val="32"/>
          <w:szCs w:val="32"/>
          <w:lang w:eastAsia="zh-CN"/>
        </w:rPr>
        <w:t>突出重点、有序推进</w:t>
      </w:r>
      <w:r>
        <w:rPr>
          <w:rFonts w:hint="eastAsia" w:ascii="仿宋" w:hAnsi="仿宋" w:eastAsia="仿宋" w:cs="仿宋"/>
          <w:b w:val="0"/>
          <w:bCs/>
          <w:sz w:val="32"/>
          <w:szCs w:val="32"/>
        </w:rPr>
        <w:t>。注重规划先行、精准施策</w:t>
      </w:r>
      <w:r>
        <w:rPr>
          <w:rFonts w:hint="eastAsia" w:ascii="仿宋" w:hAnsi="仿宋" w:eastAsia="仿宋" w:cs="仿宋"/>
          <w:b w:val="0"/>
          <w:bCs/>
          <w:sz w:val="32"/>
          <w:szCs w:val="32"/>
          <w:lang w:eastAsia="zh-CN"/>
        </w:rPr>
        <w:t>，</w:t>
      </w:r>
      <w:r>
        <w:rPr>
          <w:rFonts w:hint="eastAsia" w:ascii="仿宋" w:hAnsi="仿宋" w:eastAsia="仿宋" w:cs="仿宋"/>
          <w:b w:val="0"/>
          <w:bCs/>
          <w:sz w:val="32"/>
          <w:szCs w:val="32"/>
        </w:rPr>
        <w:t>不搞一刀切，既尽力而为，又量力而行，既勇于改革创新</w:t>
      </w:r>
      <w:r>
        <w:rPr>
          <w:rFonts w:hint="eastAsia" w:ascii="仿宋" w:hAnsi="仿宋" w:eastAsia="仿宋" w:cs="仿宋"/>
          <w:b w:val="0"/>
          <w:bCs/>
          <w:sz w:val="32"/>
          <w:szCs w:val="32"/>
          <w:lang w:eastAsia="zh-CN"/>
        </w:rPr>
        <w:t>，</w:t>
      </w:r>
      <w:r>
        <w:rPr>
          <w:rFonts w:hint="eastAsia" w:ascii="仿宋" w:hAnsi="仿宋" w:eastAsia="仿宋" w:cs="仿宋"/>
          <w:b w:val="0"/>
          <w:bCs/>
          <w:sz w:val="32"/>
          <w:szCs w:val="32"/>
        </w:rPr>
        <w:t>又坚守底线思维，合理设定阶段性目标任务，统筹好发展和安全两件大事</w:t>
      </w:r>
      <w:r>
        <w:rPr>
          <w:rFonts w:hint="eastAsia" w:ascii="仿宋" w:hAnsi="仿宋" w:eastAsia="仿宋" w:cs="仿宋"/>
          <w:b w:val="0"/>
          <w:bCs/>
          <w:sz w:val="32"/>
          <w:szCs w:val="32"/>
          <w:lang w:eastAsia="zh-CN"/>
        </w:rPr>
        <w:t>，</w:t>
      </w:r>
      <w:r>
        <w:rPr>
          <w:rFonts w:hint="eastAsia" w:ascii="仿宋" w:hAnsi="仿宋" w:eastAsia="仿宋" w:cs="仿宋"/>
          <w:b w:val="0"/>
          <w:bCs/>
          <w:sz w:val="32"/>
          <w:szCs w:val="32"/>
        </w:rPr>
        <w:t>统筹推进，久久为功。</w:t>
      </w:r>
    </w:p>
    <w:p>
      <w:pPr>
        <w:pStyle w:val="2"/>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rPr>
      </w:pPr>
      <w:r>
        <w:rPr>
          <w:rFonts w:hint="eastAsia" w:ascii="仿宋" w:hAnsi="仿宋" w:eastAsia="仿宋" w:cs="仿宋"/>
          <w:b/>
          <w:bCs w:val="0"/>
        </w:rPr>
        <w:t>坚持政府主导、农牧民主体。</w:t>
      </w:r>
      <w:r>
        <w:rPr>
          <w:rFonts w:hint="eastAsia" w:ascii="仿宋" w:hAnsi="仿宋" w:eastAsia="仿宋" w:cs="仿宋"/>
          <w:bCs/>
        </w:rPr>
        <w:t>充分尊重农牧民意愿，顺应农牧民期盼，把维护农牧民群众根本利益、促进农牧民共同富裕作为出发点和落脚点，不断提升农牧民素质，促进农牧民持续增收，充分调动农牧民建设美好家园的积极性、主动性</w:t>
      </w:r>
      <w:r>
        <w:rPr>
          <w:rFonts w:hint="eastAsia" w:ascii="仿宋" w:hAnsi="仿宋" w:eastAsia="仿宋" w:cs="仿宋"/>
          <w:bCs/>
          <w:lang w:eastAsia="zh-CN"/>
        </w:rPr>
        <w:t>和</w:t>
      </w:r>
      <w:r>
        <w:rPr>
          <w:rFonts w:hint="eastAsia" w:ascii="仿宋" w:hAnsi="仿宋" w:eastAsia="仿宋" w:cs="仿宋"/>
          <w:bCs/>
        </w:rPr>
        <w:t>创造性，不断提升农牧民</w:t>
      </w:r>
      <w:r>
        <w:rPr>
          <w:rFonts w:hint="eastAsia" w:ascii="仿宋" w:hAnsi="仿宋" w:eastAsia="仿宋" w:cs="仿宋"/>
          <w:bCs/>
          <w:lang w:eastAsia="zh-CN"/>
        </w:rPr>
        <w:t>群众</w:t>
      </w:r>
      <w:r>
        <w:rPr>
          <w:rFonts w:hint="eastAsia" w:ascii="仿宋" w:hAnsi="仿宋" w:eastAsia="仿宋" w:cs="仿宋"/>
          <w:bCs/>
        </w:rPr>
        <w:t>获得感、幸福感</w:t>
      </w:r>
      <w:r>
        <w:rPr>
          <w:rFonts w:hint="eastAsia" w:ascii="仿宋" w:hAnsi="仿宋" w:eastAsia="仿宋" w:cs="仿宋"/>
          <w:bCs/>
          <w:lang w:eastAsia="zh-CN"/>
        </w:rPr>
        <w:t>和</w:t>
      </w:r>
      <w:r>
        <w:rPr>
          <w:rFonts w:hint="eastAsia" w:ascii="仿宋" w:hAnsi="仿宋" w:eastAsia="仿宋" w:cs="仿宋"/>
          <w:bCs/>
        </w:rPr>
        <w:t>安全感。</w:t>
      </w:r>
    </w:p>
    <w:p>
      <w:pPr>
        <w:pStyle w:val="2"/>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rPr>
      </w:pPr>
      <w:r>
        <w:rPr>
          <w:rFonts w:hint="eastAsia" w:ascii="仿宋" w:hAnsi="仿宋" w:eastAsia="仿宋" w:cs="仿宋"/>
          <w:b/>
          <w:bCs w:val="0"/>
        </w:rPr>
        <w:t>坚持市场导向、融合发展。</w:t>
      </w:r>
      <w:r>
        <w:rPr>
          <w:rFonts w:hint="eastAsia" w:ascii="仿宋" w:hAnsi="仿宋" w:eastAsia="仿宋" w:cs="仿宋"/>
        </w:rPr>
        <w:t>充分发挥市场在资源配置中的决定性作用，激活要素、激活市场、激活主体，以农牧企业为载体，引导资源要素更多向农村牧区汇聚。充分发挥肉羊、肉牛</w:t>
      </w:r>
      <w:r>
        <w:rPr>
          <w:rFonts w:hint="eastAsia" w:ascii="仿宋" w:hAnsi="仿宋" w:eastAsia="仿宋" w:cs="仿宋"/>
          <w:lang w:eastAsia="zh-CN"/>
        </w:rPr>
        <w:t>等</w:t>
      </w:r>
      <w:r>
        <w:rPr>
          <w:rFonts w:hint="eastAsia" w:ascii="仿宋" w:hAnsi="仿宋" w:eastAsia="仿宋" w:cs="仿宋"/>
        </w:rPr>
        <w:t>产业</w:t>
      </w:r>
      <w:r>
        <w:rPr>
          <w:rFonts w:hint="eastAsia" w:ascii="仿宋" w:hAnsi="仿宋" w:eastAsia="仿宋" w:cs="仿宋"/>
          <w:lang w:eastAsia="zh-CN"/>
        </w:rPr>
        <w:t>的</w:t>
      </w:r>
      <w:r>
        <w:rPr>
          <w:rFonts w:hint="eastAsia" w:ascii="仿宋" w:hAnsi="仿宋" w:eastAsia="仿宋" w:cs="仿宋"/>
        </w:rPr>
        <w:t>资源优势和区位优势，</w:t>
      </w:r>
      <w:r>
        <w:rPr>
          <w:rFonts w:hint="eastAsia" w:ascii="仿宋" w:hAnsi="仿宋" w:eastAsia="仿宋" w:cs="仿宋"/>
          <w:lang w:eastAsia="zh-CN"/>
        </w:rPr>
        <w:t>推动</w:t>
      </w:r>
      <w:r>
        <w:rPr>
          <w:rFonts w:hint="eastAsia" w:ascii="仿宋" w:hAnsi="仿宋" w:eastAsia="仿宋" w:cs="仿宋"/>
        </w:rPr>
        <w:t>全产业链发展，</w:t>
      </w:r>
      <w:r>
        <w:rPr>
          <w:rFonts w:hint="eastAsia" w:ascii="仿宋" w:hAnsi="仿宋" w:eastAsia="仿宋" w:cs="仿宋"/>
          <w:lang w:eastAsia="zh-CN"/>
        </w:rPr>
        <w:t>促进</w:t>
      </w:r>
      <w:r>
        <w:rPr>
          <w:rFonts w:hint="eastAsia" w:ascii="仿宋" w:hAnsi="仿宋" w:eastAsia="仿宋" w:cs="仿宋"/>
        </w:rPr>
        <w:t>一二三产业有效融合。</w:t>
      </w:r>
    </w:p>
    <w:bookmarkEnd w:id="147"/>
    <w:bookmarkEnd w:id="148"/>
    <w:bookmarkEnd w:id="149"/>
    <w:bookmarkEnd w:id="150"/>
    <w:bookmarkEnd w:id="151"/>
    <w:p>
      <w:pPr>
        <w:pStyle w:val="4"/>
        <w:pageBreakBefore w:val="0"/>
        <w:widowControl w:val="0"/>
        <w:kinsoku/>
        <w:wordWrap/>
        <w:overflowPunct/>
        <w:topLinePunct w:val="0"/>
        <w:autoSpaceDE/>
        <w:autoSpaceDN/>
        <w:bidi w:val="0"/>
        <w:adjustRightInd/>
        <w:snapToGrid/>
        <w:spacing w:before="156" w:beforeLines="50" w:after="156" w:afterLines="50" w:line="600" w:lineRule="exact"/>
        <w:textAlignment w:val="auto"/>
        <w:rPr>
          <w:rFonts w:ascii="Calibri Light" w:hAnsi="Calibri Light" w:cs="Times New Roman"/>
          <w:b w:val="0"/>
          <w:bCs w:val="0"/>
          <w:szCs w:val="36"/>
        </w:rPr>
      </w:pPr>
      <w:bookmarkStart w:id="157" w:name="_Toc8237"/>
      <w:bookmarkStart w:id="158" w:name="_Toc25146"/>
      <w:bookmarkStart w:id="159" w:name="_Toc58870089"/>
      <w:bookmarkStart w:id="160" w:name="_Toc13970"/>
      <w:bookmarkStart w:id="161" w:name="_Toc694231440_WPSOffice_Level2"/>
      <w:bookmarkStart w:id="162" w:name="_Toc24003"/>
      <w:bookmarkStart w:id="163" w:name="_Toc59000497"/>
      <w:r>
        <w:rPr>
          <w:rFonts w:hint="eastAsia" w:ascii="Calibri Light" w:hAnsi="Calibri Light" w:cs="Times New Roman"/>
          <w:b w:val="0"/>
          <w:bCs w:val="0"/>
          <w:szCs w:val="36"/>
        </w:rPr>
        <w:t>第四节 发展目标</w:t>
      </w:r>
      <w:bookmarkEnd w:id="117"/>
      <w:bookmarkEnd w:id="118"/>
      <w:bookmarkEnd w:id="119"/>
      <w:bookmarkEnd w:id="157"/>
      <w:bookmarkEnd w:id="158"/>
      <w:bookmarkEnd w:id="159"/>
      <w:bookmarkEnd w:id="160"/>
      <w:bookmarkEnd w:id="161"/>
      <w:bookmarkEnd w:id="162"/>
      <w:bookmarkEnd w:id="163"/>
    </w:p>
    <w:p>
      <w:pPr>
        <w:pageBreakBefore w:val="0"/>
        <w:widowControl w:val="0"/>
        <w:kinsoku/>
        <w:wordWrap/>
        <w:overflowPunct/>
        <w:topLinePunct w:val="0"/>
        <w:autoSpaceDE/>
        <w:autoSpaceDN/>
        <w:bidi w:val="0"/>
        <w:adjustRightInd/>
        <w:snapToGrid/>
        <w:spacing w:line="600" w:lineRule="exact"/>
        <w:ind w:firstLine="640" w:firstLineChars="200"/>
        <w:textAlignment w:val="auto"/>
        <w:rPr>
          <w:rFonts w:ascii="仿宋" w:hAnsi="仿宋" w:eastAsia="仿宋" w:cstheme="minorBidi"/>
          <w:sz w:val="32"/>
          <w:szCs w:val="32"/>
        </w:rPr>
      </w:pPr>
      <w:r>
        <w:rPr>
          <w:rFonts w:ascii="仿宋" w:hAnsi="仿宋" w:eastAsia="仿宋" w:cstheme="minorBidi"/>
          <w:sz w:val="32"/>
          <w:szCs w:val="32"/>
        </w:rPr>
        <w:t>到2025年，全盟农牧业农村牧区现代化取得重要进展，乡村振兴战略全面推进，农牧业发展基础更加稳固，综合生产能力大幅提升，质量效益和竞争力稳步提高，农牧业农村牧区基础设施建设和公共服务能力显著提升，农村牧区生态环境明显改善，现代乡村治理体系初步构建，治理能力有效增强，农牧民生产生活水平稳步提</w:t>
      </w:r>
      <w:r>
        <w:rPr>
          <w:rFonts w:hint="eastAsia" w:ascii="仿宋" w:hAnsi="仿宋" w:eastAsia="仿宋" w:cstheme="minorBidi"/>
          <w:sz w:val="32"/>
          <w:szCs w:val="32"/>
          <w:lang w:eastAsia="zh-CN"/>
        </w:rPr>
        <w:t>高</w:t>
      </w:r>
      <w:r>
        <w:rPr>
          <w:rFonts w:ascii="仿宋" w:hAnsi="仿宋" w:eastAsia="仿宋" w:cstheme="minorBidi"/>
          <w:sz w:val="32"/>
          <w:szCs w:val="32"/>
        </w:rPr>
        <w:t>，实现巩固拓展脱贫攻坚成果同乡村振兴有效衔接。</w:t>
      </w:r>
    </w:p>
    <w:p>
      <w:pPr>
        <w:pStyle w:val="2"/>
        <w:pageBreakBefore w:val="0"/>
        <w:widowControl w:val="0"/>
        <w:kinsoku/>
        <w:wordWrap/>
        <w:overflowPunct/>
        <w:topLinePunct w:val="0"/>
        <w:autoSpaceDE/>
        <w:autoSpaceDN/>
        <w:bidi w:val="0"/>
        <w:adjustRightInd/>
        <w:snapToGrid/>
        <w:spacing w:line="600" w:lineRule="exact"/>
        <w:ind w:firstLine="640" w:firstLineChars="200"/>
        <w:textAlignment w:val="auto"/>
      </w:pPr>
      <w:r>
        <w:rPr>
          <w:rFonts w:ascii="仿宋" w:hAnsi="仿宋" w:eastAsia="仿宋" w:cstheme="minorBidi"/>
        </w:rPr>
        <w:t>展望2035年，全盟</w:t>
      </w:r>
      <w:r>
        <w:rPr>
          <w:rFonts w:hint="eastAsia" w:ascii="仿宋" w:hAnsi="仿宋" w:eastAsia="仿宋" w:cstheme="minorBidi"/>
          <w:lang w:eastAsia="zh-CN"/>
        </w:rPr>
        <w:t>农村牧区全面</w:t>
      </w:r>
      <w:r>
        <w:rPr>
          <w:rFonts w:ascii="仿宋" w:hAnsi="仿宋" w:eastAsia="仿宋" w:cstheme="minorBidi"/>
        </w:rPr>
        <w:t>振兴取得决定性进展，农牧业农村牧区现代化基本实现。</w:t>
      </w:r>
    </w:p>
    <w:tbl>
      <w:tblPr>
        <w:tblStyle w:val="26"/>
        <w:tblpPr w:leftFromText="180" w:rightFromText="180" w:vertAnchor="text" w:horzAnchor="page" w:tblpX="1862" w:tblpY="6"/>
        <w:tblOverlap w:val="never"/>
        <w:tblW w:w="8414" w:type="dxa"/>
        <w:tblInd w:w="0" w:type="dxa"/>
        <w:shd w:val="clear" w:color="auto" w:fill="FFFFFF" w:themeFill="background1"/>
        <w:tblLayout w:type="fixed"/>
        <w:tblCellMar>
          <w:top w:w="0" w:type="dxa"/>
          <w:left w:w="108" w:type="dxa"/>
          <w:bottom w:w="0" w:type="dxa"/>
          <w:right w:w="108" w:type="dxa"/>
        </w:tblCellMar>
      </w:tblPr>
      <w:tblGrid>
        <w:gridCol w:w="564"/>
        <w:gridCol w:w="4526"/>
        <w:gridCol w:w="1170"/>
        <w:gridCol w:w="1215"/>
        <w:gridCol w:w="939"/>
      </w:tblGrid>
      <w:tr>
        <w:tblPrEx>
          <w:shd w:val="clear" w:color="auto" w:fill="FFFFFF" w:themeFill="background1"/>
          <w:tblCellMar>
            <w:top w:w="0" w:type="dxa"/>
            <w:left w:w="108" w:type="dxa"/>
            <w:bottom w:w="0" w:type="dxa"/>
            <w:right w:w="108" w:type="dxa"/>
          </w:tblCellMar>
        </w:tblPrEx>
        <w:trPr>
          <w:trHeight w:val="671" w:hRule="exact"/>
        </w:trPr>
        <w:tc>
          <w:tcPr>
            <w:tcW w:w="8414" w:type="dxa"/>
            <w:gridSpan w:val="5"/>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spacing w:line="540" w:lineRule="exact"/>
              <w:jc w:val="center"/>
              <w:rPr>
                <w:rFonts w:ascii="仿宋" w:hAnsi="仿宋" w:eastAsia="仿宋"/>
                <w:b/>
                <w:bCs/>
                <w:kern w:val="0"/>
                <w:sz w:val="28"/>
                <w:szCs w:val="28"/>
              </w:rPr>
            </w:pPr>
            <w:r>
              <w:rPr>
                <w:rFonts w:hint="eastAsia" w:ascii="黑体" w:hAnsi="黑体" w:eastAsia="黑体" w:cs="黑体"/>
                <w:sz w:val="28"/>
                <w:szCs w:val="28"/>
              </w:rPr>
              <w:t>专栏1 “十四五”农牧业农村牧区现代化发展</w:t>
            </w:r>
            <w:r>
              <w:rPr>
                <w:rFonts w:hint="eastAsia" w:ascii="黑体" w:hAnsi="黑体" w:eastAsia="黑体" w:cs="黑体"/>
                <w:sz w:val="28"/>
                <w:szCs w:val="28"/>
                <w:lang w:eastAsia="zh-CN"/>
              </w:rPr>
              <w:t>主要</w:t>
            </w:r>
            <w:r>
              <w:rPr>
                <w:rFonts w:hint="eastAsia" w:ascii="黑体" w:hAnsi="黑体" w:eastAsia="黑体" w:cs="黑体"/>
                <w:sz w:val="28"/>
                <w:szCs w:val="28"/>
              </w:rPr>
              <w:t>指标</w:t>
            </w:r>
          </w:p>
        </w:tc>
      </w:tr>
      <w:tr>
        <w:tblPrEx>
          <w:shd w:val="clear" w:color="auto" w:fill="FFFFFF" w:themeFill="background1"/>
          <w:tblCellMar>
            <w:top w:w="0" w:type="dxa"/>
            <w:left w:w="108" w:type="dxa"/>
            <w:bottom w:w="0" w:type="dxa"/>
            <w:right w:w="108" w:type="dxa"/>
          </w:tblCellMar>
        </w:tblPrEx>
        <w:trPr>
          <w:trHeight w:val="783" w:hRule="exact"/>
        </w:trPr>
        <w:tc>
          <w:tcPr>
            <w:tcW w:w="564"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jc w:val="center"/>
              <w:rPr>
                <w:rFonts w:hint="eastAsia" w:ascii="黑体" w:hAnsi="黑体" w:eastAsia="黑体" w:cs="黑体"/>
                <w:b w:val="0"/>
                <w:bCs/>
                <w:sz w:val="24"/>
              </w:rPr>
            </w:pPr>
            <w:r>
              <w:rPr>
                <w:rFonts w:hint="eastAsia" w:ascii="黑体" w:hAnsi="黑体" w:eastAsia="黑体" w:cs="黑体"/>
                <w:b w:val="0"/>
                <w:bCs/>
                <w:sz w:val="24"/>
              </w:rPr>
              <w:t>序　号</w:t>
            </w:r>
          </w:p>
        </w:tc>
        <w:tc>
          <w:tcPr>
            <w:tcW w:w="4526" w:type="dxa"/>
            <w:tcBorders>
              <w:top w:val="single" w:color="auto" w:sz="4" w:space="0"/>
              <w:left w:val="nil"/>
              <w:bottom w:val="single" w:color="auto" w:sz="4" w:space="0"/>
              <w:right w:val="single" w:color="auto" w:sz="4" w:space="0"/>
            </w:tcBorders>
            <w:shd w:val="clear" w:color="auto" w:fill="FFFFFF" w:themeFill="background1"/>
            <w:vAlign w:val="center"/>
          </w:tcPr>
          <w:p>
            <w:pPr>
              <w:jc w:val="center"/>
              <w:rPr>
                <w:rFonts w:hint="eastAsia" w:ascii="黑体" w:hAnsi="黑体" w:eastAsia="黑体" w:cs="黑体"/>
                <w:b w:val="0"/>
                <w:bCs/>
                <w:sz w:val="24"/>
              </w:rPr>
            </w:pPr>
            <w:r>
              <w:rPr>
                <w:rFonts w:hint="eastAsia" w:ascii="黑体" w:hAnsi="黑体" w:eastAsia="黑体" w:cs="黑体"/>
                <w:b w:val="0"/>
                <w:bCs/>
                <w:sz w:val="24"/>
                <w:lang w:eastAsia="zh-CN"/>
              </w:rPr>
              <w:t>主要</w:t>
            </w:r>
            <w:r>
              <w:rPr>
                <w:rFonts w:hint="eastAsia" w:ascii="黑体" w:hAnsi="黑体" w:eastAsia="黑体" w:cs="黑体"/>
                <w:b w:val="0"/>
                <w:bCs/>
                <w:sz w:val="24"/>
              </w:rPr>
              <w:t>指标</w:t>
            </w:r>
          </w:p>
        </w:tc>
        <w:tc>
          <w:tcPr>
            <w:tcW w:w="1170" w:type="dxa"/>
            <w:tcBorders>
              <w:top w:val="single" w:color="auto" w:sz="4" w:space="0"/>
              <w:left w:val="nil"/>
              <w:bottom w:val="single" w:color="auto" w:sz="4" w:space="0"/>
              <w:right w:val="single" w:color="auto" w:sz="4" w:space="0"/>
            </w:tcBorders>
            <w:shd w:val="clear" w:color="auto" w:fill="FFFFFF" w:themeFill="background1"/>
            <w:vAlign w:val="center"/>
          </w:tcPr>
          <w:p>
            <w:pPr>
              <w:jc w:val="center"/>
              <w:rPr>
                <w:rFonts w:hint="eastAsia" w:ascii="黑体" w:hAnsi="黑体" w:eastAsia="黑体" w:cs="黑体"/>
                <w:b w:val="0"/>
                <w:bCs/>
                <w:sz w:val="24"/>
              </w:rPr>
            </w:pPr>
            <w:r>
              <w:rPr>
                <w:rFonts w:hint="eastAsia" w:ascii="黑体" w:hAnsi="黑体" w:eastAsia="黑体" w:cs="黑体"/>
                <w:b w:val="0"/>
                <w:bCs/>
                <w:sz w:val="24"/>
              </w:rPr>
              <w:t>2020年</w:t>
            </w:r>
          </w:p>
        </w:tc>
        <w:tc>
          <w:tcPr>
            <w:tcW w:w="1215" w:type="dxa"/>
            <w:tcBorders>
              <w:top w:val="single" w:color="auto" w:sz="4" w:space="0"/>
              <w:left w:val="nil"/>
              <w:bottom w:val="single" w:color="auto" w:sz="4" w:space="0"/>
              <w:right w:val="single" w:color="auto" w:sz="4" w:space="0"/>
            </w:tcBorders>
            <w:shd w:val="clear" w:color="auto" w:fill="FFFFFF" w:themeFill="background1"/>
            <w:vAlign w:val="center"/>
          </w:tcPr>
          <w:p>
            <w:pPr>
              <w:jc w:val="center"/>
              <w:rPr>
                <w:rFonts w:hint="eastAsia" w:ascii="黑体" w:hAnsi="黑体" w:eastAsia="黑体" w:cs="黑体"/>
                <w:b w:val="0"/>
                <w:bCs/>
                <w:sz w:val="24"/>
              </w:rPr>
            </w:pPr>
            <w:r>
              <w:rPr>
                <w:rFonts w:hint="eastAsia" w:ascii="黑体" w:hAnsi="黑体" w:eastAsia="黑体" w:cs="黑体"/>
                <w:b w:val="0"/>
                <w:bCs/>
                <w:sz w:val="24"/>
              </w:rPr>
              <w:t>2025年</w:t>
            </w:r>
          </w:p>
        </w:tc>
        <w:tc>
          <w:tcPr>
            <w:tcW w:w="939" w:type="dxa"/>
            <w:tcBorders>
              <w:top w:val="single" w:color="auto" w:sz="4" w:space="0"/>
              <w:left w:val="nil"/>
              <w:bottom w:val="single" w:color="auto" w:sz="4" w:space="0"/>
              <w:right w:val="single" w:color="auto" w:sz="4" w:space="0"/>
            </w:tcBorders>
            <w:shd w:val="clear" w:color="auto" w:fill="FFFFFF" w:themeFill="background1"/>
            <w:vAlign w:val="center"/>
          </w:tcPr>
          <w:p>
            <w:pPr>
              <w:jc w:val="center"/>
              <w:rPr>
                <w:rFonts w:hint="eastAsia" w:ascii="黑体" w:hAnsi="黑体" w:eastAsia="黑体" w:cs="黑体"/>
                <w:b w:val="0"/>
                <w:bCs/>
                <w:sz w:val="24"/>
              </w:rPr>
            </w:pPr>
            <w:r>
              <w:rPr>
                <w:rFonts w:hint="eastAsia" w:ascii="黑体" w:hAnsi="黑体" w:eastAsia="黑体" w:cs="黑体"/>
                <w:b w:val="0"/>
                <w:bCs/>
                <w:sz w:val="24"/>
              </w:rPr>
              <w:t>指标</w:t>
            </w:r>
            <w:r>
              <w:rPr>
                <w:rFonts w:hint="eastAsia" w:ascii="黑体" w:hAnsi="黑体" w:eastAsia="黑体" w:cs="黑体"/>
                <w:b w:val="0"/>
                <w:bCs/>
                <w:sz w:val="24"/>
                <w:lang w:val="en-US" w:eastAsia="zh-CN"/>
              </w:rPr>
              <w:t xml:space="preserve">      </w:t>
            </w:r>
            <w:r>
              <w:rPr>
                <w:rFonts w:hint="eastAsia" w:ascii="黑体" w:hAnsi="黑体" w:eastAsia="黑体" w:cs="黑体"/>
                <w:b w:val="0"/>
                <w:bCs/>
                <w:sz w:val="24"/>
              </w:rPr>
              <w:t>属性</w:t>
            </w:r>
          </w:p>
        </w:tc>
      </w:tr>
      <w:tr>
        <w:tblPrEx>
          <w:shd w:val="clear" w:color="auto" w:fill="FFFFFF" w:themeFill="background1"/>
          <w:tblCellMar>
            <w:top w:w="0" w:type="dxa"/>
            <w:left w:w="108" w:type="dxa"/>
            <w:bottom w:w="0" w:type="dxa"/>
            <w:right w:w="108" w:type="dxa"/>
          </w:tblCellMar>
        </w:tblPrEx>
        <w:trPr>
          <w:trHeight w:val="590" w:hRule="exact"/>
        </w:trPr>
        <w:tc>
          <w:tcPr>
            <w:tcW w:w="564"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jc w:val="center"/>
              <w:rPr>
                <w:rFonts w:hint="eastAsia" w:ascii="宋体" w:hAnsi="宋体" w:eastAsia="宋体" w:cs="宋体"/>
                <w:b w:val="0"/>
                <w:bCs w:val="0"/>
                <w:sz w:val="24"/>
              </w:rPr>
            </w:pPr>
            <w:r>
              <w:rPr>
                <w:rFonts w:hint="eastAsia" w:ascii="宋体" w:hAnsi="宋体" w:eastAsia="宋体" w:cs="宋体"/>
                <w:b w:val="0"/>
                <w:bCs w:val="0"/>
                <w:sz w:val="24"/>
              </w:rPr>
              <w:t>1</w:t>
            </w:r>
          </w:p>
        </w:tc>
        <w:tc>
          <w:tcPr>
            <w:tcW w:w="4526" w:type="dxa"/>
            <w:tcBorders>
              <w:top w:val="nil"/>
              <w:left w:val="nil"/>
              <w:bottom w:val="single" w:color="auto" w:sz="4" w:space="0"/>
              <w:right w:val="single" w:color="auto" w:sz="4" w:space="0"/>
            </w:tcBorders>
            <w:shd w:val="clear" w:color="auto" w:fill="FFFFFF" w:themeFill="background1"/>
            <w:vAlign w:val="center"/>
          </w:tcPr>
          <w:p>
            <w:pPr>
              <w:jc w:val="left"/>
              <w:rPr>
                <w:rFonts w:ascii="Times New Roman" w:hAnsi="Times New Roman" w:eastAsia="仿宋" w:cs="Times New Roman"/>
                <w:bCs/>
                <w:sz w:val="24"/>
              </w:rPr>
            </w:pPr>
            <w:r>
              <w:rPr>
                <w:rFonts w:ascii="Times New Roman" w:hAnsi="Times New Roman" w:eastAsia="仿宋" w:cs="Times New Roman"/>
                <w:bCs/>
                <w:sz w:val="24"/>
              </w:rPr>
              <w:t>粮食</w:t>
            </w:r>
            <w:r>
              <w:rPr>
                <w:rFonts w:hint="eastAsia" w:ascii="Times New Roman" w:hAnsi="Times New Roman" w:eastAsia="仿宋" w:cs="Times New Roman"/>
                <w:bCs/>
                <w:sz w:val="24"/>
                <w:lang w:eastAsia="zh-CN"/>
              </w:rPr>
              <w:t>综合生产能力</w:t>
            </w:r>
            <w:r>
              <w:rPr>
                <w:rFonts w:ascii="Times New Roman" w:hAnsi="Times New Roman" w:eastAsia="仿宋" w:cs="Times New Roman"/>
                <w:bCs/>
                <w:sz w:val="24"/>
              </w:rPr>
              <w:t>（万吨）</w:t>
            </w:r>
          </w:p>
        </w:tc>
        <w:tc>
          <w:tcPr>
            <w:tcW w:w="1170" w:type="dxa"/>
            <w:tcBorders>
              <w:top w:val="nil"/>
              <w:left w:val="nil"/>
              <w:bottom w:val="single" w:color="auto" w:sz="4" w:space="0"/>
              <w:right w:val="single" w:color="auto" w:sz="4" w:space="0"/>
            </w:tcBorders>
            <w:shd w:val="clear" w:color="auto" w:fill="FFFFFF" w:themeFill="background1"/>
            <w:vAlign w:val="center"/>
          </w:tcPr>
          <w:p>
            <w:pPr>
              <w:jc w:val="center"/>
              <w:rPr>
                <w:rFonts w:hint="eastAsia" w:ascii="宋体" w:hAnsi="宋体" w:eastAsia="宋体" w:cs="宋体"/>
                <w:sz w:val="21"/>
                <w:szCs w:val="21"/>
              </w:rPr>
            </w:pPr>
            <w:r>
              <w:rPr>
                <w:rFonts w:hint="eastAsia" w:ascii="宋体" w:hAnsi="宋体" w:eastAsia="宋体" w:cs="宋体"/>
                <w:sz w:val="21"/>
                <w:szCs w:val="21"/>
              </w:rPr>
              <w:t>46.48</w:t>
            </w:r>
          </w:p>
        </w:tc>
        <w:tc>
          <w:tcPr>
            <w:tcW w:w="1215" w:type="dxa"/>
            <w:tcBorders>
              <w:top w:val="nil"/>
              <w:left w:val="nil"/>
              <w:bottom w:val="single" w:color="auto" w:sz="4" w:space="0"/>
              <w:right w:val="single" w:color="auto" w:sz="4" w:space="0"/>
            </w:tcBorders>
            <w:shd w:val="clear" w:color="auto" w:fill="FFFFFF" w:themeFill="background1"/>
            <w:vAlign w:val="center"/>
          </w:tcPr>
          <w:p>
            <w:pPr>
              <w:jc w:val="center"/>
              <w:rPr>
                <w:rFonts w:hint="eastAsia" w:ascii="宋体" w:hAnsi="宋体" w:eastAsia="宋体" w:cs="宋体"/>
                <w:sz w:val="21"/>
                <w:szCs w:val="21"/>
              </w:rPr>
            </w:pPr>
            <w:r>
              <w:rPr>
                <w:rFonts w:hint="eastAsia" w:ascii="宋体" w:hAnsi="宋体" w:eastAsia="宋体" w:cs="宋体"/>
                <w:sz w:val="21"/>
                <w:szCs w:val="21"/>
              </w:rPr>
              <w:t>&gt;50</w:t>
            </w:r>
          </w:p>
        </w:tc>
        <w:tc>
          <w:tcPr>
            <w:tcW w:w="939" w:type="dxa"/>
            <w:tcBorders>
              <w:top w:val="nil"/>
              <w:left w:val="nil"/>
              <w:bottom w:val="single" w:color="auto" w:sz="4" w:space="0"/>
              <w:right w:val="single" w:color="auto" w:sz="4" w:space="0"/>
            </w:tcBorders>
            <w:shd w:val="clear" w:color="auto" w:fill="FFFFFF" w:themeFill="background1"/>
            <w:vAlign w:val="center"/>
          </w:tcPr>
          <w:p>
            <w:pPr>
              <w:jc w:val="center"/>
              <w:rPr>
                <w:rFonts w:ascii="仿宋" w:hAnsi="仿宋" w:eastAsia="仿宋" w:cs="仿宋"/>
                <w:sz w:val="24"/>
              </w:rPr>
            </w:pPr>
            <w:r>
              <w:rPr>
                <w:rFonts w:hint="eastAsia" w:ascii="仿宋" w:hAnsi="仿宋" w:eastAsia="仿宋" w:cs="仿宋"/>
                <w:sz w:val="24"/>
              </w:rPr>
              <w:t>约束性</w:t>
            </w:r>
          </w:p>
        </w:tc>
      </w:tr>
      <w:tr>
        <w:tblPrEx>
          <w:shd w:val="clear" w:color="auto" w:fill="FFFFFF" w:themeFill="background1"/>
          <w:tblCellMar>
            <w:top w:w="0" w:type="dxa"/>
            <w:left w:w="108" w:type="dxa"/>
            <w:bottom w:w="0" w:type="dxa"/>
            <w:right w:w="108" w:type="dxa"/>
          </w:tblCellMar>
        </w:tblPrEx>
        <w:trPr>
          <w:trHeight w:val="590" w:hRule="exact"/>
        </w:trPr>
        <w:tc>
          <w:tcPr>
            <w:tcW w:w="564"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jc w:val="center"/>
              <w:rPr>
                <w:rFonts w:hint="eastAsia" w:ascii="宋体" w:hAnsi="宋体" w:eastAsia="宋体" w:cs="宋体"/>
                <w:b w:val="0"/>
                <w:bCs w:val="0"/>
                <w:sz w:val="24"/>
              </w:rPr>
            </w:pPr>
            <w:r>
              <w:rPr>
                <w:rFonts w:hint="eastAsia" w:ascii="宋体" w:hAnsi="宋体" w:eastAsia="宋体" w:cs="宋体"/>
                <w:b w:val="0"/>
                <w:bCs w:val="0"/>
                <w:sz w:val="24"/>
              </w:rPr>
              <w:t>2</w:t>
            </w:r>
          </w:p>
        </w:tc>
        <w:tc>
          <w:tcPr>
            <w:tcW w:w="4526" w:type="dxa"/>
            <w:tcBorders>
              <w:top w:val="nil"/>
              <w:left w:val="nil"/>
              <w:bottom w:val="single" w:color="auto" w:sz="4" w:space="0"/>
              <w:right w:val="single" w:color="auto" w:sz="4" w:space="0"/>
            </w:tcBorders>
            <w:shd w:val="clear" w:color="auto" w:fill="FFFFFF" w:themeFill="background1"/>
            <w:vAlign w:val="center"/>
          </w:tcPr>
          <w:p>
            <w:pPr>
              <w:jc w:val="left"/>
              <w:rPr>
                <w:rFonts w:ascii="Times New Roman" w:hAnsi="Times New Roman" w:eastAsia="仿宋" w:cs="Times New Roman"/>
                <w:sz w:val="24"/>
              </w:rPr>
            </w:pPr>
            <w:r>
              <w:rPr>
                <w:rFonts w:ascii="Times New Roman" w:hAnsi="Times New Roman" w:eastAsia="仿宋" w:cs="Times New Roman"/>
                <w:sz w:val="24"/>
              </w:rPr>
              <w:t>肉类总产量（万吨）</w:t>
            </w:r>
          </w:p>
        </w:tc>
        <w:tc>
          <w:tcPr>
            <w:tcW w:w="1170" w:type="dxa"/>
            <w:tcBorders>
              <w:top w:val="nil"/>
              <w:left w:val="nil"/>
              <w:bottom w:val="single" w:color="auto" w:sz="4" w:space="0"/>
              <w:right w:val="single" w:color="auto" w:sz="4" w:space="0"/>
            </w:tcBorders>
            <w:shd w:val="clear" w:color="auto" w:fill="FFFFFF" w:themeFill="background1"/>
            <w:vAlign w:val="center"/>
          </w:tcPr>
          <w:p>
            <w:pPr>
              <w:jc w:val="center"/>
              <w:rPr>
                <w:rFonts w:hint="eastAsia" w:ascii="宋体" w:hAnsi="宋体" w:eastAsia="宋体" w:cs="宋体"/>
                <w:sz w:val="21"/>
                <w:szCs w:val="21"/>
              </w:rPr>
            </w:pPr>
            <w:r>
              <w:rPr>
                <w:rFonts w:hint="eastAsia" w:ascii="宋体" w:hAnsi="宋体" w:eastAsia="宋体" w:cs="宋体"/>
                <w:sz w:val="21"/>
                <w:szCs w:val="21"/>
              </w:rPr>
              <w:t>27.7</w:t>
            </w:r>
          </w:p>
        </w:tc>
        <w:tc>
          <w:tcPr>
            <w:tcW w:w="1215" w:type="dxa"/>
            <w:tcBorders>
              <w:top w:val="nil"/>
              <w:left w:val="nil"/>
              <w:bottom w:val="single" w:color="auto" w:sz="4" w:space="0"/>
              <w:right w:val="single" w:color="auto" w:sz="4" w:space="0"/>
            </w:tcBorders>
            <w:shd w:val="clear" w:color="auto" w:fill="FFFFFF" w:themeFill="background1"/>
            <w:vAlign w:val="center"/>
          </w:tcPr>
          <w:p>
            <w:pPr>
              <w:jc w:val="center"/>
              <w:rPr>
                <w:rFonts w:hint="eastAsia" w:ascii="宋体" w:hAnsi="宋体" w:eastAsia="宋体" w:cs="宋体"/>
                <w:sz w:val="21"/>
                <w:szCs w:val="21"/>
                <w:lang w:eastAsia="zh-CN"/>
              </w:rPr>
            </w:pPr>
            <w:r>
              <w:rPr>
                <w:rFonts w:hint="eastAsia" w:ascii="宋体" w:hAnsi="宋体" w:eastAsia="宋体" w:cs="宋体"/>
                <w:sz w:val="21"/>
                <w:szCs w:val="21"/>
              </w:rPr>
              <w:t>&gt;3</w:t>
            </w:r>
            <w:r>
              <w:rPr>
                <w:rFonts w:hint="eastAsia" w:ascii="宋体" w:hAnsi="宋体" w:eastAsia="宋体" w:cs="宋体"/>
                <w:sz w:val="21"/>
                <w:szCs w:val="21"/>
                <w:lang w:val="en-US" w:eastAsia="zh-CN"/>
              </w:rPr>
              <w:t>5</w:t>
            </w:r>
          </w:p>
        </w:tc>
        <w:tc>
          <w:tcPr>
            <w:tcW w:w="939" w:type="dxa"/>
            <w:tcBorders>
              <w:top w:val="nil"/>
              <w:left w:val="nil"/>
              <w:bottom w:val="single" w:color="auto" w:sz="4" w:space="0"/>
              <w:right w:val="single" w:color="auto" w:sz="4" w:space="0"/>
            </w:tcBorders>
            <w:shd w:val="clear" w:color="auto" w:fill="FFFFFF" w:themeFill="background1"/>
            <w:vAlign w:val="center"/>
          </w:tcPr>
          <w:p>
            <w:pPr>
              <w:jc w:val="center"/>
              <w:rPr>
                <w:rFonts w:ascii="仿宋" w:hAnsi="仿宋" w:eastAsia="仿宋" w:cs="仿宋"/>
                <w:sz w:val="24"/>
              </w:rPr>
            </w:pPr>
            <w:r>
              <w:rPr>
                <w:rFonts w:hint="eastAsia" w:ascii="仿宋" w:hAnsi="仿宋" w:eastAsia="仿宋" w:cs="仿宋"/>
                <w:sz w:val="24"/>
              </w:rPr>
              <w:t>预期性</w:t>
            </w:r>
          </w:p>
        </w:tc>
      </w:tr>
      <w:tr>
        <w:tblPrEx>
          <w:shd w:val="clear" w:color="auto" w:fill="FFFFFF" w:themeFill="background1"/>
          <w:tblCellMar>
            <w:top w:w="0" w:type="dxa"/>
            <w:left w:w="108" w:type="dxa"/>
            <w:bottom w:w="0" w:type="dxa"/>
            <w:right w:w="108" w:type="dxa"/>
          </w:tblCellMar>
        </w:tblPrEx>
        <w:trPr>
          <w:trHeight w:val="590" w:hRule="exact"/>
        </w:trPr>
        <w:tc>
          <w:tcPr>
            <w:tcW w:w="564"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jc w:val="center"/>
              <w:rPr>
                <w:rFonts w:hint="eastAsia" w:ascii="宋体" w:hAnsi="宋体" w:eastAsia="宋体" w:cs="宋体"/>
                <w:b w:val="0"/>
                <w:bCs w:val="0"/>
                <w:sz w:val="24"/>
              </w:rPr>
            </w:pPr>
            <w:r>
              <w:rPr>
                <w:rFonts w:hint="eastAsia" w:ascii="宋体" w:hAnsi="宋体" w:eastAsia="宋体" w:cs="宋体"/>
                <w:b w:val="0"/>
                <w:bCs w:val="0"/>
                <w:sz w:val="24"/>
              </w:rPr>
              <w:t>3</w:t>
            </w:r>
          </w:p>
        </w:tc>
        <w:tc>
          <w:tcPr>
            <w:tcW w:w="4526" w:type="dxa"/>
            <w:tcBorders>
              <w:top w:val="nil"/>
              <w:left w:val="nil"/>
              <w:bottom w:val="single" w:color="auto" w:sz="4" w:space="0"/>
              <w:right w:val="single" w:color="auto" w:sz="4" w:space="0"/>
            </w:tcBorders>
            <w:shd w:val="clear" w:color="auto" w:fill="FFFFFF" w:themeFill="background1"/>
            <w:vAlign w:val="center"/>
          </w:tcPr>
          <w:p>
            <w:pPr>
              <w:jc w:val="left"/>
              <w:rPr>
                <w:rFonts w:ascii="Times New Roman" w:hAnsi="Times New Roman" w:eastAsia="仿宋" w:cs="Times New Roman"/>
                <w:sz w:val="24"/>
              </w:rPr>
            </w:pPr>
            <w:r>
              <w:rPr>
                <w:rFonts w:hint="eastAsia" w:ascii="Times New Roman" w:hAnsi="Times New Roman" w:eastAsia="仿宋" w:cs="Times New Roman"/>
                <w:sz w:val="24"/>
                <w:lang w:eastAsia="zh-CN"/>
              </w:rPr>
              <w:t>农牧业</w:t>
            </w:r>
            <w:r>
              <w:rPr>
                <w:rFonts w:hint="eastAsia" w:ascii="Times New Roman" w:hAnsi="Times New Roman" w:eastAsia="仿宋" w:cs="Times New Roman"/>
                <w:sz w:val="24"/>
              </w:rPr>
              <w:t>科技进步贡献率（%）</w:t>
            </w:r>
          </w:p>
        </w:tc>
        <w:tc>
          <w:tcPr>
            <w:tcW w:w="1170" w:type="dxa"/>
            <w:tcBorders>
              <w:top w:val="nil"/>
              <w:left w:val="nil"/>
              <w:bottom w:val="single" w:color="auto" w:sz="4" w:space="0"/>
              <w:right w:val="single" w:color="auto" w:sz="4" w:space="0"/>
            </w:tcBorders>
            <w:shd w:val="clear" w:color="auto" w:fill="FFFFFF" w:themeFill="background1"/>
            <w:vAlign w:val="center"/>
          </w:tcPr>
          <w:p>
            <w:pPr>
              <w:jc w:val="center"/>
              <w:rPr>
                <w:rFonts w:hint="eastAsia" w:ascii="宋体" w:hAnsi="宋体" w:eastAsia="宋体" w:cs="宋体"/>
                <w:sz w:val="21"/>
                <w:szCs w:val="21"/>
              </w:rPr>
            </w:pPr>
            <w:r>
              <w:rPr>
                <w:rFonts w:hint="eastAsia" w:ascii="宋体" w:hAnsi="宋体" w:eastAsia="宋体" w:cs="宋体"/>
                <w:sz w:val="21"/>
                <w:szCs w:val="21"/>
              </w:rPr>
              <w:t>49.13</w:t>
            </w:r>
          </w:p>
        </w:tc>
        <w:tc>
          <w:tcPr>
            <w:tcW w:w="1215" w:type="dxa"/>
            <w:tcBorders>
              <w:top w:val="nil"/>
              <w:left w:val="nil"/>
              <w:bottom w:val="single" w:color="auto" w:sz="4" w:space="0"/>
              <w:right w:val="single" w:color="auto" w:sz="4" w:space="0"/>
            </w:tcBorders>
            <w:shd w:val="clear" w:color="auto" w:fill="FFFFFF" w:themeFill="background1"/>
            <w:vAlign w:val="center"/>
          </w:tcPr>
          <w:p>
            <w:pPr>
              <w:jc w:val="center"/>
              <w:rPr>
                <w:rFonts w:hint="eastAsia" w:ascii="宋体" w:hAnsi="宋体" w:eastAsia="宋体" w:cs="宋体"/>
                <w:sz w:val="21"/>
                <w:szCs w:val="21"/>
              </w:rPr>
            </w:pPr>
            <w:r>
              <w:rPr>
                <w:rFonts w:hint="eastAsia" w:ascii="宋体" w:hAnsi="宋体" w:eastAsia="宋体" w:cs="宋体"/>
                <w:sz w:val="21"/>
                <w:szCs w:val="21"/>
              </w:rPr>
              <w:t>55</w:t>
            </w:r>
          </w:p>
        </w:tc>
        <w:tc>
          <w:tcPr>
            <w:tcW w:w="939" w:type="dxa"/>
            <w:tcBorders>
              <w:top w:val="nil"/>
              <w:left w:val="nil"/>
              <w:bottom w:val="single" w:color="auto" w:sz="4" w:space="0"/>
              <w:right w:val="single" w:color="auto" w:sz="4" w:space="0"/>
            </w:tcBorders>
            <w:shd w:val="clear" w:color="auto" w:fill="FFFFFF" w:themeFill="background1"/>
            <w:vAlign w:val="center"/>
          </w:tcPr>
          <w:p>
            <w:pPr>
              <w:jc w:val="center"/>
              <w:rPr>
                <w:rFonts w:ascii="仿宋" w:hAnsi="仿宋" w:eastAsia="仿宋" w:cs="仿宋"/>
                <w:sz w:val="24"/>
              </w:rPr>
            </w:pPr>
            <w:r>
              <w:rPr>
                <w:rFonts w:hint="eastAsia" w:ascii="仿宋" w:hAnsi="仿宋" w:eastAsia="仿宋" w:cs="仿宋"/>
                <w:sz w:val="24"/>
              </w:rPr>
              <w:t>预期性</w:t>
            </w:r>
          </w:p>
        </w:tc>
      </w:tr>
      <w:tr>
        <w:tblPrEx>
          <w:shd w:val="clear" w:color="auto" w:fill="FFFFFF" w:themeFill="background1"/>
          <w:tblCellMar>
            <w:top w:w="0" w:type="dxa"/>
            <w:left w:w="108" w:type="dxa"/>
            <w:bottom w:w="0" w:type="dxa"/>
            <w:right w:w="108" w:type="dxa"/>
          </w:tblCellMar>
        </w:tblPrEx>
        <w:trPr>
          <w:trHeight w:val="590" w:hRule="exact"/>
        </w:trPr>
        <w:tc>
          <w:tcPr>
            <w:tcW w:w="564"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jc w:val="center"/>
              <w:rPr>
                <w:rFonts w:hint="eastAsia" w:ascii="宋体" w:hAnsi="宋体" w:eastAsia="宋体" w:cs="宋体"/>
                <w:b w:val="0"/>
                <w:bCs w:val="0"/>
                <w:sz w:val="24"/>
              </w:rPr>
            </w:pPr>
            <w:r>
              <w:rPr>
                <w:rFonts w:hint="eastAsia" w:ascii="宋体" w:hAnsi="宋体" w:eastAsia="宋体" w:cs="宋体"/>
                <w:b w:val="0"/>
                <w:bCs w:val="0"/>
                <w:sz w:val="24"/>
              </w:rPr>
              <w:t>4</w:t>
            </w:r>
          </w:p>
        </w:tc>
        <w:tc>
          <w:tcPr>
            <w:tcW w:w="4526" w:type="dxa"/>
            <w:tcBorders>
              <w:top w:val="nil"/>
              <w:left w:val="nil"/>
              <w:bottom w:val="single" w:color="auto" w:sz="4" w:space="0"/>
              <w:right w:val="single" w:color="auto" w:sz="4" w:space="0"/>
            </w:tcBorders>
            <w:shd w:val="clear" w:color="auto" w:fill="FFFFFF" w:themeFill="background1"/>
            <w:vAlign w:val="center"/>
          </w:tcPr>
          <w:p>
            <w:pPr>
              <w:jc w:val="left"/>
              <w:rPr>
                <w:rFonts w:ascii="Times New Roman" w:hAnsi="Times New Roman" w:eastAsia="仿宋" w:cs="Times New Roman"/>
                <w:sz w:val="24"/>
              </w:rPr>
            </w:pPr>
            <w:r>
              <w:rPr>
                <w:rFonts w:hint="eastAsia" w:ascii="Times New Roman" w:hAnsi="Times New Roman" w:eastAsia="仿宋" w:cs="Times New Roman"/>
                <w:sz w:val="24"/>
              </w:rPr>
              <w:t>高标准农田面积（万亩）</w:t>
            </w:r>
          </w:p>
        </w:tc>
        <w:tc>
          <w:tcPr>
            <w:tcW w:w="1170" w:type="dxa"/>
            <w:tcBorders>
              <w:top w:val="nil"/>
              <w:left w:val="nil"/>
              <w:bottom w:val="single" w:color="auto" w:sz="4" w:space="0"/>
              <w:right w:val="single" w:color="auto" w:sz="4" w:space="0"/>
            </w:tcBorders>
            <w:shd w:val="clear" w:color="auto" w:fill="FFFFFF" w:themeFill="background1"/>
            <w:vAlign w:val="center"/>
          </w:tcPr>
          <w:p>
            <w:pPr>
              <w:jc w:val="center"/>
              <w:rPr>
                <w:rFonts w:hint="eastAsia" w:ascii="宋体" w:hAnsi="宋体" w:eastAsia="宋体" w:cs="宋体"/>
                <w:sz w:val="21"/>
                <w:szCs w:val="21"/>
              </w:rPr>
            </w:pPr>
            <w:r>
              <w:rPr>
                <w:rFonts w:hint="eastAsia" w:ascii="宋体" w:hAnsi="宋体" w:eastAsia="宋体" w:cs="宋体"/>
                <w:sz w:val="21"/>
                <w:szCs w:val="21"/>
              </w:rPr>
              <w:t>53</w:t>
            </w:r>
          </w:p>
        </w:tc>
        <w:tc>
          <w:tcPr>
            <w:tcW w:w="1215" w:type="dxa"/>
            <w:tcBorders>
              <w:top w:val="nil"/>
              <w:left w:val="nil"/>
              <w:bottom w:val="single" w:color="auto" w:sz="4" w:space="0"/>
              <w:right w:val="single" w:color="auto" w:sz="4" w:space="0"/>
            </w:tcBorders>
            <w:shd w:val="clear" w:color="auto" w:fill="FFFFFF" w:themeFill="background1"/>
            <w:vAlign w:val="center"/>
          </w:tcPr>
          <w:p>
            <w:pPr>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75</w:t>
            </w:r>
          </w:p>
        </w:tc>
        <w:tc>
          <w:tcPr>
            <w:tcW w:w="939" w:type="dxa"/>
            <w:tcBorders>
              <w:top w:val="nil"/>
              <w:left w:val="nil"/>
              <w:bottom w:val="single" w:color="auto" w:sz="4" w:space="0"/>
              <w:right w:val="single" w:color="auto" w:sz="4" w:space="0"/>
            </w:tcBorders>
            <w:shd w:val="clear" w:color="auto" w:fill="FFFFFF" w:themeFill="background1"/>
            <w:vAlign w:val="center"/>
          </w:tcPr>
          <w:p>
            <w:pPr>
              <w:jc w:val="center"/>
              <w:rPr>
                <w:rFonts w:ascii="仿宋" w:hAnsi="仿宋" w:eastAsia="仿宋" w:cs="仿宋"/>
                <w:sz w:val="24"/>
              </w:rPr>
            </w:pPr>
            <w:r>
              <w:rPr>
                <w:rFonts w:hint="eastAsia" w:ascii="仿宋" w:hAnsi="仿宋" w:eastAsia="仿宋" w:cs="仿宋"/>
                <w:color w:val="auto"/>
                <w:sz w:val="24"/>
              </w:rPr>
              <w:t>预期性</w:t>
            </w:r>
          </w:p>
        </w:tc>
      </w:tr>
      <w:tr>
        <w:tblPrEx>
          <w:shd w:val="clear" w:color="auto" w:fill="FFFFFF" w:themeFill="background1"/>
          <w:tblCellMar>
            <w:top w:w="0" w:type="dxa"/>
            <w:left w:w="108" w:type="dxa"/>
            <w:bottom w:w="0" w:type="dxa"/>
            <w:right w:w="108" w:type="dxa"/>
          </w:tblCellMar>
        </w:tblPrEx>
        <w:trPr>
          <w:trHeight w:val="590" w:hRule="exact"/>
        </w:trPr>
        <w:tc>
          <w:tcPr>
            <w:tcW w:w="564"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jc w:val="center"/>
              <w:rPr>
                <w:rFonts w:hint="eastAsia" w:ascii="宋体" w:hAnsi="宋体" w:eastAsia="宋体" w:cs="宋体"/>
                <w:b w:val="0"/>
                <w:bCs w:val="0"/>
                <w:sz w:val="24"/>
              </w:rPr>
            </w:pPr>
            <w:r>
              <w:rPr>
                <w:rFonts w:hint="eastAsia" w:ascii="宋体" w:hAnsi="宋体" w:eastAsia="宋体" w:cs="宋体"/>
                <w:b w:val="0"/>
                <w:bCs w:val="0"/>
                <w:sz w:val="24"/>
              </w:rPr>
              <w:t>5</w:t>
            </w:r>
          </w:p>
        </w:tc>
        <w:tc>
          <w:tcPr>
            <w:tcW w:w="4526" w:type="dxa"/>
            <w:tcBorders>
              <w:top w:val="nil"/>
              <w:left w:val="nil"/>
              <w:bottom w:val="single" w:color="auto" w:sz="4" w:space="0"/>
              <w:right w:val="single" w:color="auto" w:sz="4" w:space="0"/>
            </w:tcBorders>
            <w:shd w:val="clear" w:color="auto" w:fill="FFFFFF" w:themeFill="background1"/>
            <w:vAlign w:val="center"/>
          </w:tcPr>
          <w:p>
            <w:pPr>
              <w:jc w:val="left"/>
              <w:rPr>
                <w:rFonts w:ascii="Times New Roman" w:hAnsi="Times New Roman" w:eastAsia="仿宋" w:cs="Times New Roman"/>
                <w:sz w:val="24"/>
              </w:rPr>
            </w:pPr>
            <w:r>
              <w:rPr>
                <w:rFonts w:hint="eastAsia" w:ascii="Times New Roman" w:hAnsi="Times New Roman" w:eastAsia="仿宋" w:cs="Times New Roman"/>
                <w:sz w:val="24"/>
              </w:rPr>
              <w:t>畜禽粪污</w:t>
            </w:r>
            <w:r>
              <w:rPr>
                <w:rFonts w:hint="eastAsia" w:ascii="Times New Roman" w:hAnsi="Times New Roman" w:eastAsia="仿宋" w:cs="Times New Roman"/>
                <w:sz w:val="24"/>
                <w:lang w:eastAsia="zh-CN"/>
              </w:rPr>
              <w:t>综合</w:t>
            </w:r>
            <w:r>
              <w:rPr>
                <w:rFonts w:hint="eastAsia" w:ascii="Times New Roman" w:hAnsi="Times New Roman" w:eastAsia="仿宋" w:cs="Times New Roman"/>
                <w:sz w:val="24"/>
              </w:rPr>
              <w:t>利用率（%）</w:t>
            </w:r>
          </w:p>
        </w:tc>
        <w:tc>
          <w:tcPr>
            <w:tcW w:w="1170" w:type="dxa"/>
            <w:tcBorders>
              <w:top w:val="nil"/>
              <w:left w:val="nil"/>
              <w:bottom w:val="single" w:color="auto" w:sz="4" w:space="0"/>
              <w:right w:val="single" w:color="auto" w:sz="4" w:space="0"/>
            </w:tcBorders>
            <w:shd w:val="clear" w:color="auto" w:fill="FFFFFF" w:themeFill="background1"/>
            <w:vAlign w:val="center"/>
          </w:tcPr>
          <w:p>
            <w:pPr>
              <w:jc w:val="center"/>
              <w:rPr>
                <w:rFonts w:hint="eastAsia" w:ascii="宋体" w:hAnsi="宋体" w:eastAsia="宋体" w:cs="宋体"/>
                <w:sz w:val="21"/>
                <w:szCs w:val="21"/>
              </w:rPr>
            </w:pPr>
            <w:r>
              <w:rPr>
                <w:rFonts w:hint="eastAsia" w:ascii="宋体" w:hAnsi="宋体" w:eastAsia="宋体" w:cs="宋体"/>
                <w:sz w:val="21"/>
                <w:szCs w:val="21"/>
              </w:rPr>
              <w:t>81</w:t>
            </w:r>
          </w:p>
        </w:tc>
        <w:tc>
          <w:tcPr>
            <w:tcW w:w="1215" w:type="dxa"/>
            <w:tcBorders>
              <w:top w:val="nil"/>
              <w:left w:val="nil"/>
              <w:bottom w:val="single" w:color="auto" w:sz="4" w:space="0"/>
              <w:right w:val="single" w:color="auto" w:sz="4" w:space="0"/>
            </w:tcBorders>
            <w:shd w:val="clear" w:color="auto" w:fill="FFFFFF" w:themeFill="background1"/>
            <w:vAlign w:val="center"/>
          </w:tcPr>
          <w:p>
            <w:pPr>
              <w:jc w:val="center"/>
              <w:rPr>
                <w:rFonts w:hint="eastAsia" w:ascii="宋体" w:hAnsi="宋体" w:eastAsia="宋体" w:cs="宋体"/>
                <w:sz w:val="21"/>
                <w:szCs w:val="21"/>
              </w:rPr>
            </w:pPr>
            <w:r>
              <w:rPr>
                <w:rFonts w:hint="eastAsia" w:ascii="宋体" w:hAnsi="宋体" w:eastAsia="宋体" w:cs="宋体"/>
                <w:sz w:val="21"/>
                <w:szCs w:val="21"/>
              </w:rPr>
              <w:t>&gt;83</w:t>
            </w:r>
          </w:p>
        </w:tc>
        <w:tc>
          <w:tcPr>
            <w:tcW w:w="939" w:type="dxa"/>
            <w:tcBorders>
              <w:top w:val="nil"/>
              <w:left w:val="nil"/>
              <w:bottom w:val="single" w:color="auto" w:sz="4" w:space="0"/>
              <w:right w:val="single" w:color="auto" w:sz="4" w:space="0"/>
            </w:tcBorders>
            <w:shd w:val="clear" w:color="auto" w:fill="FFFFFF" w:themeFill="background1"/>
            <w:vAlign w:val="center"/>
          </w:tcPr>
          <w:p>
            <w:pPr>
              <w:jc w:val="center"/>
              <w:rPr>
                <w:rFonts w:ascii="Times New Roman" w:hAnsi="Times New Roman" w:eastAsia="仿宋" w:cs="Times New Roman"/>
                <w:sz w:val="24"/>
              </w:rPr>
            </w:pPr>
            <w:r>
              <w:rPr>
                <w:rFonts w:hint="eastAsia" w:ascii="Times New Roman" w:hAnsi="Times New Roman" w:eastAsia="仿宋" w:cs="Times New Roman"/>
                <w:sz w:val="24"/>
              </w:rPr>
              <w:t>约束性</w:t>
            </w:r>
          </w:p>
        </w:tc>
      </w:tr>
      <w:tr>
        <w:tblPrEx>
          <w:shd w:val="clear" w:color="auto" w:fill="FFFFFF" w:themeFill="background1"/>
          <w:tblCellMar>
            <w:top w:w="0" w:type="dxa"/>
            <w:left w:w="108" w:type="dxa"/>
            <w:bottom w:w="0" w:type="dxa"/>
            <w:right w:w="108" w:type="dxa"/>
          </w:tblCellMar>
        </w:tblPrEx>
        <w:trPr>
          <w:trHeight w:val="590" w:hRule="exact"/>
        </w:trPr>
        <w:tc>
          <w:tcPr>
            <w:tcW w:w="564"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jc w:val="center"/>
              <w:rPr>
                <w:rFonts w:hint="eastAsia" w:ascii="宋体" w:hAnsi="宋体" w:eastAsia="宋体" w:cs="宋体"/>
                <w:b w:val="0"/>
                <w:bCs w:val="0"/>
                <w:sz w:val="24"/>
              </w:rPr>
            </w:pPr>
            <w:r>
              <w:rPr>
                <w:rFonts w:hint="eastAsia" w:ascii="宋体" w:hAnsi="宋体" w:eastAsia="宋体" w:cs="宋体"/>
                <w:b w:val="0"/>
                <w:bCs w:val="0"/>
                <w:sz w:val="24"/>
              </w:rPr>
              <w:t>6</w:t>
            </w:r>
          </w:p>
        </w:tc>
        <w:tc>
          <w:tcPr>
            <w:tcW w:w="4526" w:type="dxa"/>
            <w:tcBorders>
              <w:top w:val="nil"/>
              <w:left w:val="nil"/>
              <w:bottom w:val="single" w:color="auto" w:sz="4" w:space="0"/>
              <w:right w:val="single" w:color="auto" w:sz="4" w:space="0"/>
            </w:tcBorders>
            <w:shd w:val="clear" w:color="auto" w:fill="FFFFFF" w:themeFill="background1"/>
            <w:vAlign w:val="center"/>
          </w:tcPr>
          <w:p>
            <w:pPr>
              <w:jc w:val="left"/>
              <w:rPr>
                <w:rFonts w:ascii="Times New Roman" w:hAnsi="Times New Roman" w:eastAsia="仿宋" w:cs="Times New Roman"/>
                <w:bCs/>
                <w:sz w:val="24"/>
              </w:rPr>
            </w:pPr>
            <w:r>
              <w:rPr>
                <w:rFonts w:hint="eastAsia" w:ascii="Times New Roman" w:hAnsi="Times New Roman" w:eastAsia="仿宋" w:cs="Times New Roman"/>
                <w:bCs/>
                <w:sz w:val="24"/>
              </w:rPr>
              <w:t>农作物耕种收综合机械化率（%）</w:t>
            </w:r>
          </w:p>
        </w:tc>
        <w:tc>
          <w:tcPr>
            <w:tcW w:w="1170" w:type="dxa"/>
            <w:tcBorders>
              <w:top w:val="nil"/>
              <w:left w:val="nil"/>
              <w:bottom w:val="single" w:color="auto" w:sz="4" w:space="0"/>
              <w:right w:val="single" w:color="auto" w:sz="4" w:space="0"/>
            </w:tcBorders>
            <w:shd w:val="clear" w:color="auto" w:fill="FFFFFF" w:themeFill="background1"/>
            <w:vAlign w:val="center"/>
          </w:tcPr>
          <w:p>
            <w:pPr>
              <w:jc w:val="center"/>
              <w:rPr>
                <w:rFonts w:hint="eastAsia" w:ascii="宋体" w:hAnsi="宋体" w:eastAsia="宋体" w:cs="宋体"/>
                <w:sz w:val="21"/>
                <w:szCs w:val="21"/>
              </w:rPr>
            </w:pPr>
            <w:r>
              <w:rPr>
                <w:rFonts w:hint="eastAsia" w:ascii="宋体" w:hAnsi="宋体" w:eastAsia="宋体" w:cs="宋体"/>
                <w:sz w:val="21"/>
                <w:szCs w:val="21"/>
              </w:rPr>
              <w:t>90</w:t>
            </w:r>
          </w:p>
        </w:tc>
        <w:tc>
          <w:tcPr>
            <w:tcW w:w="1215" w:type="dxa"/>
            <w:tcBorders>
              <w:top w:val="nil"/>
              <w:left w:val="nil"/>
              <w:bottom w:val="single" w:color="auto" w:sz="4" w:space="0"/>
              <w:right w:val="single" w:color="auto" w:sz="4" w:space="0"/>
            </w:tcBorders>
            <w:shd w:val="clear" w:color="auto" w:fill="FFFFFF" w:themeFill="background1"/>
            <w:vAlign w:val="center"/>
          </w:tcPr>
          <w:p>
            <w:pPr>
              <w:jc w:val="center"/>
              <w:rPr>
                <w:rFonts w:hint="eastAsia" w:ascii="宋体" w:hAnsi="宋体" w:eastAsia="宋体" w:cs="宋体"/>
                <w:sz w:val="21"/>
                <w:szCs w:val="21"/>
              </w:rPr>
            </w:pPr>
            <w:r>
              <w:rPr>
                <w:rFonts w:hint="eastAsia" w:ascii="宋体" w:hAnsi="宋体" w:eastAsia="宋体" w:cs="宋体"/>
                <w:sz w:val="21"/>
                <w:szCs w:val="21"/>
              </w:rPr>
              <w:t>92</w:t>
            </w:r>
          </w:p>
        </w:tc>
        <w:tc>
          <w:tcPr>
            <w:tcW w:w="939" w:type="dxa"/>
            <w:tcBorders>
              <w:top w:val="nil"/>
              <w:left w:val="nil"/>
              <w:bottom w:val="single" w:color="auto" w:sz="4" w:space="0"/>
              <w:right w:val="single" w:color="auto" w:sz="4" w:space="0"/>
            </w:tcBorders>
            <w:shd w:val="clear" w:color="auto" w:fill="FFFFFF" w:themeFill="background1"/>
            <w:vAlign w:val="center"/>
          </w:tcPr>
          <w:p>
            <w:pPr>
              <w:jc w:val="center"/>
              <w:rPr>
                <w:rFonts w:ascii="仿宋" w:hAnsi="仿宋" w:eastAsia="仿宋" w:cs="仿宋"/>
                <w:sz w:val="24"/>
              </w:rPr>
            </w:pPr>
            <w:r>
              <w:rPr>
                <w:rFonts w:hint="eastAsia" w:ascii="仿宋" w:hAnsi="仿宋" w:eastAsia="仿宋" w:cs="仿宋"/>
                <w:sz w:val="24"/>
              </w:rPr>
              <w:t>预期性</w:t>
            </w:r>
          </w:p>
        </w:tc>
      </w:tr>
      <w:tr>
        <w:tblPrEx>
          <w:shd w:val="clear" w:color="auto" w:fill="FFFFFF" w:themeFill="background1"/>
          <w:tblCellMar>
            <w:top w:w="0" w:type="dxa"/>
            <w:left w:w="108" w:type="dxa"/>
            <w:bottom w:w="0" w:type="dxa"/>
            <w:right w:w="108" w:type="dxa"/>
          </w:tblCellMar>
        </w:tblPrEx>
        <w:trPr>
          <w:trHeight w:val="590" w:hRule="exact"/>
        </w:trPr>
        <w:tc>
          <w:tcPr>
            <w:tcW w:w="564"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jc w:val="center"/>
              <w:rPr>
                <w:rFonts w:hint="eastAsia" w:ascii="宋体" w:hAnsi="宋体" w:eastAsia="宋体" w:cs="宋体"/>
                <w:b w:val="0"/>
                <w:bCs w:val="0"/>
                <w:sz w:val="24"/>
              </w:rPr>
            </w:pPr>
            <w:r>
              <w:rPr>
                <w:rFonts w:hint="eastAsia" w:ascii="宋体" w:hAnsi="宋体" w:eastAsia="宋体" w:cs="宋体"/>
                <w:b w:val="0"/>
                <w:bCs w:val="0"/>
                <w:sz w:val="24"/>
              </w:rPr>
              <w:t>7</w:t>
            </w:r>
          </w:p>
        </w:tc>
        <w:tc>
          <w:tcPr>
            <w:tcW w:w="4526" w:type="dxa"/>
            <w:tcBorders>
              <w:top w:val="single" w:color="auto" w:sz="4" w:space="0"/>
              <w:left w:val="nil"/>
              <w:bottom w:val="single" w:color="auto" w:sz="4" w:space="0"/>
              <w:right w:val="single" w:color="auto" w:sz="4" w:space="0"/>
            </w:tcBorders>
            <w:shd w:val="clear" w:color="auto" w:fill="FFFFFF" w:themeFill="background1"/>
            <w:vAlign w:val="center"/>
          </w:tcPr>
          <w:p>
            <w:pPr>
              <w:jc w:val="left"/>
              <w:rPr>
                <w:rFonts w:ascii="Times New Roman" w:hAnsi="Times New Roman" w:eastAsia="仿宋" w:cs="Times New Roman"/>
                <w:bCs/>
                <w:sz w:val="24"/>
              </w:rPr>
            </w:pPr>
            <w:r>
              <w:rPr>
                <w:rFonts w:hint="eastAsia" w:ascii="Times New Roman" w:hAnsi="Times New Roman" w:eastAsia="仿宋" w:cs="Times New Roman"/>
                <w:bCs/>
                <w:sz w:val="24"/>
              </w:rPr>
              <w:t>农畜产品质量安全例行监测合格率（%）</w:t>
            </w:r>
          </w:p>
        </w:tc>
        <w:tc>
          <w:tcPr>
            <w:tcW w:w="1170" w:type="dxa"/>
            <w:tcBorders>
              <w:top w:val="single" w:color="auto" w:sz="4" w:space="0"/>
              <w:left w:val="nil"/>
              <w:bottom w:val="single" w:color="auto" w:sz="4" w:space="0"/>
              <w:right w:val="single" w:color="auto" w:sz="4" w:space="0"/>
            </w:tcBorders>
            <w:shd w:val="clear" w:color="auto" w:fill="FFFFFF" w:themeFill="background1"/>
            <w:vAlign w:val="center"/>
          </w:tcPr>
          <w:p>
            <w:pPr>
              <w:jc w:val="center"/>
              <w:rPr>
                <w:rFonts w:hint="eastAsia" w:ascii="宋体" w:hAnsi="宋体" w:eastAsia="宋体" w:cs="宋体"/>
                <w:sz w:val="21"/>
                <w:szCs w:val="21"/>
              </w:rPr>
            </w:pPr>
            <w:r>
              <w:rPr>
                <w:rFonts w:hint="eastAsia" w:ascii="宋体" w:hAnsi="宋体" w:eastAsia="宋体" w:cs="宋体"/>
                <w:sz w:val="21"/>
                <w:szCs w:val="21"/>
              </w:rPr>
              <w:t>98</w:t>
            </w:r>
          </w:p>
        </w:tc>
        <w:tc>
          <w:tcPr>
            <w:tcW w:w="1215" w:type="dxa"/>
            <w:tcBorders>
              <w:top w:val="single" w:color="auto" w:sz="4" w:space="0"/>
              <w:left w:val="nil"/>
              <w:bottom w:val="single" w:color="auto" w:sz="4" w:space="0"/>
              <w:right w:val="single" w:color="auto" w:sz="4" w:space="0"/>
            </w:tcBorders>
            <w:shd w:val="clear" w:color="auto" w:fill="FFFFFF" w:themeFill="background1"/>
            <w:vAlign w:val="center"/>
          </w:tcPr>
          <w:p>
            <w:pPr>
              <w:jc w:val="center"/>
              <w:rPr>
                <w:rFonts w:hint="eastAsia" w:ascii="宋体" w:hAnsi="宋体" w:eastAsia="宋体" w:cs="宋体"/>
                <w:sz w:val="21"/>
                <w:szCs w:val="21"/>
              </w:rPr>
            </w:pPr>
            <w:r>
              <w:rPr>
                <w:rFonts w:hint="eastAsia" w:ascii="宋体" w:hAnsi="宋体" w:eastAsia="宋体" w:cs="宋体"/>
                <w:sz w:val="21"/>
                <w:szCs w:val="21"/>
              </w:rPr>
              <w:t>≧98</w:t>
            </w:r>
          </w:p>
        </w:tc>
        <w:tc>
          <w:tcPr>
            <w:tcW w:w="939" w:type="dxa"/>
            <w:tcBorders>
              <w:top w:val="single" w:color="auto" w:sz="4" w:space="0"/>
              <w:left w:val="nil"/>
              <w:bottom w:val="single" w:color="auto" w:sz="4" w:space="0"/>
              <w:right w:val="single" w:color="auto" w:sz="4" w:space="0"/>
            </w:tcBorders>
            <w:shd w:val="clear" w:color="auto" w:fill="FFFFFF" w:themeFill="background1"/>
            <w:vAlign w:val="center"/>
          </w:tcPr>
          <w:p>
            <w:pPr>
              <w:jc w:val="center"/>
              <w:rPr>
                <w:rFonts w:ascii="仿宋" w:hAnsi="仿宋" w:eastAsia="仿宋" w:cs="仿宋"/>
                <w:sz w:val="24"/>
              </w:rPr>
            </w:pPr>
            <w:r>
              <w:rPr>
                <w:rFonts w:hint="eastAsia" w:ascii="仿宋" w:hAnsi="仿宋" w:eastAsia="仿宋" w:cs="仿宋"/>
                <w:sz w:val="24"/>
              </w:rPr>
              <w:t>预期性</w:t>
            </w:r>
          </w:p>
        </w:tc>
      </w:tr>
      <w:tr>
        <w:tblPrEx>
          <w:shd w:val="clear" w:color="auto" w:fill="FFFFFF" w:themeFill="background1"/>
          <w:tblCellMar>
            <w:top w:w="0" w:type="dxa"/>
            <w:left w:w="108" w:type="dxa"/>
            <w:bottom w:w="0" w:type="dxa"/>
            <w:right w:w="108" w:type="dxa"/>
          </w:tblCellMar>
        </w:tblPrEx>
        <w:trPr>
          <w:trHeight w:val="590" w:hRule="exact"/>
        </w:trPr>
        <w:tc>
          <w:tcPr>
            <w:tcW w:w="564"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jc w:val="center"/>
              <w:rPr>
                <w:rFonts w:hint="eastAsia" w:ascii="宋体" w:hAnsi="宋体" w:eastAsia="宋体" w:cs="宋体"/>
                <w:b w:val="0"/>
                <w:bCs w:val="0"/>
                <w:sz w:val="24"/>
              </w:rPr>
            </w:pPr>
            <w:r>
              <w:rPr>
                <w:rFonts w:hint="eastAsia" w:ascii="宋体" w:hAnsi="宋体" w:eastAsia="宋体" w:cs="宋体"/>
                <w:b w:val="0"/>
                <w:bCs w:val="0"/>
                <w:sz w:val="24"/>
              </w:rPr>
              <w:t>8</w:t>
            </w:r>
          </w:p>
        </w:tc>
        <w:tc>
          <w:tcPr>
            <w:tcW w:w="4526"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jc w:val="left"/>
              <w:rPr>
                <w:rFonts w:ascii="Times New Roman" w:hAnsi="Times New Roman" w:eastAsia="仿宋" w:cs="Times New Roman"/>
                <w:bCs/>
                <w:sz w:val="24"/>
              </w:rPr>
            </w:pPr>
            <w:r>
              <w:rPr>
                <w:rFonts w:hint="eastAsia" w:ascii="Times New Roman" w:hAnsi="Times New Roman" w:eastAsia="仿宋" w:cs="Times New Roman"/>
                <w:bCs/>
                <w:sz w:val="24"/>
              </w:rPr>
              <w:t>农畜产品加工业与农牧业总产值比值</w:t>
            </w:r>
          </w:p>
        </w:tc>
        <w:tc>
          <w:tcPr>
            <w:tcW w:w="1170"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jc w:val="center"/>
              <w:rPr>
                <w:rFonts w:hint="eastAsia" w:ascii="宋体" w:hAnsi="宋体" w:eastAsia="宋体" w:cs="宋体"/>
                <w:sz w:val="21"/>
                <w:szCs w:val="21"/>
              </w:rPr>
            </w:pPr>
            <w:r>
              <w:rPr>
                <w:rFonts w:hint="eastAsia" w:ascii="宋体" w:hAnsi="宋体" w:eastAsia="宋体" w:cs="宋体"/>
                <w:sz w:val="21"/>
                <w:szCs w:val="21"/>
              </w:rPr>
              <w:t>1.3：1</w:t>
            </w:r>
          </w:p>
        </w:tc>
        <w:tc>
          <w:tcPr>
            <w:tcW w:w="1215"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jc w:val="center"/>
              <w:rPr>
                <w:rFonts w:hint="eastAsia" w:ascii="宋体" w:hAnsi="宋体" w:eastAsia="宋体" w:cs="宋体"/>
                <w:sz w:val="21"/>
                <w:szCs w:val="21"/>
              </w:rPr>
            </w:pPr>
            <w:r>
              <w:rPr>
                <w:rFonts w:hint="eastAsia" w:ascii="宋体" w:hAnsi="宋体" w:eastAsia="宋体" w:cs="宋体"/>
                <w:sz w:val="21"/>
                <w:szCs w:val="21"/>
              </w:rPr>
              <w:t>1.8：1</w:t>
            </w:r>
          </w:p>
        </w:tc>
        <w:tc>
          <w:tcPr>
            <w:tcW w:w="939"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jc w:val="center"/>
              <w:rPr>
                <w:rFonts w:ascii="仿宋" w:hAnsi="仿宋" w:eastAsia="仿宋" w:cs="仿宋"/>
                <w:sz w:val="24"/>
              </w:rPr>
            </w:pPr>
            <w:r>
              <w:rPr>
                <w:rFonts w:hint="eastAsia" w:ascii="仿宋" w:hAnsi="仿宋" w:eastAsia="仿宋" w:cs="仿宋"/>
                <w:sz w:val="24"/>
              </w:rPr>
              <w:t>预期性</w:t>
            </w:r>
          </w:p>
        </w:tc>
      </w:tr>
      <w:tr>
        <w:tblPrEx>
          <w:shd w:val="clear" w:color="auto" w:fill="FFFFFF" w:themeFill="background1"/>
          <w:tblCellMar>
            <w:top w:w="0" w:type="dxa"/>
            <w:left w:w="108" w:type="dxa"/>
            <w:bottom w:w="0" w:type="dxa"/>
            <w:right w:w="108" w:type="dxa"/>
          </w:tblCellMar>
        </w:tblPrEx>
        <w:trPr>
          <w:trHeight w:val="590" w:hRule="exact"/>
        </w:trPr>
        <w:tc>
          <w:tcPr>
            <w:tcW w:w="564"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jc w:val="center"/>
              <w:rPr>
                <w:rFonts w:hint="eastAsia" w:ascii="宋体" w:hAnsi="宋体" w:eastAsia="宋体" w:cs="宋体"/>
                <w:b w:val="0"/>
                <w:bCs w:val="0"/>
                <w:sz w:val="24"/>
              </w:rPr>
            </w:pPr>
            <w:r>
              <w:rPr>
                <w:rFonts w:hint="eastAsia" w:ascii="宋体" w:hAnsi="宋体" w:eastAsia="宋体" w:cs="宋体"/>
                <w:b w:val="0"/>
                <w:bCs w:val="0"/>
                <w:sz w:val="24"/>
              </w:rPr>
              <w:t>9</w:t>
            </w:r>
          </w:p>
        </w:tc>
        <w:tc>
          <w:tcPr>
            <w:tcW w:w="4526" w:type="dxa"/>
            <w:tcBorders>
              <w:top w:val="nil"/>
              <w:left w:val="nil"/>
              <w:bottom w:val="single" w:color="auto" w:sz="4" w:space="0"/>
              <w:right w:val="single" w:color="auto" w:sz="4" w:space="0"/>
            </w:tcBorders>
            <w:shd w:val="clear" w:color="auto" w:fill="FFFFFF" w:themeFill="background1"/>
            <w:vAlign w:val="center"/>
          </w:tcPr>
          <w:p>
            <w:pPr>
              <w:jc w:val="left"/>
              <w:rPr>
                <w:rFonts w:ascii="Times New Roman" w:hAnsi="Times New Roman" w:eastAsia="仿宋" w:cs="Times New Roman"/>
                <w:bCs/>
                <w:sz w:val="24"/>
              </w:rPr>
            </w:pPr>
            <w:r>
              <w:rPr>
                <w:rFonts w:hint="eastAsia" w:ascii="Times New Roman" w:hAnsi="Times New Roman" w:eastAsia="仿宋" w:cs="Times New Roman"/>
                <w:bCs/>
                <w:sz w:val="24"/>
              </w:rPr>
              <w:t>较大人口规模自然村通硬化路</w:t>
            </w:r>
            <w:r>
              <w:rPr>
                <w:rFonts w:hint="eastAsia" w:ascii="Times New Roman" w:hAnsi="Times New Roman" w:eastAsia="仿宋" w:cs="Times New Roman"/>
                <w:bCs/>
                <w:sz w:val="24"/>
                <w:lang w:eastAsia="zh-CN"/>
              </w:rPr>
              <w:t>比例</w:t>
            </w:r>
            <w:r>
              <w:rPr>
                <w:rFonts w:hint="eastAsia" w:ascii="Times New Roman" w:hAnsi="Times New Roman" w:eastAsia="仿宋" w:cs="Times New Roman"/>
                <w:bCs/>
                <w:sz w:val="24"/>
              </w:rPr>
              <w:t>（%）</w:t>
            </w:r>
          </w:p>
        </w:tc>
        <w:tc>
          <w:tcPr>
            <w:tcW w:w="1170" w:type="dxa"/>
            <w:tcBorders>
              <w:top w:val="nil"/>
              <w:left w:val="nil"/>
              <w:bottom w:val="single" w:color="auto" w:sz="4" w:space="0"/>
              <w:right w:val="single" w:color="auto" w:sz="4" w:space="0"/>
            </w:tcBorders>
            <w:shd w:val="clear" w:color="auto" w:fill="FFFFFF" w:themeFill="background1"/>
            <w:vAlign w:val="center"/>
          </w:tcPr>
          <w:p>
            <w:pPr>
              <w:jc w:val="center"/>
              <w:rPr>
                <w:rFonts w:hint="eastAsia" w:ascii="宋体" w:hAnsi="宋体" w:eastAsia="宋体" w:cs="宋体"/>
                <w:sz w:val="21"/>
                <w:szCs w:val="21"/>
              </w:rPr>
            </w:pPr>
            <w:r>
              <w:rPr>
                <w:rFonts w:hint="eastAsia" w:ascii="宋体" w:hAnsi="宋体" w:eastAsia="宋体" w:cs="宋体"/>
                <w:sz w:val="21"/>
                <w:szCs w:val="21"/>
              </w:rPr>
              <w:t>76</w:t>
            </w:r>
          </w:p>
        </w:tc>
        <w:tc>
          <w:tcPr>
            <w:tcW w:w="1215" w:type="dxa"/>
            <w:tcBorders>
              <w:top w:val="nil"/>
              <w:left w:val="nil"/>
              <w:bottom w:val="single" w:color="auto" w:sz="4" w:space="0"/>
              <w:right w:val="single" w:color="auto" w:sz="4" w:space="0"/>
            </w:tcBorders>
            <w:shd w:val="clear" w:color="auto" w:fill="FFFFFF" w:themeFill="background1"/>
            <w:vAlign w:val="center"/>
          </w:tcPr>
          <w:p>
            <w:pPr>
              <w:jc w:val="center"/>
              <w:rPr>
                <w:rFonts w:hint="eastAsia" w:ascii="宋体" w:hAnsi="宋体" w:eastAsia="宋体" w:cs="宋体"/>
                <w:sz w:val="21"/>
                <w:szCs w:val="21"/>
              </w:rPr>
            </w:pPr>
            <w:r>
              <w:rPr>
                <w:rFonts w:hint="eastAsia" w:ascii="宋体" w:hAnsi="宋体" w:eastAsia="宋体" w:cs="宋体"/>
                <w:sz w:val="21"/>
                <w:szCs w:val="21"/>
              </w:rPr>
              <w:t>&gt;85</w:t>
            </w:r>
          </w:p>
        </w:tc>
        <w:tc>
          <w:tcPr>
            <w:tcW w:w="939" w:type="dxa"/>
            <w:tcBorders>
              <w:top w:val="nil"/>
              <w:left w:val="nil"/>
              <w:bottom w:val="single" w:color="auto" w:sz="4" w:space="0"/>
              <w:right w:val="single" w:color="auto" w:sz="4" w:space="0"/>
            </w:tcBorders>
            <w:shd w:val="clear" w:color="auto" w:fill="FFFFFF" w:themeFill="background1"/>
            <w:vAlign w:val="center"/>
          </w:tcPr>
          <w:p>
            <w:pPr>
              <w:jc w:val="center"/>
              <w:rPr>
                <w:rFonts w:ascii="仿宋" w:hAnsi="仿宋" w:eastAsia="仿宋" w:cs="仿宋"/>
                <w:sz w:val="24"/>
              </w:rPr>
            </w:pPr>
            <w:r>
              <w:rPr>
                <w:rFonts w:hint="eastAsia" w:ascii="仿宋" w:hAnsi="仿宋" w:eastAsia="仿宋" w:cs="仿宋"/>
                <w:sz w:val="24"/>
              </w:rPr>
              <w:t>预期性</w:t>
            </w:r>
          </w:p>
        </w:tc>
      </w:tr>
      <w:tr>
        <w:tblPrEx>
          <w:shd w:val="clear" w:color="auto" w:fill="FFFFFF" w:themeFill="background1"/>
          <w:tblCellMar>
            <w:top w:w="0" w:type="dxa"/>
            <w:left w:w="108" w:type="dxa"/>
            <w:bottom w:w="0" w:type="dxa"/>
            <w:right w:w="108" w:type="dxa"/>
          </w:tblCellMar>
        </w:tblPrEx>
        <w:trPr>
          <w:trHeight w:val="590" w:hRule="exact"/>
        </w:trPr>
        <w:tc>
          <w:tcPr>
            <w:tcW w:w="564"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jc w:val="center"/>
              <w:rPr>
                <w:rFonts w:hint="eastAsia" w:ascii="宋体" w:hAnsi="宋体" w:eastAsia="宋体" w:cs="宋体"/>
                <w:b w:val="0"/>
                <w:bCs w:val="0"/>
                <w:sz w:val="24"/>
              </w:rPr>
            </w:pPr>
            <w:r>
              <w:rPr>
                <w:rFonts w:hint="eastAsia" w:ascii="宋体" w:hAnsi="宋体" w:eastAsia="宋体" w:cs="宋体"/>
                <w:b w:val="0"/>
                <w:bCs w:val="0"/>
                <w:sz w:val="24"/>
              </w:rPr>
              <w:t>10</w:t>
            </w:r>
          </w:p>
        </w:tc>
        <w:tc>
          <w:tcPr>
            <w:tcW w:w="4526" w:type="dxa"/>
            <w:tcBorders>
              <w:top w:val="nil"/>
              <w:left w:val="nil"/>
              <w:bottom w:val="single" w:color="auto" w:sz="4" w:space="0"/>
              <w:right w:val="single" w:color="auto" w:sz="4" w:space="0"/>
            </w:tcBorders>
            <w:shd w:val="clear" w:color="auto" w:fill="FFFFFF" w:themeFill="background1"/>
            <w:vAlign w:val="center"/>
          </w:tcPr>
          <w:p>
            <w:pPr>
              <w:widowControl/>
              <w:jc w:val="left"/>
              <w:textAlignment w:val="center"/>
              <w:rPr>
                <w:rFonts w:ascii="Times New Roman" w:hAnsi="Times New Roman" w:eastAsia="仿宋" w:cs="Times New Roman"/>
                <w:sz w:val="24"/>
              </w:rPr>
            </w:pPr>
            <w:r>
              <w:rPr>
                <w:rFonts w:hint="eastAsia" w:ascii="Times New Roman" w:hAnsi="Times New Roman" w:eastAsia="仿宋" w:cs="Times New Roman"/>
                <w:sz w:val="24"/>
              </w:rPr>
              <w:t>农村牧区自来水普及率（%）</w:t>
            </w:r>
          </w:p>
        </w:tc>
        <w:tc>
          <w:tcPr>
            <w:tcW w:w="1170" w:type="dxa"/>
            <w:tcBorders>
              <w:top w:val="nil"/>
              <w:left w:val="nil"/>
              <w:bottom w:val="single" w:color="auto" w:sz="4" w:space="0"/>
              <w:right w:val="single" w:color="auto" w:sz="4" w:space="0"/>
            </w:tcBorders>
            <w:shd w:val="clear" w:color="auto" w:fill="FFFFFF" w:themeFill="background1"/>
            <w:vAlign w:val="center"/>
          </w:tcPr>
          <w:p>
            <w:pPr>
              <w:jc w:val="center"/>
              <w:rPr>
                <w:rFonts w:hint="eastAsia" w:ascii="宋体" w:hAnsi="宋体" w:eastAsia="宋体" w:cs="宋体"/>
                <w:sz w:val="21"/>
                <w:szCs w:val="21"/>
              </w:rPr>
            </w:pPr>
            <w:r>
              <w:rPr>
                <w:rFonts w:hint="eastAsia" w:ascii="宋体" w:hAnsi="宋体" w:eastAsia="宋体" w:cs="宋体"/>
                <w:sz w:val="21"/>
                <w:szCs w:val="21"/>
              </w:rPr>
              <w:t>38</w:t>
            </w:r>
          </w:p>
        </w:tc>
        <w:tc>
          <w:tcPr>
            <w:tcW w:w="1215" w:type="dxa"/>
            <w:tcBorders>
              <w:top w:val="nil"/>
              <w:left w:val="nil"/>
              <w:bottom w:val="single" w:color="auto" w:sz="4" w:space="0"/>
              <w:right w:val="single" w:color="auto" w:sz="4" w:space="0"/>
            </w:tcBorders>
            <w:shd w:val="clear" w:color="auto" w:fill="FFFFFF" w:themeFill="background1"/>
            <w:vAlign w:val="center"/>
          </w:tcPr>
          <w:p>
            <w:pPr>
              <w:jc w:val="center"/>
              <w:rPr>
                <w:rFonts w:hint="eastAsia" w:ascii="宋体" w:hAnsi="宋体" w:eastAsia="宋体" w:cs="宋体"/>
                <w:sz w:val="21"/>
                <w:szCs w:val="21"/>
              </w:rPr>
            </w:pPr>
            <w:r>
              <w:rPr>
                <w:rFonts w:hint="eastAsia" w:ascii="宋体" w:hAnsi="宋体" w:eastAsia="宋体" w:cs="宋体"/>
                <w:sz w:val="21"/>
                <w:szCs w:val="21"/>
              </w:rPr>
              <w:t>42.5</w:t>
            </w:r>
          </w:p>
        </w:tc>
        <w:tc>
          <w:tcPr>
            <w:tcW w:w="939" w:type="dxa"/>
            <w:tcBorders>
              <w:top w:val="nil"/>
              <w:left w:val="nil"/>
              <w:bottom w:val="single" w:color="auto" w:sz="4" w:space="0"/>
              <w:right w:val="single" w:color="auto" w:sz="4" w:space="0"/>
            </w:tcBorders>
            <w:shd w:val="clear" w:color="auto" w:fill="FFFFFF" w:themeFill="background1"/>
            <w:vAlign w:val="center"/>
          </w:tcPr>
          <w:p>
            <w:pPr>
              <w:jc w:val="center"/>
              <w:rPr>
                <w:rFonts w:ascii="仿宋" w:hAnsi="仿宋" w:eastAsia="仿宋" w:cs="仿宋"/>
                <w:sz w:val="24"/>
              </w:rPr>
            </w:pPr>
            <w:r>
              <w:rPr>
                <w:rFonts w:hint="eastAsia" w:ascii="仿宋" w:hAnsi="仿宋" w:eastAsia="仿宋" w:cs="仿宋"/>
                <w:sz w:val="24"/>
              </w:rPr>
              <w:t>预期性</w:t>
            </w:r>
          </w:p>
        </w:tc>
      </w:tr>
      <w:tr>
        <w:tblPrEx>
          <w:shd w:val="clear" w:color="auto" w:fill="FFFFFF" w:themeFill="background1"/>
          <w:tblCellMar>
            <w:top w:w="0" w:type="dxa"/>
            <w:left w:w="108" w:type="dxa"/>
            <w:bottom w:w="0" w:type="dxa"/>
            <w:right w:w="108" w:type="dxa"/>
          </w:tblCellMar>
        </w:tblPrEx>
        <w:trPr>
          <w:trHeight w:val="646" w:hRule="exact"/>
        </w:trPr>
        <w:tc>
          <w:tcPr>
            <w:tcW w:w="564"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jc w:val="center"/>
              <w:rPr>
                <w:rFonts w:hint="eastAsia" w:ascii="宋体" w:hAnsi="宋体" w:eastAsia="宋体" w:cs="宋体"/>
                <w:b w:val="0"/>
                <w:bCs w:val="0"/>
                <w:sz w:val="24"/>
              </w:rPr>
            </w:pPr>
            <w:r>
              <w:rPr>
                <w:rFonts w:hint="eastAsia" w:ascii="宋体" w:hAnsi="宋体" w:eastAsia="宋体" w:cs="宋体"/>
                <w:b w:val="0"/>
                <w:bCs w:val="0"/>
                <w:sz w:val="24"/>
              </w:rPr>
              <w:t>11</w:t>
            </w:r>
          </w:p>
        </w:tc>
        <w:tc>
          <w:tcPr>
            <w:tcW w:w="4526" w:type="dxa"/>
            <w:tcBorders>
              <w:top w:val="nil"/>
              <w:left w:val="nil"/>
              <w:bottom w:val="single" w:color="auto" w:sz="4" w:space="0"/>
              <w:right w:val="single" w:color="auto" w:sz="4" w:space="0"/>
            </w:tcBorders>
            <w:shd w:val="clear" w:color="auto" w:fill="FFFFFF" w:themeFill="background1"/>
            <w:vAlign w:val="center"/>
          </w:tcPr>
          <w:p>
            <w:pPr>
              <w:jc w:val="left"/>
              <w:rPr>
                <w:rFonts w:ascii="Times New Roman" w:hAnsi="Times New Roman" w:eastAsia="仿宋" w:cs="Times New Roman"/>
                <w:bCs/>
                <w:sz w:val="24"/>
              </w:rPr>
            </w:pPr>
            <w:r>
              <w:rPr>
                <w:rFonts w:hint="eastAsia" w:ascii="Times New Roman" w:hAnsi="Times New Roman" w:eastAsia="仿宋" w:cs="Times New Roman"/>
                <w:bCs/>
                <w:sz w:val="24"/>
              </w:rPr>
              <w:t>农村牧区义务教育学校专任教师本科以上学历比例（</w:t>
            </w:r>
            <w:r>
              <w:rPr>
                <w:rFonts w:ascii="Times New Roman" w:hAnsi="Times New Roman" w:eastAsia="仿宋" w:cs="Times New Roman"/>
                <w:bCs/>
                <w:sz w:val="24"/>
              </w:rPr>
              <w:t>%</w:t>
            </w:r>
            <w:r>
              <w:rPr>
                <w:rFonts w:hint="eastAsia" w:ascii="Times New Roman" w:hAnsi="Times New Roman" w:eastAsia="仿宋" w:cs="Times New Roman"/>
                <w:bCs/>
                <w:sz w:val="24"/>
              </w:rPr>
              <w:t>）</w:t>
            </w:r>
          </w:p>
        </w:tc>
        <w:tc>
          <w:tcPr>
            <w:tcW w:w="1170" w:type="dxa"/>
            <w:tcBorders>
              <w:top w:val="nil"/>
              <w:left w:val="nil"/>
              <w:bottom w:val="single" w:color="auto" w:sz="4" w:space="0"/>
              <w:right w:val="single" w:color="auto" w:sz="4" w:space="0"/>
            </w:tcBorders>
            <w:shd w:val="clear" w:color="auto" w:fill="FFFFFF" w:themeFill="background1"/>
            <w:vAlign w:val="center"/>
          </w:tcPr>
          <w:p>
            <w:pPr>
              <w:jc w:val="center"/>
              <w:rPr>
                <w:rFonts w:hint="eastAsia" w:ascii="宋体" w:hAnsi="宋体" w:eastAsia="宋体" w:cs="宋体"/>
                <w:sz w:val="21"/>
                <w:szCs w:val="21"/>
              </w:rPr>
            </w:pPr>
            <w:r>
              <w:rPr>
                <w:rFonts w:hint="eastAsia" w:ascii="宋体" w:hAnsi="宋体" w:eastAsia="宋体" w:cs="宋体"/>
                <w:sz w:val="21"/>
                <w:szCs w:val="21"/>
              </w:rPr>
              <w:t>62</w:t>
            </w:r>
          </w:p>
        </w:tc>
        <w:tc>
          <w:tcPr>
            <w:tcW w:w="1215" w:type="dxa"/>
            <w:tcBorders>
              <w:top w:val="nil"/>
              <w:left w:val="nil"/>
              <w:bottom w:val="single" w:color="auto" w:sz="4" w:space="0"/>
              <w:right w:val="single" w:color="auto" w:sz="4" w:space="0"/>
            </w:tcBorders>
            <w:shd w:val="clear" w:color="auto" w:fill="FFFFFF" w:themeFill="background1"/>
            <w:vAlign w:val="center"/>
          </w:tcPr>
          <w:p>
            <w:pPr>
              <w:jc w:val="center"/>
              <w:rPr>
                <w:rFonts w:hint="eastAsia" w:ascii="宋体" w:hAnsi="宋体" w:eastAsia="宋体" w:cs="宋体"/>
                <w:sz w:val="21"/>
                <w:szCs w:val="21"/>
              </w:rPr>
            </w:pPr>
            <w:r>
              <w:rPr>
                <w:rFonts w:hint="eastAsia" w:ascii="宋体" w:hAnsi="宋体" w:eastAsia="宋体" w:cs="宋体"/>
                <w:sz w:val="21"/>
                <w:szCs w:val="21"/>
              </w:rPr>
              <w:t>≧70</w:t>
            </w:r>
          </w:p>
        </w:tc>
        <w:tc>
          <w:tcPr>
            <w:tcW w:w="939" w:type="dxa"/>
            <w:tcBorders>
              <w:top w:val="nil"/>
              <w:left w:val="nil"/>
              <w:bottom w:val="single" w:color="auto" w:sz="4" w:space="0"/>
              <w:right w:val="single" w:color="auto" w:sz="4" w:space="0"/>
            </w:tcBorders>
            <w:shd w:val="clear" w:color="auto" w:fill="FFFFFF" w:themeFill="background1"/>
            <w:vAlign w:val="center"/>
          </w:tcPr>
          <w:p>
            <w:pPr>
              <w:jc w:val="center"/>
              <w:rPr>
                <w:rFonts w:ascii="仿宋" w:hAnsi="仿宋" w:eastAsia="仿宋" w:cs="仿宋"/>
                <w:sz w:val="24"/>
              </w:rPr>
            </w:pPr>
            <w:r>
              <w:rPr>
                <w:rFonts w:hint="eastAsia" w:ascii="仿宋" w:hAnsi="仿宋" w:eastAsia="仿宋" w:cs="仿宋"/>
                <w:sz w:val="24"/>
              </w:rPr>
              <w:t>预期性</w:t>
            </w:r>
          </w:p>
        </w:tc>
      </w:tr>
      <w:tr>
        <w:tblPrEx>
          <w:shd w:val="clear" w:color="auto" w:fill="FFFFFF" w:themeFill="background1"/>
          <w:tblCellMar>
            <w:top w:w="0" w:type="dxa"/>
            <w:left w:w="108" w:type="dxa"/>
            <w:bottom w:w="0" w:type="dxa"/>
            <w:right w:w="108" w:type="dxa"/>
          </w:tblCellMar>
        </w:tblPrEx>
        <w:trPr>
          <w:trHeight w:val="590" w:hRule="exact"/>
        </w:trPr>
        <w:tc>
          <w:tcPr>
            <w:tcW w:w="564"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jc w:val="center"/>
              <w:rPr>
                <w:rFonts w:hint="eastAsia" w:ascii="宋体" w:hAnsi="宋体" w:eastAsia="宋体" w:cs="宋体"/>
                <w:b w:val="0"/>
                <w:bCs w:val="0"/>
                <w:sz w:val="24"/>
              </w:rPr>
            </w:pPr>
            <w:r>
              <w:rPr>
                <w:rFonts w:hint="eastAsia" w:ascii="宋体" w:hAnsi="宋体" w:eastAsia="宋体" w:cs="宋体"/>
                <w:b w:val="0"/>
                <w:bCs w:val="0"/>
                <w:sz w:val="24"/>
              </w:rPr>
              <w:t>12</w:t>
            </w:r>
          </w:p>
        </w:tc>
        <w:tc>
          <w:tcPr>
            <w:tcW w:w="4526" w:type="dxa"/>
            <w:tcBorders>
              <w:top w:val="nil"/>
              <w:left w:val="nil"/>
              <w:bottom w:val="single" w:color="auto" w:sz="4" w:space="0"/>
              <w:right w:val="single" w:color="auto" w:sz="4" w:space="0"/>
            </w:tcBorders>
            <w:shd w:val="clear" w:color="auto" w:fill="FFFFFF" w:themeFill="background1"/>
            <w:vAlign w:val="center"/>
          </w:tcPr>
          <w:p>
            <w:pPr>
              <w:jc w:val="left"/>
              <w:rPr>
                <w:rFonts w:ascii="Times New Roman" w:hAnsi="Times New Roman" w:eastAsia="仿宋" w:cs="Times New Roman"/>
                <w:bCs/>
                <w:sz w:val="24"/>
              </w:rPr>
            </w:pPr>
            <w:r>
              <w:rPr>
                <w:rFonts w:hint="eastAsia" w:ascii="Times New Roman" w:hAnsi="Times New Roman" w:eastAsia="仿宋" w:cs="Times New Roman"/>
                <w:bCs/>
                <w:sz w:val="24"/>
                <w:lang w:eastAsia="zh-CN"/>
              </w:rPr>
              <w:t>乡村</w:t>
            </w:r>
            <w:r>
              <w:rPr>
                <w:rFonts w:hint="eastAsia" w:ascii="Times New Roman" w:hAnsi="Times New Roman" w:eastAsia="仿宋" w:cs="Times New Roman"/>
                <w:bCs/>
                <w:sz w:val="24"/>
              </w:rPr>
              <w:t>医生中执业（助理）医师比例（%）</w:t>
            </w:r>
          </w:p>
        </w:tc>
        <w:tc>
          <w:tcPr>
            <w:tcW w:w="1170" w:type="dxa"/>
            <w:tcBorders>
              <w:top w:val="nil"/>
              <w:left w:val="nil"/>
              <w:bottom w:val="single" w:color="auto" w:sz="4" w:space="0"/>
              <w:right w:val="single" w:color="auto" w:sz="4" w:space="0"/>
            </w:tcBorders>
            <w:shd w:val="clear" w:color="auto" w:fill="FFFFFF" w:themeFill="background1"/>
            <w:vAlign w:val="center"/>
          </w:tcPr>
          <w:p>
            <w:pPr>
              <w:jc w:val="center"/>
              <w:rPr>
                <w:rFonts w:hint="eastAsia" w:ascii="宋体" w:hAnsi="宋体" w:eastAsia="宋体" w:cs="宋体"/>
                <w:sz w:val="21"/>
                <w:szCs w:val="21"/>
              </w:rPr>
            </w:pPr>
            <w:r>
              <w:rPr>
                <w:rFonts w:hint="eastAsia" w:ascii="宋体" w:hAnsi="宋体" w:eastAsia="宋体" w:cs="宋体"/>
                <w:sz w:val="21"/>
                <w:szCs w:val="21"/>
              </w:rPr>
              <w:t>10</w:t>
            </w:r>
          </w:p>
        </w:tc>
        <w:tc>
          <w:tcPr>
            <w:tcW w:w="1215" w:type="dxa"/>
            <w:tcBorders>
              <w:top w:val="nil"/>
              <w:left w:val="nil"/>
              <w:bottom w:val="single" w:color="auto" w:sz="4" w:space="0"/>
              <w:right w:val="single" w:color="auto" w:sz="4" w:space="0"/>
            </w:tcBorders>
            <w:shd w:val="clear" w:color="auto" w:fill="FFFFFF" w:themeFill="background1"/>
            <w:vAlign w:val="center"/>
          </w:tcPr>
          <w:p>
            <w:pPr>
              <w:jc w:val="center"/>
              <w:rPr>
                <w:rFonts w:hint="eastAsia" w:ascii="宋体" w:hAnsi="宋体" w:eastAsia="宋体" w:cs="宋体"/>
                <w:sz w:val="21"/>
                <w:szCs w:val="21"/>
              </w:rPr>
            </w:pPr>
            <w:r>
              <w:rPr>
                <w:rFonts w:hint="eastAsia" w:ascii="宋体" w:hAnsi="宋体" w:eastAsia="宋体" w:cs="宋体"/>
                <w:sz w:val="21"/>
                <w:szCs w:val="21"/>
              </w:rPr>
              <w:t>15</w:t>
            </w:r>
          </w:p>
        </w:tc>
        <w:tc>
          <w:tcPr>
            <w:tcW w:w="939" w:type="dxa"/>
            <w:tcBorders>
              <w:top w:val="nil"/>
              <w:left w:val="nil"/>
              <w:bottom w:val="single" w:color="auto" w:sz="4" w:space="0"/>
              <w:right w:val="single" w:color="auto" w:sz="4" w:space="0"/>
            </w:tcBorders>
            <w:shd w:val="clear" w:color="auto" w:fill="FFFFFF" w:themeFill="background1"/>
            <w:vAlign w:val="center"/>
          </w:tcPr>
          <w:p>
            <w:pPr>
              <w:jc w:val="center"/>
              <w:rPr>
                <w:rFonts w:ascii="仿宋" w:hAnsi="仿宋" w:eastAsia="仿宋" w:cs="仿宋"/>
                <w:sz w:val="24"/>
              </w:rPr>
            </w:pPr>
            <w:r>
              <w:rPr>
                <w:rFonts w:hint="eastAsia" w:ascii="仿宋" w:hAnsi="仿宋" w:eastAsia="仿宋" w:cs="仿宋"/>
                <w:sz w:val="24"/>
              </w:rPr>
              <w:t>预期性</w:t>
            </w:r>
          </w:p>
        </w:tc>
      </w:tr>
      <w:tr>
        <w:tblPrEx>
          <w:shd w:val="clear" w:color="auto" w:fill="FFFFFF" w:themeFill="background1"/>
          <w:tblCellMar>
            <w:top w:w="0" w:type="dxa"/>
            <w:left w:w="108" w:type="dxa"/>
            <w:bottom w:w="0" w:type="dxa"/>
            <w:right w:w="108" w:type="dxa"/>
          </w:tblCellMar>
        </w:tblPrEx>
        <w:trPr>
          <w:trHeight w:val="646" w:hRule="exact"/>
        </w:trPr>
        <w:tc>
          <w:tcPr>
            <w:tcW w:w="564"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jc w:val="center"/>
              <w:rPr>
                <w:rFonts w:hint="eastAsia" w:ascii="宋体" w:hAnsi="宋体" w:eastAsia="宋体" w:cs="宋体"/>
                <w:b w:val="0"/>
                <w:bCs w:val="0"/>
                <w:sz w:val="24"/>
              </w:rPr>
            </w:pPr>
            <w:r>
              <w:rPr>
                <w:rFonts w:hint="eastAsia" w:ascii="宋体" w:hAnsi="宋体" w:eastAsia="宋体" w:cs="宋体"/>
                <w:b w:val="0"/>
                <w:bCs w:val="0"/>
                <w:sz w:val="24"/>
              </w:rPr>
              <w:t>13</w:t>
            </w:r>
          </w:p>
        </w:tc>
        <w:tc>
          <w:tcPr>
            <w:tcW w:w="4526" w:type="dxa"/>
            <w:tcBorders>
              <w:top w:val="nil"/>
              <w:left w:val="nil"/>
              <w:bottom w:val="single" w:color="auto" w:sz="4" w:space="0"/>
              <w:right w:val="single" w:color="auto" w:sz="4" w:space="0"/>
            </w:tcBorders>
            <w:shd w:val="clear" w:color="auto" w:fill="FFFFFF" w:themeFill="background1"/>
            <w:vAlign w:val="center"/>
          </w:tcPr>
          <w:p>
            <w:pPr>
              <w:widowControl/>
              <w:jc w:val="left"/>
              <w:textAlignment w:val="center"/>
              <w:rPr>
                <w:rFonts w:ascii="Times New Roman" w:hAnsi="Times New Roman" w:eastAsia="仿宋" w:cs="Times New Roman"/>
                <w:sz w:val="24"/>
              </w:rPr>
            </w:pPr>
            <w:r>
              <w:rPr>
                <w:rFonts w:hint="eastAsia" w:ascii="Times New Roman" w:hAnsi="Times New Roman" w:eastAsia="仿宋" w:cs="Times New Roman"/>
                <w:sz w:val="24"/>
              </w:rPr>
              <w:t>乡镇（街道）范围具备综合功能的养老服务机构覆盖率（%）</w:t>
            </w:r>
          </w:p>
        </w:tc>
        <w:tc>
          <w:tcPr>
            <w:tcW w:w="1170" w:type="dxa"/>
            <w:tcBorders>
              <w:top w:val="nil"/>
              <w:left w:val="nil"/>
              <w:bottom w:val="single" w:color="auto" w:sz="4" w:space="0"/>
              <w:right w:val="single" w:color="auto" w:sz="4" w:space="0"/>
            </w:tcBorders>
            <w:shd w:val="clear" w:color="auto" w:fill="FFFFFF" w:themeFill="background1"/>
            <w:vAlign w:val="center"/>
          </w:tcPr>
          <w:p>
            <w:pPr>
              <w:jc w:val="center"/>
              <w:rPr>
                <w:rFonts w:hint="eastAsia" w:ascii="宋体" w:hAnsi="宋体" w:eastAsia="宋体" w:cs="宋体"/>
                <w:sz w:val="21"/>
                <w:szCs w:val="21"/>
              </w:rPr>
            </w:pPr>
            <w:r>
              <w:rPr>
                <w:rFonts w:hint="eastAsia" w:ascii="宋体" w:hAnsi="宋体" w:eastAsia="宋体" w:cs="宋体"/>
                <w:sz w:val="21"/>
                <w:szCs w:val="21"/>
              </w:rPr>
              <w:t>28</w:t>
            </w:r>
          </w:p>
        </w:tc>
        <w:tc>
          <w:tcPr>
            <w:tcW w:w="1215" w:type="dxa"/>
            <w:tcBorders>
              <w:top w:val="nil"/>
              <w:left w:val="nil"/>
              <w:bottom w:val="single" w:color="auto" w:sz="4" w:space="0"/>
              <w:right w:val="single" w:color="auto" w:sz="4" w:space="0"/>
            </w:tcBorders>
            <w:shd w:val="clear" w:color="auto" w:fill="FFFFFF" w:themeFill="background1"/>
            <w:vAlign w:val="center"/>
          </w:tcPr>
          <w:p>
            <w:pPr>
              <w:jc w:val="center"/>
              <w:rPr>
                <w:rFonts w:hint="eastAsia" w:ascii="宋体" w:hAnsi="宋体" w:eastAsia="宋体" w:cs="宋体"/>
                <w:sz w:val="21"/>
                <w:szCs w:val="21"/>
              </w:rPr>
            </w:pPr>
            <w:r>
              <w:rPr>
                <w:rFonts w:hint="eastAsia" w:ascii="宋体" w:hAnsi="宋体" w:eastAsia="宋体" w:cs="宋体"/>
                <w:sz w:val="21"/>
                <w:szCs w:val="21"/>
              </w:rPr>
              <w:t>50</w:t>
            </w:r>
          </w:p>
        </w:tc>
        <w:tc>
          <w:tcPr>
            <w:tcW w:w="939" w:type="dxa"/>
            <w:tcBorders>
              <w:top w:val="nil"/>
              <w:left w:val="nil"/>
              <w:bottom w:val="single" w:color="auto" w:sz="4" w:space="0"/>
              <w:right w:val="single" w:color="auto" w:sz="4" w:space="0"/>
            </w:tcBorders>
            <w:shd w:val="clear" w:color="auto" w:fill="FFFFFF" w:themeFill="background1"/>
            <w:vAlign w:val="center"/>
          </w:tcPr>
          <w:p>
            <w:pPr>
              <w:spacing w:line="480" w:lineRule="auto"/>
              <w:jc w:val="center"/>
              <w:rPr>
                <w:rFonts w:ascii="仿宋" w:hAnsi="仿宋" w:eastAsia="仿宋" w:cs="仿宋"/>
                <w:sz w:val="24"/>
              </w:rPr>
            </w:pPr>
            <w:r>
              <w:rPr>
                <w:rFonts w:hint="eastAsia" w:ascii="仿宋" w:hAnsi="仿宋" w:eastAsia="仿宋" w:cs="仿宋"/>
                <w:sz w:val="24"/>
              </w:rPr>
              <w:t>预期性</w:t>
            </w:r>
          </w:p>
        </w:tc>
      </w:tr>
      <w:tr>
        <w:tblPrEx>
          <w:shd w:val="clear" w:color="auto" w:fill="FFFFFF" w:themeFill="background1"/>
          <w:tblCellMar>
            <w:top w:w="0" w:type="dxa"/>
            <w:left w:w="108" w:type="dxa"/>
            <w:bottom w:w="0" w:type="dxa"/>
            <w:right w:w="108" w:type="dxa"/>
          </w:tblCellMar>
        </w:tblPrEx>
        <w:trPr>
          <w:trHeight w:val="658" w:hRule="exact"/>
        </w:trPr>
        <w:tc>
          <w:tcPr>
            <w:tcW w:w="564"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jc w:val="center"/>
              <w:rPr>
                <w:rFonts w:hint="eastAsia" w:ascii="宋体" w:hAnsi="宋体" w:eastAsia="宋体" w:cs="宋体"/>
                <w:b w:val="0"/>
                <w:bCs w:val="0"/>
                <w:sz w:val="24"/>
              </w:rPr>
            </w:pPr>
            <w:r>
              <w:rPr>
                <w:rFonts w:hint="eastAsia" w:ascii="宋体" w:hAnsi="宋体" w:eastAsia="宋体" w:cs="宋体"/>
                <w:b w:val="0"/>
                <w:bCs w:val="0"/>
                <w:sz w:val="24"/>
              </w:rPr>
              <w:t>14</w:t>
            </w:r>
          </w:p>
        </w:tc>
        <w:tc>
          <w:tcPr>
            <w:tcW w:w="4526" w:type="dxa"/>
            <w:tcBorders>
              <w:top w:val="nil"/>
              <w:left w:val="nil"/>
              <w:bottom w:val="single" w:color="auto" w:sz="4" w:space="0"/>
              <w:right w:val="single" w:color="auto" w:sz="4" w:space="0"/>
            </w:tcBorders>
            <w:shd w:val="clear" w:color="auto" w:fill="FFFFFF" w:themeFill="background1"/>
            <w:vAlign w:val="center"/>
          </w:tcPr>
          <w:p>
            <w:pPr>
              <w:jc w:val="left"/>
              <w:rPr>
                <w:rFonts w:ascii="Times New Roman" w:hAnsi="Times New Roman" w:eastAsia="仿宋" w:cs="Times New Roman"/>
                <w:sz w:val="24"/>
              </w:rPr>
            </w:pPr>
            <w:r>
              <w:rPr>
                <w:rFonts w:hint="eastAsia" w:ascii="Times New Roman" w:hAnsi="Times New Roman" w:eastAsia="仿宋" w:cs="Times New Roman"/>
                <w:sz w:val="24"/>
              </w:rPr>
              <w:t>农牧民人均可支配收入</w:t>
            </w:r>
            <w:r>
              <w:rPr>
                <w:rFonts w:hint="eastAsia" w:ascii="Times New Roman" w:hAnsi="Times New Roman" w:eastAsia="仿宋" w:cs="Times New Roman"/>
                <w:sz w:val="24"/>
                <w:lang w:eastAsia="zh-CN"/>
              </w:rPr>
              <w:t>增速</w:t>
            </w:r>
            <w:r>
              <w:rPr>
                <w:rFonts w:hint="eastAsia" w:ascii="Times New Roman" w:hAnsi="Times New Roman" w:eastAsia="仿宋" w:cs="Times New Roman"/>
                <w:sz w:val="24"/>
              </w:rPr>
              <w:t>（%）</w:t>
            </w:r>
          </w:p>
        </w:tc>
        <w:tc>
          <w:tcPr>
            <w:tcW w:w="1170" w:type="dxa"/>
            <w:tcBorders>
              <w:top w:val="nil"/>
              <w:left w:val="nil"/>
              <w:bottom w:val="single" w:color="auto" w:sz="4" w:space="0"/>
              <w:right w:val="single" w:color="auto" w:sz="4" w:space="0"/>
            </w:tcBorders>
            <w:shd w:val="clear" w:color="auto" w:fill="FFFFFF" w:themeFill="background1"/>
            <w:vAlign w:val="center"/>
          </w:tcPr>
          <w:p>
            <w:pPr>
              <w:jc w:val="center"/>
              <w:rPr>
                <w:rFonts w:hint="eastAsia" w:ascii="宋体" w:hAnsi="宋体" w:eastAsia="宋体" w:cs="宋体"/>
                <w:sz w:val="21"/>
                <w:szCs w:val="21"/>
              </w:rPr>
            </w:pPr>
            <w:r>
              <w:rPr>
                <w:rFonts w:hint="eastAsia" w:ascii="宋体" w:hAnsi="宋体" w:eastAsia="宋体" w:cs="宋体"/>
                <w:sz w:val="21"/>
                <w:szCs w:val="21"/>
              </w:rPr>
              <w:t>8.5</w:t>
            </w:r>
          </w:p>
        </w:tc>
        <w:tc>
          <w:tcPr>
            <w:tcW w:w="1215" w:type="dxa"/>
            <w:tcBorders>
              <w:top w:val="nil"/>
              <w:left w:val="nil"/>
              <w:bottom w:val="single" w:color="auto" w:sz="4" w:space="0"/>
              <w:right w:val="single" w:color="auto" w:sz="4" w:space="0"/>
            </w:tcBorders>
            <w:shd w:val="clear" w:color="auto" w:fill="FFFFFF" w:themeFill="background1"/>
            <w:vAlign w:val="center"/>
          </w:tcPr>
          <w:p>
            <w:pPr>
              <w:jc w:val="center"/>
              <w:rPr>
                <w:rFonts w:hint="eastAsia" w:ascii="宋体" w:hAnsi="宋体" w:eastAsia="宋体" w:cs="宋体"/>
                <w:sz w:val="21"/>
                <w:szCs w:val="21"/>
              </w:rPr>
            </w:pPr>
            <w:r>
              <w:rPr>
                <w:rFonts w:hint="eastAsia" w:ascii="宋体" w:hAnsi="宋体" w:eastAsia="宋体" w:cs="宋体"/>
                <w:sz w:val="18"/>
                <w:szCs w:val="18"/>
              </w:rPr>
              <w:t>与经济增长基本同步</w:t>
            </w:r>
          </w:p>
        </w:tc>
        <w:tc>
          <w:tcPr>
            <w:tcW w:w="939" w:type="dxa"/>
            <w:tcBorders>
              <w:top w:val="nil"/>
              <w:left w:val="nil"/>
              <w:bottom w:val="single" w:color="auto" w:sz="4" w:space="0"/>
              <w:right w:val="single" w:color="auto" w:sz="4" w:space="0"/>
            </w:tcBorders>
            <w:shd w:val="clear" w:color="auto" w:fill="FFFFFF" w:themeFill="background1"/>
            <w:vAlign w:val="center"/>
          </w:tcPr>
          <w:p>
            <w:pPr>
              <w:jc w:val="center"/>
              <w:rPr>
                <w:rFonts w:ascii="仿宋" w:hAnsi="仿宋" w:eastAsia="仿宋" w:cs="仿宋"/>
                <w:sz w:val="24"/>
              </w:rPr>
            </w:pPr>
            <w:r>
              <w:rPr>
                <w:rFonts w:hint="eastAsia" w:ascii="仿宋" w:hAnsi="仿宋" w:eastAsia="仿宋" w:cs="仿宋"/>
                <w:sz w:val="24"/>
              </w:rPr>
              <w:t>预期性</w:t>
            </w:r>
          </w:p>
        </w:tc>
      </w:tr>
      <w:tr>
        <w:tblPrEx>
          <w:shd w:val="clear" w:color="auto" w:fill="FFFFFF" w:themeFill="background1"/>
          <w:tblCellMar>
            <w:top w:w="0" w:type="dxa"/>
            <w:left w:w="108" w:type="dxa"/>
            <w:bottom w:w="0" w:type="dxa"/>
            <w:right w:w="108" w:type="dxa"/>
          </w:tblCellMar>
        </w:tblPrEx>
        <w:trPr>
          <w:trHeight w:val="533" w:hRule="exact"/>
        </w:trPr>
        <w:tc>
          <w:tcPr>
            <w:tcW w:w="564"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jc w:val="center"/>
              <w:rPr>
                <w:rFonts w:hint="eastAsia" w:ascii="宋体" w:hAnsi="宋体" w:eastAsia="宋体" w:cs="宋体"/>
                <w:b w:val="0"/>
                <w:bCs w:val="0"/>
                <w:sz w:val="24"/>
              </w:rPr>
            </w:pPr>
            <w:r>
              <w:rPr>
                <w:rFonts w:hint="eastAsia" w:ascii="宋体" w:hAnsi="宋体" w:eastAsia="宋体" w:cs="宋体"/>
                <w:b w:val="0"/>
                <w:bCs w:val="0"/>
                <w:sz w:val="24"/>
              </w:rPr>
              <w:t>15</w:t>
            </w:r>
          </w:p>
        </w:tc>
        <w:tc>
          <w:tcPr>
            <w:tcW w:w="4526" w:type="dxa"/>
            <w:tcBorders>
              <w:top w:val="nil"/>
              <w:left w:val="nil"/>
              <w:bottom w:val="single" w:color="auto" w:sz="4" w:space="0"/>
              <w:right w:val="single" w:color="auto" w:sz="4" w:space="0"/>
            </w:tcBorders>
            <w:shd w:val="clear" w:color="auto" w:fill="FFFFFF" w:themeFill="background1"/>
            <w:vAlign w:val="center"/>
          </w:tcPr>
          <w:p>
            <w:pPr>
              <w:widowControl/>
              <w:jc w:val="left"/>
              <w:textAlignment w:val="center"/>
              <w:rPr>
                <w:rFonts w:ascii="Times New Roman" w:hAnsi="Times New Roman" w:eastAsia="仿宋" w:cs="Times New Roman"/>
                <w:sz w:val="24"/>
              </w:rPr>
            </w:pPr>
            <w:r>
              <w:rPr>
                <w:rFonts w:hint="eastAsia" w:ascii="Times New Roman" w:hAnsi="Times New Roman" w:eastAsia="仿宋" w:cs="Times New Roman"/>
                <w:sz w:val="24"/>
              </w:rPr>
              <w:t>集体收益</w:t>
            </w:r>
            <w:r>
              <w:rPr>
                <w:rFonts w:hint="eastAsia" w:ascii="仿宋" w:hAnsi="仿宋" w:eastAsia="仿宋" w:cs="仿宋"/>
                <w:sz w:val="24"/>
              </w:rPr>
              <w:t>10万</w:t>
            </w:r>
            <w:r>
              <w:rPr>
                <w:rFonts w:hint="eastAsia" w:ascii="Times New Roman" w:hAnsi="Times New Roman" w:eastAsia="仿宋" w:cs="Times New Roman"/>
                <w:sz w:val="24"/>
              </w:rPr>
              <w:t>元以上嘎查村</w:t>
            </w:r>
            <w:r>
              <w:rPr>
                <w:rFonts w:hint="eastAsia" w:ascii="Times New Roman" w:hAnsi="Times New Roman" w:eastAsia="仿宋" w:cs="Times New Roman"/>
                <w:sz w:val="24"/>
                <w:lang w:eastAsia="zh-CN"/>
              </w:rPr>
              <w:t>占比</w:t>
            </w:r>
            <w:r>
              <w:rPr>
                <w:rFonts w:hint="eastAsia" w:ascii="Times New Roman" w:hAnsi="Times New Roman" w:eastAsia="仿宋" w:cs="Times New Roman"/>
                <w:sz w:val="24"/>
              </w:rPr>
              <w:t>（%）</w:t>
            </w:r>
          </w:p>
        </w:tc>
        <w:tc>
          <w:tcPr>
            <w:tcW w:w="1170" w:type="dxa"/>
            <w:tcBorders>
              <w:top w:val="nil"/>
              <w:left w:val="nil"/>
              <w:bottom w:val="single" w:color="auto" w:sz="4" w:space="0"/>
              <w:right w:val="single" w:color="auto" w:sz="4" w:space="0"/>
            </w:tcBorders>
            <w:shd w:val="clear" w:color="auto" w:fill="FFFFFF" w:themeFill="background1"/>
            <w:vAlign w:val="center"/>
          </w:tcPr>
          <w:p>
            <w:pPr>
              <w:jc w:val="center"/>
              <w:rPr>
                <w:rFonts w:hint="eastAsia" w:ascii="宋体" w:hAnsi="宋体" w:eastAsia="宋体" w:cs="宋体"/>
                <w:sz w:val="21"/>
                <w:szCs w:val="21"/>
              </w:rPr>
            </w:pPr>
            <w:r>
              <w:rPr>
                <w:rFonts w:hint="eastAsia" w:ascii="宋体" w:hAnsi="宋体" w:eastAsia="宋体" w:cs="宋体"/>
                <w:sz w:val="21"/>
                <w:szCs w:val="21"/>
              </w:rPr>
              <w:t>65</w:t>
            </w:r>
          </w:p>
        </w:tc>
        <w:tc>
          <w:tcPr>
            <w:tcW w:w="1215" w:type="dxa"/>
            <w:tcBorders>
              <w:top w:val="nil"/>
              <w:left w:val="nil"/>
              <w:bottom w:val="single" w:color="auto" w:sz="4" w:space="0"/>
              <w:right w:val="single" w:color="auto" w:sz="4" w:space="0"/>
            </w:tcBorders>
            <w:shd w:val="clear" w:color="auto" w:fill="FFFFFF" w:themeFill="background1"/>
            <w:vAlign w:val="center"/>
          </w:tcPr>
          <w:p>
            <w:pPr>
              <w:jc w:val="center"/>
              <w:rPr>
                <w:rFonts w:hint="eastAsia" w:ascii="宋体" w:hAnsi="宋体" w:eastAsia="宋体" w:cs="宋体"/>
                <w:sz w:val="21"/>
                <w:szCs w:val="21"/>
              </w:rPr>
            </w:pPr>
            <w:r>
              <w:rPr>
                <w:rFonts w:hint="eastAsia" w:ascii="宋体" w:hAnsi="宋体" w:eastAsia="宋体" w:cs="宋体"/>
                <w:sz w:val="21"/>
                <w:szCs w:val="21"/>
              </w:rPr>
              <w:t>100</w:t>
            </w:r>
          </w:p>
        </w:tc>
        <w:tc>
          <w:tcPr>
            <w:tcW w:w="939" w:type="dxa"/>
            <w:tcBorders>
              <w:top w:val="nil"/>
              <w:left w:val="nil"/>
              <w:bottom w:val="single" w:color="auto" w:sz="4" w:space="0"/>
              <w:right w:val="single" w:color="auto" w:sz="4" w:space="0"/>
            </w:tcBorders>
            <w:shd w:val="clear" w:color="auto" w:fill="FFFFFF" w:themeFill="background1"/>
            <w:vAlign w:val="center"/>
          </w:tcPr>
          <w:p>
            <w:pPr>
              <w:jc w:val="center"/>
              <w:rPr>
                <w:rFonts w:ascii="仿宋" w:hAnsi="仿宋" w:eastAsia="仿宋" w:cs="仿宋"/>
                <w:sz w:val="24"/>
              </w:rPr>
            </w:pPr>
            <w:r>
              <w:rPr>
                <w:rFonts w:hint="eastAsia" w:ascii="仿宋" w:hAnsi="仿宋" w:eastAsia="仿宋" w:cs="仿宋"/>
                <w:sz w:val="24"/>
              </w:rPr>
              <w:t>预期性</w:t>
            </w:r>
          </w:p>
        </w:tc>
      </w:tr>
      <w:tr>
        <w:tblPrEx>
          <w:shd w:val="clear" w:color="auto" w:fill="FFFFFF" w:themeFill="background1"/>
          <w:tblCellMar>
            <w:top w:w="0" w:type="dxa"/>
            <w:left w:w="108" w:type="dxa"/>
            <w:bottom w:w="0" w:type="dxa"/>
            <w:right w:w="108" w:type="dxa"/>
          </w:tblCellMar>
        </w:tblPrEx>
        <w:trPr>
          <w:trHeight w:val="533" w:hRule="exact"/>
        </w:trPr>
        <w:tc>
          <w:tcPr>
            <w:tcW w:w="564"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jc w:val="center"/>
              <w:rPr>
                <w:rFonts w:hint="eastAsia" w:ascii="宋体" w:hAnsi="宋体" w:eastAsia="宋体" w:cs="宋体"/>
                <w:b w:val="0"/>
                <w:bCs w:val="0"/>
                <w:sz w:val="24"/>
              </w:rPr>
            </w:pPr>
            <w:r>
              <w:rPr>
                <w:rFonts w:hint="eastAsia" w:ascii="宋体" w:hAnsi="宋体" w:eastAsia="宋体" w:cs="宋体"/>
                <w:b w:val="0"/>
                <w:bCs w:val="0"/>
                <w:sz w:val="24"/>
              </w:rPr>
              <w:t>16</w:t>
            </w:r>
          </w:p>
        </w:tc>
        <w:tc>
          <w:tcPr>
            <w:tcW w:w="4526" w:type="dxa"/>
            <w:tcBorders>
              <w:top w:val="nil"/>
              <w:left w:val="nil"/>
              <w:bottom w:val="single" w:color="auto" w:sz="4" w:space="0"/>
              <w:right w:val="single" w:color="auto" w:sz="4" w:space="0"/>
            </w:tcBorders>
            <w:shd w:val="clear" w:color="auto" w:fill="FFFFFF" w:themeFill="background1"/>
            <w:vAlign w:val="center"/>
          </w:tcPr>
          <w:p>
            <w:pPr>
              <w:widowControl/>
              <w:jc w:val="left"/>
              <w:textAlignment w:val="center"/>
              <w:rPr>
                <w:rFonts w:ascii="Times New Roman" w:hAnsi="Times New Roman" w:eastAsia="仿宋" w:cs="Times New Roman"/>
                <w:sz w:val="24"/>
              </w:rPr>
            </w:pPr>
            <w:r>
              <w:rPr>
                <w:rFonts w:hint="eastAsia" w:ascii="Times New Roman" w:hAnsi="Times New Roman" w:eastAsia="仿宋" w:cs="Times New Roman"/>
                <w:sz w:val="24"/>
              </w:rPr>
              <w:t>旗县</w:t>
            </w:r>
            <w:r>
              <w:rPr>
                <w:rFonts w:hint="eastAsia" w:ascii="Times New Roman" w:hAnsi="Times New Roman" w:eastAsia="仿宋" w:cs="Times New Roman"/>
                <w:sz w:val="24"/>
                <w:lang w:eastAsia="zh-CN"/>
              </w:rPr>
              <w:t>级</w:t>
            </w:r>
            <w:r>
              <w:rPr>
                <w:rFonts w:hint="eastAsia" w:ascii="Times New Roman" w:hAnsi="Times New Roman" w:eastAsia="仿宋" w:cs="Times New Roman"/>
                <w:sz w:val="24"/>
              </w:rPr>
              <w:t>及以上文明嘎查村占比（%）</w:t>
            </w:r>
          </w:p>
        </w:tc>
        <w:tc>
          <w:tcPr>
            <w:tcW w:w="1170" w:type="dxa"/>
            <w:tcBorders>
              <w:top w:val="nil"/>
              <w:left w:val="nil"/>
              <w:bottom w:val="single" w:color="auto" w:sz="4" w:space="0"/>
              <w:right w:val="single" w:color="auto" w:sz="4" w:space="0"/>
            </w:tcBorders>
            <w:shd w:val="clear" w:color="auto" w:fill="FFFFFF" w:themeFill="background1"/>
            <w:vAlign w:val="center"/>
          </w:tcPr>
          <w:p>
            <w:pPr>
              <w:jc w:val="center"/>
              <w:rPr>
                <w:rFonts w:hint="eastAsia" w:ascii="宋体" w:hAnsi="宋体" w:eastAsia="宋体" w:cs="宋体"/>
                <w:sz w:val="21"/>
                <w:szCs w:val="21"/>
              </w:rPr>
            </w:pPr>
            <w:r>
              <w:rPr>
                <w:rFonts w:hint="eastAsia" w:ascii="宋体" w:hAnsi="宋体" w:eastAsia="宋体" w:cs="宋体"/>
                <w:sz w:val="21"/>
                <w:szCs w:val="21"/>
              </w:rPr>
              <w:t>74.5</w:t>
            </w:r>
          </w:p>
        </w:tc>
        <w:tc>
          <w:tcPr>
            <w:tcW w:w="1215" w:type="dxa"/>
            <w:tcBorders>
              <w:top w:val="nil"/>
              <w:left w:val="nil"/>
              <w:bottom w:val="single" w:color="auto" w:sz="4" w:space="0"/>
              <w:right w:val="single" w:color="auto" w:sz="4" w:space="0"/>
            </w:tcBorders>
            <w:shd w:val="clear" w:color="auto" w:fill="FFFFFF" w:themeFill="background1"/>
            <w:vAlign w:val="center"/>
          </w:tcPr>
          <w:p>
            <w:pPr>
              <w:jc w:val="center"/>
              <w:rPr>
                <w:rFonts w:hint="eastAsia" w:ascii="宋体" w:hAnsi="宋体" w:eastAsia="宋体" w:cs="宋体"/>
                <w:sz w:val="21"/>
                <w:szCs w:val="21"/>
              </w:rPr>
            </w:pPr>
            <w:r>
              <w:rPr>
                <w:rFonts w:hint="eastAsia" w:ascii="宋体" w:hAnsi="宋体" w:eastAsia="宋体" w:cs="宋体"/>
                <w:sz w:val="21"/>
                <w:szCs w:val="21"/>
              </w:rPr>
              <w:t>100</w:t>
            </w:r>
          </w:p>
        </w:tc>
        <w:tc>
          <w:tcPr>
            <w:tcW w:w="939" w:type="dxa"/>
            <w:tcBorders>
              <w:top w:val="nil"/>
              <w:left w:val="nil"/>
              <w:bottom w:val="single" w:color="auto" w:sz="4" w:space="0"/>
              <w:right w:val="single" w:color="auto" w:sz="4" w:space="0"/>
            </w:tcBorders>
            <w:shd w:val="clear" w:color="auto" w:fill="FFFFFF" w:themeFill="background1"/>
            <w:vAlign w:val="center"/>
          </w:tcPr>
          <w:p>
            <w:pPr>
              <w:spacing w:line="480" w:lineRule="auto"/>
              <w:jc w:val="center"/>
              <w:rPr>
                <w:rFonts w:ascii="仿宋" w:hAnsi="仿宋" w:eastAsia="仿宋" w:cs="仿宋"/>
                <w:sz w:val="24"/>
              </w:rPr>
            </w:pPr>
            <w:r>
              <w:rPr>
                <w:rFonts w:hint="eastAsia" w:ascii="仿宋" w:hAnsi="仿宋" w:eastAsia="仿宋" w:cs="仿宋"/>
                <w:sz w:val="24"/>
              </w:rPr>
              <w:t>预期性</w:t>
            </w:r>
          </w:p>
        </w:tc>
      </w:tr>
      <w:tr>
        <w:tblPrEx>
          <w:shd w:val="clear" w:color="auto" w:fill="FFFFFF" w:themeFill="background1"/>
          <w:tblCellMar>
            <w:top w:w="0" w:type="dxa"/>
            <w:left w:w="108" w:type="dxa"/>
            <w:bottom w:w="0" w:type="dxa"/>
            <w:right w:w="108" w:type="dxa"/>
          </w:tblCellMar>
        </w:tblPrEx>
        <w:trPr>
          <w:trHeight w:val="646" w:hRule="exact"/>
        </w:trPr>
        <w:tc>
          <w:tcPr>
            <w:tcW w:w="564"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jc w:val="center"/>
              <w:rPr>
                <w:rFonts w:hint="eastAsia" w:ascii="宋体" w:hAnsi="宋体" w:eastAsia="宋体" w:cs="宋体"/>
                <w:b w:val="0"/>
                <w:bCs w:val="0"/>
                <w:sz w:val="24"/>
              </w:rPr>
            </w:pPr>
            <w:r>
              <w:rPr>
                <w:rFonts w:hint="eastAsia" w:ascii="宋体" w:hAnsi="宋体" w:eastAsia="宋体" w:cs="宋体"/>
                <w:b w:val="0"/>
                <w:bCs w:val="0"/>
                <w:sz w:val="24"/>
              </w:rPr>
              <w:t>17</w:t>
            </w:r>
          </w:p>
        </w:tc>
        <w:tc>
          <w:tcPr>
            <w:tcW w:w="4526" w:type="dxa"/>
            <w:tcBorders>
              <w:top w:val="nil"/>
              <w:left w:val="nil"/>
              <w:bottom w:val="single" w:color="auto" w:sz="4" w:space="0"/>
              <w:right w:val="single" w:color="auto" w:sz="4" w:space="0"/>
            </w:tcBorders>
            <w:shd w:val="clear" w:color="auto" w:fill="FFFFFF" w:themeFill="background1"/>
            <w:vAlign w:val="center"/>
          </w:tcPr>
          <w:p>
            <w:pPr>
              <w:jc w:val="left"/>
              <w:rPr>
                <w:rFonts w:ascii="Times New Roman" w:hAnsi="Times New Roman" w:eastAsia="仿宋" w:cs="Times New Roman"/>
                <w:bCs/>
                <w:sz w:val="24"/>
              </w:rPr>
            </w:pPr>
            <w:r>
              <w:rPr>
                <w:rFonts w:hint="eastAsia" w:ascii="Times New Roman" w:hAnsi="Times New Roman" w:eastAsia="仿宋" w:cs="Times New Roman"/>
                <w:bCs/>
                <w:sz w:val="24"/>
              </w:rPr>
              <w:t>农村牧区居民教育文化娱乐消费支出占比（%）</w:t>
            </w:r>
          </w:p>
        </w:tc>
        <w:tc>
          <w:tcPr>
            <w:tcW w:w="1170" w:type="dxa"/>
            <w:tcBorders>
              <w:top w:val="nil"/>
              <w:left w:val="nil"/>
              <w:bottom w:val="single" w:color="auto" w:sz="4" w:space="0"/>
              <w:right w:val="single" w:color="auto" w:sz="4" w:space="0"/>
            </w:tcBorders>
            <w:shd w:val="clear" w:color="auto" w:fill="FFFFFF" w:themeFill="background1"/>
            <w:vAlign w:val="center"/>
          </w:tcPr>
          <w:p>
            <w:pPr>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10.6</w:t>
            </w:r>
          </w:p>
        </w:tc>
        <w:tc>
          <w:tcPr>
            <w:tcW w:w="1215" w:type="dxa"/>
            <w:tcBorders>
              <w:top w:val="nil"/>
              <w:left w:val="nil"/>
              <w:bottom w:val="single" w:color="auto" w:sz="4" w:space="0"/>
              <w:right w:val="single" w:color="auto" w:sz="4" w:space="0"/>
            </w:tcBorders>
            <w:shd w:val="clear" w:color="auto" w:fill="FFFFFF" w:themeFill="background1"/>
            <w:vAlign w:val="center"/>
          </w:tcPr>
          <w:p>
            <w:pPr>
              <w:jc w:val="center"/>
              <w:rPr>
                <w:rFonts w:hint="eastAsia" w:ascii="宋体" w:hAnsi="宋体" w:eastAsia="宋体" w:cs="宋体"/>
                <w:sz w:val="21"/>
                <w:szCs w:val="21"/>
              </w:rPr>
            </w:pPr>
            <w:r>
              <w:rPr>
                <w:rFonts w:hint="eastAsia" w:ascii="宋体" w:hAnsi="宋体" w:eastAsia="宋体" w:cs="宋体"/>
                <w:sz w:val="21"/>
                <w:szCs w:val="21"/>
              </w:rPr>
              <w:t>13</w:t>
            </w:r>
          </w:p>
        </w:tc>
        <w:tc>
          <w:tcPr>
            <w:tcW w:w="939" w:type="dxa"/>
            <w:tcBorders>
              <w:top w:val="nil"/>
              <w:left w:val="nil"/>
              <w:bottom w:val="single" w:color="auto" w:sz="4" w:space="0"/>
              <w:right w:val="single" w:color="auto" w:sz="4" w:space="0"/>
            </w:tcBorders>
            <w:shd w:val="clear" w:color="auto" w:fill="FFFFFF" w:themeFill="background1"/>
            <w:vAlign w:val="center"/>
          </w:tcPr>
          <w:p>
            <w:pPr>
              <w:spacing w:line="480" w:lineRule="auto"/>
              <w:jc w:val="center"/>
              <w:rPr>
                <w:rFonts w:ascii="仿宋" w:hAnsi="仿宋" w:eastAsia="仿宋" w:cs="仿宋"/>
                <w:sz w:val="24"/>
              </w:rPr>
            </w:pPr>
            <w:r>
              <w:rPr>
                <w:rFonts w:hint="eastAsia" w:ascii="仿宋" w:hAnsi="仿宋" w:eastAsia="仿宋" w:cs="仿宋"/>
                <w:sz w:val="24"/>
              </w:rPr>
              <w:t>预期性</w:t>
            </w:r>
          </w:p>
        </w:tc>
      </w:tr>
      <w:bookmarkEnd w:id="120"/>
      <w:bookmarkEnd w:id="121"/>
    </w:tbl>
    <w:p>
      <w:pPr>
        <w:jc w:val="center"/>
        <w:rPr>
          <w:rFonts w:hint="eastAsia" w:ascii="方正小标宋简体" w:hAnsi="方正小标宋简体" w:eastAsia="方正小标宋简体" w:cs="方正小标宋简体"/>
          <w:sz w:val="32"/>
          <w:szCs w:val="32"/>
        </w:rPr>
      </w:pPr>
      <w:bookmarkStart w:id="164" w:name="_Toc60561655"/>
      <w:bookmarkStart w:id="165" w:name="_Toc29517728_WPSOffice_Level1"/>
      <w:bookmarkStart w:id="166" w:name="_Toc11616"/>
      <w:bookmarkStart w:id="167" w:name="_Toc27015"/>
      <w:bookmarkStart w:id="168" w:name="_Toc20291"/>
      <w:bookmarkStart w:id="169" w:name="_Toc29862"/>
      <w:bookmarkStart w:id="170" w:name="_Toc20704"/>
      <w:bookmarkStart w:id="171" w:name="_Toc59000510"/>
      <w:bookmarkStart w:id="172" w:name="_Toc58870102"/>
    </w:p>
    <w:p>
      <w:pPr>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第三章 打造优势特色农牧</w:t>
      </w:r>
      <w:bookmarkEnd w:id="164"/>
      <w:r>
        <w:rPr>
          <w:rFonts w:hint="eastAsia" w:ascii="方正小标宋简体" w:hAnsi="方正小标宋简体" w:eastAsia="方正小标宋简体" w:cs="方正小标宋简体"/>
          <w:sz w:val="44"/>
          <w:szCs w:val="44"/>
        </w:rPr>
        <w:t>业</w:t>
      </w:r>
      <w:bookmarkEnd w:id="165"/>
      <w:bookmarkEnd w:id="166"/>
      <w:bookmarkEnd w:id="167"/>
      <w:bookmarkEnd w:id="168"/>
      <w:bookmarkEnd w:id="169"/>
    </w:p>
    <w:p>
      <w:pPr>
        <w:pageBreakBefore w:val="0"/>
        <w:widowControl w:val="0"/>
        <w:kinsoku/>
        <w:wordWrap/>
        <w:overflowPunct/>
        <w:topLinePunct w:val="0"/>
        <w:autoSpaceDE/>
        <w:autoSpaceDN/>
        <w:bidi w:val="0"/>
        <w:adjustRightInd/>
        <w:snapToGrid/>
        <w:spacing w:line="600" w:lineRule="exact"/>
        <w:ind w:firstLine="640" w:firstLineChars="200"/>
        <w:textAlignment w:val="auto"/>
        <w:rPr>
          <w:rFonts w:ascii="仿宋" w:hAnsi="仿宋" w:eastAsia="仿宋" w:cstheme="minorBidi"/>
          <w:sz w:val="32"/>
          <w:szCs w:val="32"/>
        </w:rPr>
      </w:pPr>
      <w:r>
        <w:rPr>
          <w:rFonts w:hint="eastAsia" w:ascii="仿宋" w:hAnsi="仿宋" w:eastAsia="仿宋" w:cstheme="minorBidi"/>
          <w:sz w:val="32"/>
          <w:szCs w:val="32"/>
          <w:lang w:eastAsia="zh-CN"/>
        </w:rPr>
        <w:t>持续</w:t>
      </w:r>
      <w:r>
        <w:rPr>
          <w:rFonts w:hint="eastAsia" w:ascii="仿宋" w:hAnsi="仿宋" w:eastAsia="仿宋" w:cstheme="minorBidi"/>
          <w:sz w:val="32"/>
          <w:szCs w:val="32"/>
        </w:rPr>
        <w:t>深化农牧业供给侧结构性改革，</w:t>
      </w:r>
      <w:r>
        <w:rPr>
          <w:rFonts w:ascii="仿宋" w:hAnsi="仿宋" w:eastAsia="仿宋" w:cstheme="minorBidi"/>
          <w:sz w:val="32"/>
          <w:szCs w:val="32"/>
        </w:rPr>
        <w:t>调整</w:t>
      </w:r>
      <w:r>
        <w:rPr>
          <w:rFonts w:hint="eastAsia" w:ascii="仿宋" w:hAnsi="仿宋" w:eastAsia="仿宋" w:cstheme="minorBidi"/>
          <w:sz w:val="32"/>
          <w:szCs w:val="32"/>
        </w:rPr>
        <w:t>产业</w:t>
      </w:r>
      <w:r>
        <w:rPr>
          <w:rFonts w:ascii="仿宋" w:hAnsi="仿宋" w:eastAsia="仿宋" w:cstheme="minorBidi"/>
          <w:sz w:val="32"/>
          <w:szCs w:val="32"/>
        </w:rPr>
        <w:t>结构，优化</w:t>
      </w:r>
      <w:r>
        <w:rPr>
          <w:rFonts w:hint="eastAsia" w:ascii="仿宋" w:hAnsi="仿宋" w:eastAsia="仿宋" w:cstheme="minorBidi"/>
          <w:sz w:val="32"/>
          <w:szCs w:val="32"/>
        </w:rPr>
        <w:t>产业</w:t>
      </w:r>
      <w:r>
        <w:rPr>
          <w:rFonts w:ascii="仿宋" w:hAnsi="仿宋" w:eastAsia="仿宋" w:cstheme="minorBidi"/>
          <w:sz w:val="32"/>
          <w:szCs w:val="32"/>
        </w:rPr>
        <w:t>布局，加快推动农畜产品生产基地向优质高效转型</w:t>
      </w:r>
      <w:r>
        <w:rPr>
          <w:rFonts w:hint="eastAsia" w:ascii="仿宋" w:hAnsi="仿宋" w:eastAsia="仿宋" w:cstheme="minorBidi"/>
          <w:sz w:val="32"/>
          <w:szCs w:val="32"/>
          <w:lang w:eastAsia="zh-CN"/>
        </w:rPr>
        <w:t>，争做自治区高质量建设农畜产品生产基地的“领头羊”</w:t>
      </w:r>
      <w:r>
        <w:rPr>
          <w:rFonts w:ascii="仿宋" w:hAnsi="仿宋" w:eastAsia="仿宋" w:cstheme="minorBidi"/>
          <w:sz w:val="32"/>
          <w:szCs w:val="32"/>
        </w:rPr>
        <w:t>。</w:t>
      </w:r>
      <w:r>
        <w:rPr>
          <w:rFonts w:ascii="仿宋" w:hAnsi="仿宋" w:eastAsia="仿宋" w:cstheme="minorBidi"/>
          <w:b w:val="0"/>
          <w:bCs/>
          <w:sz w:val="32"/>
          <w:szCs w:val="32"/>
        </w:rPr>
        <w:t>畜牧业，巩固“减羊增牛”</w:t>
      </w:r>
      <w:r>
        <w:rPr>
          <w:rFonts w:hint="eastAsia" w:ascii="仿宋" w:hAnsi="仿宋" w:eastAsia="仿宋" w:cstheme="minorBidi"/>
          <w:b w:val="0"/>
          <w:bCs/>
          <w:sz w:val="32"/>
          <w:szCs w:val="32"/>
        </w:rPr>
        <w:t>政策</w:t>
      </w:r>
      <w:r>
        <w:rPr>
          <w:rFonts w:ascii="仿宋" w:hAnsi="仿宋" w:eastAsia="仿宋" w:cstheme="minorBidi"/>
          <w:b w:val="0"/>
          <w:bCs/>
          <w:sz w:val="32"/>
          <w:szCs w:val="32"/>
        </w:rPr>
        <w:t>成果，聚焦“一区一带”建设，不断做强</w:t>
      </w:r>
      <w:r>
        <w:rPr>
          <w:rFonts w:hint="eastAsia" w:ascii="仿宋" w:hAnsi="仿宋" w:eastAsia="仿宋" w:cstheme="minorBidi"/>
          <w:b w:val="0"/>
          <w:bCs/>
          <w:sz w:val="32"/>
          <w:szCs w:val="32"/>
          <w:lang w:eastAsia="zh-CN"/>
        </w:rPr>
        <w:t>做大</w:t>
      </w:r>
      <w:r>
        <w:rPr>
          <w:rFonts w:ascii="仿宋" w:hAnsi="仿宋" w:eastAsia="仿宋" w:cstheme="minorBidi"/>
          <w:b w:val="0"/>
          <w:bCs/>
          <w:sz w:val="32"/>
          <w:szCs w:val="32"/>
        </w:rPr>
        <w:t>肉羊、肉牛两大主导产业，做精奶、驼、马等特色</w:t>
      </w:r>
      <w:r>
        <w:rPr>
          <w:rFonts w:hint="eastAsia" w:ascii="仿宋" w:hAnsi="仿宋" w:eastAsia="仿宋" w:cstheme="minorBidi"/>
          <w:b w:val="0"/>
          <w:bCs/>
          <w:sz w:val="32"/>
          <w:szCs w:val="32"/>
          <w:lang w:eastAsia="zh-CN"/>
        </w:rPr>
        <w:t>畜牧</w:t>
      </w:r>
      <w:r>
        <w:rPr>
          <w:rFonts w:ascii="仿宋" w:hAnsi="仿宋" w:eastAsia="仿宋" w:cstheme="minorBidi"/>
          <w:b w:val="0"/>
          <w:bCs/>
          <w:sz w:val="32"/>
          <w:szCs w:val="32"/>
        </w:rPr>
        <w:t>业。</w:t>
      </w:r>
      <w:r>
        <w:rPr>
          <w:rFonts w:hint="eastAsia" w:ascii="仿宋" w:hAnsi="仿宋" w:eastAsia="仿宋" w:cstheme="minorBidi"/>
          <w:b w:val="0"/>
          <w:bCs/>
          <w:sz w:val="32"/>
          <w:szCs w:val="32"/>
          <w:lang w:eastAsia="zh-CN"/>
        </w:rPr>
        <w:t>种植</w:t>
      </w:r>
      <w:r>
        <w:rPr>
          <w:rFonts w:ascii="仿宋" w:hAnsi="仿宋" w:eastAsia="仿宋" w:cstheme="minorBidi"/>
          <w:b w:val="0"/>
          <w:bCs/>
          <w:sz w:val="32"/>
          <w:szCs w:val="32"/>
        </w:rPr>
        <w:t>业，</w:t>
      </w:r>
      <w:r>
        <w:rPr>
          <w:rFonts w:hint="eastAsia" w:ascii="仿宋" w:hAnsi="仿宋" w:eastAsia="仿宋" w:cstheme="minorBidi"/>
          <w:b w:val="0"/>
          <w:bCs/>
          <w:sz w:val="32"/>
          <w:szCs w:val="32"/>
          <w:lang w:eastAsia="zh-CN"/>
        </w:rPr>
        <w:t>坚持</w:t>
      </w:r>
      <w:r>
        <w:rPr>
          <w:rFonts w:ascii="仿宋" w:hAnsi="仿宋" w:eastAsia="仿宋" w:cstheme="minorBidi"/>
          <w:b w:val="0"/>
          <w:bCs/>
          <w:sz w:val="32"/>
          <w:szCs w:val="32"/>
        </w:rPr>
        <w:t>“为养而种、为工而种、为市而种”</w:t>
      </w:r>
      <w:r>
        <w:rPr>
          <w:rFonts w:ascii="仿宋" w:hAnsi="仿宋" w:eastAsia="仿宋" w:cstheme="minorBidi"/>
          <w:sz w:val="32"/>
          <w:szCs w:val="32"/>
        </w:rPr>
        <w:t>发展思路，稳步扩大青贮玉米、青谷草、青莜麦</w:t>
      </w:r>
      <w:r>
        <w:rPr>
          <w:rFonts w:hint="eastAsia" w:ascii="仿宋" w:hAnsi="仿宋" w:eastAsia="仿宋" w:cstheme="minorBidi"/>
          <w:sz w:val="32"/>
          <w:szCs w:val="32"/>
          <w:lang w:eastAsia="zh-CN"/>
        </w:rPr>
        <w:t>、</w:t>
      </w:r>
      <w:r>
        <w:rPr>
          <w:rFonts w:ascii="仿宋" w:hAnsi="仿宋" w:eastAsia="仿宋" w:cstheme="minorBidi"/>
          <w:sz w:val="32"/>
          <w:szCs w:val="32"/>
        </w:rPr>
        <w:t>苜蓿等优良牧草种植规模</w:t>
      </w:r>
      <w:r>
        <w:rPr>
          <w:rFonts w:hint="eastAsia" w:ascii="仿宋" w:hAnsi="仿宋" w:eastAsia="仿宋" w:cstheme="minorBidi"/>
          <w:sz w:val="32"/>
          <w:szCs w:val="32"/>
        </w:rPr>
        <w:t>，不断</w:t>
      </w:r>
      <w:r>
        <w:rPr>
          <w:rFonts w:ascii="仿宋" w:hAnsi="仿宋" w:eastAsia="仿宋" w:cstheme="minorBidi"/>
          <w:sz w:val="32"/>
          <w:szCs w:val="32"/>
        </w:rPr>
        <w:t>做优马铃薯、蔬菜、燕麦、油料等特色种植业</w:t>
      </w:r>
      <w:r>
        <w:rPr>
          <w:rFonts w:hint="eastAsia" w:ascii="仿宋" w:hAnsi="仿宋" w:eastAsia="仿宋" w:cstheme="minorBidi"/>
          <w:sz w:val="32"/>
          <w:szCs w:val="32"/>
        </w:rPr>
        <w:t>。</w:t>
      </w:r>
    </w:p>
    <w:bookmarkEnd w:id="122"/>
    <w:bookmarkEnd w:id="170"/>
    <w:bookmarkEnd w:id="171"/>
    <w:bookmarkEnd w:id="172"/>
    <w:p>
      <w:pPr>
        <w:pStyle w:val="4"/>
        <w:pageBreakBefore w:val="0"/>
        <w:widowControl w:val="0"/>
        <w:kinsoku/>
        <w:wordWrap/>
        <w:overflowPunct/>
        <w:topLinePunct w:val="0"/>
        <w:autoSpaceDE/>
        <w:autoSpaceDN/>
        <w:bidi w:val="0"/>
        <w:adjustRightInd/>
        <w:snapToGrid/>
        <w:spacing w:before="156" w:beforeLines="50" w:after="156" w:afterLines="50" w:line="600" w:lineRule="exact"/>
        <w:jc w:val="center"/>
        <w:textAlignment w:val="auto"/>
        <w:rPr>
          <w:rFonts w:ascii="Calibri Light" w:hAnsi="Calibri Light" w:cs="Times New Roman"/>
          <w:b w:val="0"/>
          <w:bCs w:val="0"/>
          <w:sz w:val="32"/>
          <w:szCs w:val="32"/>
        </w:rPr>
      </w:pPr>
      <w:bookmarkStart w:id="173" w:name="_Toc4172"/>
      <w:bookmarkStart w:id="174" w:name="_Toc59000499"/>
      <w:bookmarkStart w:id="175" w:name="_Toc28473"/>
      <w:bookmarkStart w:id="176" w:name="_Toc24769"/>
      <w:bookmarkStart w:id="177" w:name="_Toc58870091"/>
      <w:bookmarkStart w:id="178" w:name="_Toc17201"/>
      <w:bookmarkStart w:id="179" w:name="_Toc8452"/>
      <w:bookmarkStart w:id="180" w:name="_Toc260404896_WPSOffice_Level2"/>
      <w:bookmarkStart w:id="181" w:name="_Toc60561656"/>
      <w:bookmarkStart w:id="182" w:name="_Toc1210"/>
      <w:bookmarkStart w:id="183" w:name="_Toc26052"/>
      <w:r>
        <w:rPr>
          <w:rFonts w:hint="eastAsia" w:ascii="Calibri Light" w:hAnsi="Calibri Light" w:cs="Times New Roman"/>
          <w:b w:val="0"/>
          <w:bCs w:val="0"/>
          <w:sz w:val="32"/>
          <w:szCs w:val="32"/>
        </w:rPr>
        <w:t xml:space="preserve">第一节 </w:t>
      </w:r>
      <w:bookmarkEnd w:id="173"/>
      <w:bookmarkEnd w:id="174"/>
      <w:bookmarkEnd w:id="175"/>
      <w:bookmarkEnd w:id="176"/>
      <w:bookmarkEnd w:id="177"/>
      <w:r>
        <w:rPr>
          <w:rFonts w:hint="eastAsia" w:ascii="Calibri Light" w:hAnsi="Calibri Light" w:cs="Times New Roman"/>
          <w:b w:val="0"/>
          <w:bCs w:val="0"/>
          <w:sz w:val="32"/>
          <w:szCs w:val="32"/>
        </w:rPr>
        <w:t>做强</w:t>
      </w:r>
      <w:r>
        <w:rPr>
          <w:rFonts w:hint="eastAsia" w:ascii="Calibri Light" w:hAnsi="Calibri Light" w:cs="Times New Roman"/>
          <w:b w:val="0"/>
          <w:bCs w:val="0"/>
          <w:sz w:val="32"/>
          <w:szCs w:val="32"/>
          <w:lang w:eastAsia="zh-CN"/>
        </w:rPr>
        <w:t>优质</w:t>
      </w:r>
      <w:r>
        <w:rPr>
          <w:rFonts w:hint="eastAsia" w:ascii="Calibri Light" w:hAnsi="Calibri Light" w:cs="Times New Roman"/>
          <w:b w:val="0"/>
          <w:bCs w:val="0"/>
          <w:sz w:val="32"/>
          <w:szCs w:val="32"/>
        </w:rPr>
        <w:t>肉羊产业</w:t>
      </w:r>
      <w:bookmarkEnd w:id="178"/>
      <w:bookmarkEnd w:id="179"/>
      <w:bookmarkEnd w:id="180"/>
      <w:bookmarkEnd w:id="181"/>
      <w:bookmarkEnd w:id="182"/>
      <w:bookmarkEnd w:id="183"/>
    </w:p>
    <w:p>
      <w:pPr>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sz w:val="32"/>
          <w:szCs w:val="32"/>
        </w:rPr>
      </w:pPr>
      <w:r>
        <w:rPr>
          <w:rFonts w:hint="eastAsia" w:ascii="仿宋" w:hAnsi="仿宋" w:eastAsia="仿宋" w:cs="仿宋"/>
          <w:b/>
          <w:bCs w:val="0"/>
          <w:sz w:val="32"/>
          <w:szCs w:val="32"/>
        </w:rPr>
        <w:t>优化肉羊产业布局。</w:t>
      </w:r>
      <w:r>
        <w:rPr>
          <w:rFonts w:hint="eastAsia" w:ascii="仿宋" w:hAnsi="仿宋" w:eastAsia="仿宋" w:cs="仿宋"/>
          <w:sz w:val="32"/>
          <w:szCs w:val="32"/>
        </w:rPr>
        <w:t>重点在中北部和西部地区建设“锡林郭勒羊中国特色农产品优势区”，打造“中国生态羊都”金字招牌，形成以东乌珠穆沁旗、西乌珠穆沁旗、乌拉盖管理区、锡林浩特市、阿巴嘎旗为重点的乌珠穆沁羊产业基地</w:t>
      </w:r>
      <w:r>
        <w:rPr>
          <w:rFonts w:hint="eastAsia" w:ascii="仿宋" w:hAnsi="仿宋" w:eastAsia="仿宋" w:cs="仿宋"/>
          <w:sz w:val="32"/>
          <w:szCs w:val="32"/>
          <w:lang w:eastAsia="zh-CN"/>
        </w:rPr>
        <w:t>，</w:t>
      </w:r>
      <w:r>
        <w:rPr>
          <w:rFonts w:hint="eastAsia" w:ascii="仿宋" w:hAnsi="仿宋" w:eastAsia="仿宋" w:cs="仿宋"/>
          <w:sz w:val="32"/>
          <w:szCs w:val="32"/>
        </w:rPr>
        <w:t>以苏尼特左旗、苏尼特右旗和二连浩特市为重点的苏尼特羊产业基地</w:t>
      </w:r>
      <w:r>
        <w:rPr>
          <w:rFonts w:hint="eastAsia" w:ascii="仿宋" w:hAnsi="仿宋" w:eastAsia="仿宋" w:cs="仿宋"/>
          <w:sz w:val="32"/>
          <w:szCs w:val="32"/>
          <w:lang w:eastAsia="zh-CN"/>
        </w:rPr>
        <w:t>，</w:t>
      </w:r>
      <w:r>
        <w:rPr>
          <w:rFonts w:hint="eastAsia" w:ascii="仿宋" w:hAnsi="仿宋" w:eastAsia="仿宋" w:cs="仿宋"/>
          <w:sz w:val="32"/>
          <w:szCs w:val="32"/>
        </w:rPr>
        <w:t>以镶黄旗、正镶白旗、正蓝旗、太仆寺旗为重点的察哈尔羊产业基地</w:t>
      </w:r>
      <w:r>
        <w:rPr>
          <w:rFonts w:hint="eastAsia" w:ascii="仿宋" w:hAnsi="仿宋" w:eastAsia="仿宋" w:cs="仿宋"/>
          <w:sz w:val="32"/>
          <w:szCs w:val="32"/>
          <w:lang w:eastAsia="zh-CN"/>
        </w:rPr>
        <w:t>，</w:t>
      </w:r>
      <w:r>
        <w:rPr>
          <w:rFonts w:hint="eastAsia" w:ascii="仿宋" w:hAnsi="仿宋" w:eastAsia="仿宋" w:cs="仿宋"/>
          <w:sz w:val="32"/>
          <w:szCs w:val="32"/>
        </w:rPr>
        <w:t>以锡林浩特市和乌拉盖管理区国有农牧场为重点的肉羊</w:t>
      </w:r>
      <w:r>
        <w:rPr>
          <w:rFonts w:hint="eastAsia" w:ascii="仿宋" w:hAnsi="仿宋" w:eastAsia="仿宋" w:cs="仿宋"/>
          <w:sz w:val="32"/>
          <w:szCs w:val="32"/>
          <w:lang w:eastAsia="zh-CN"/>
        </w:rPr>
        <w:t>谷饲育肥</w:t>
      </w:r>
      <w:r>
        <w:rPr>
          <w:rFonts w:hint="eastAsia" w:ascii="仿宋" w:hAnsi="仿宋" w:eastAsia="仿宋" w:cs="仿宋"/>
          <w:sz w:val="32"/>
          <w:szCs w:val="32"/>
        </w:rPr>
        <w:t>产业基地，全面提升肉羊养殖效益。到2025年，全盟天然放牧羊存栏稳定在1000万只</w:t>
      </w:r>
      <w:r>
        <w:rPr>
          <w:rFonts w:hint="eastAsia" w:ascii="仿宋" w:hAnsi="仿宋" w:eastAsia="仿宋" w:cs="仿宋"/>
          <w:sz w:val="32"/>
          <w:szCs w:val="32"/>
          <w:lang w:eastAsia="zh-CN"/>
        </w:rPr>
        <w:t>，谷饲育肥羊达到200万只，羊肉产量达到</w:t>
      </w:r>
      <w:r>
        <w:rPr>
          <w:rFonts w:hint="eastAsia" w:ascii="仿宋" w:hAnsi="仿宋" w:eastAsia="仿宋" w:cs="仿宋"/>
          <w:sz w:val="32"/>
          <w:szCs w:val="32"/>
          <w:lang w:val="en-US" w:eastAsia="zh-CN"/>
        </w:rPr>
        <w:t>19万吨</w:t>
      </w:r>
      <w:r>
        <w:rPr>
          <w:rFonts w:hint="eastAsia" w:ascii="仿宋" w:hAnsi="仿宋" w:eastAsia="仿宋" w:cs="仿宋"/>
          <w:sz w:val="32"/>
          <w:szCs w:val="32"/>
        </w:rPr>
        <w:t>。</w:t>
      </w:r>
    </w:p>
    <w:p>
      <w:pPr>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sz w:val="32"/>
          <w:szCs w:val="32"/>
        </w:rPr>
      </w:pPr>
      <w:r>
        <w:rPr>
          <w:rFonts w:hint="eastAsia" w:ascii="仿宋" w:hAnsi="仿宋" w:eastAsia="仿宋" w:cs="仿宋"/>
          <w:b/>
          <w:bCs w:val="0"/>
          <w:sz w:val="32"/>
          <w:szCs w:val="32"/>
        </w:rPr>
        <w:t>加强肉羊良繁体系建设。</w:t>
      </w:r>
      <w:r>
        <w:rPr>
          <w:rFonts w:hint="eastAsia" w:ascii="仿宋" w:hAnsi="仿宋" w:eastAsia="仿宋" w:cs="仿宋"/>
          <w:bCs/>
          <w:sz w:val="32"/>
          <w:szCs w:val="32"/>
          <w:lang w:eastAsia="zh-CN"/>
        </w:rPr>
        <w:t>抓好乌珠穆沁原种场、察哈尔种羊场为主的重点种羊场企业改制工作，开展种羊场、肉羊核心群质量提升工作，</w:t>
      </w:r>
      <w:r>
        <w:rPr>
          <w:rFonts w:hint="eastAsia" w:ascii="仿宋" w:hAnsi="仿宋" w:eastAsia="仿宋" w:cs="仿宋"/>
          <w:sz w:val="32"/>
          <w:szCs w:val="32"/>
          <w:lang w:eastAsia="zh-CN"/>
        </w:rPr>
        <w:t>提升重点种羊场</w:t>
      </w:r>
      <w:r>
        <w:rPr>
          <w:rFonts w:hint="eastAsia" w:ascii="仿宋" w:hAnsi="仿宋" w:eastAsia="仿宋" w:cs="仿宋"/>
          <w:sz w:val="32"/>
          <w:szCs w:val="32"/>
          <w:lang w:val="en-US" w:eastAsia="zh-CN"/>
        </w:rPr>
        <w:t>9处，建成扩繁场120处、核心群1600群，</w:t>
      </w:r>
      <w:r>
        <w:rPr>
          <w:rFonts w:hint="eastAsia" w:ascii="仿宋" w:hAnsi="仿宋" w:eastAsia="仿宋" w:cs="仿宋"/>
          <w:sz w:val="32"/>
          <w:szCs w:val="32"/>
        </w:rPr>
        <w:t>形成“重点种羊场+扩繁场+核心群”一体化</w:t>
      </w:r>
      <w:r>
        <w:rPr>
          <w:rFonts w:hint="eastAsia" w:ascii="仿宋" w:hAnsi="仿宋" w:eastAsia="仿宋" w:cs="仿宋"/>
          <w:sz w:val="32"/>
          <w:szCs w:val="32"/>
          <w:lang w:eastAsia="zh-CN"/>
        </w:rPr>
        <w:t>发展</w:t>
      </w:r>
      <w:r>
        <w:rPr>
          <w:rFonts w:hint="eastAsia" w:ascii="仿宋" w:hAnsi="仿宋" w:eastAsia="仿宋" w:cs="仿宋"/>
          <w:sz w:val="32"/>
          <w:szCs w:val="32"/>
        </w:rPr>
        <w:t>的良种肉羊繁育体系</w:t>
      </w:r>
      <w:r>
        <w:rPr>
          <w:rFonts w:hint="eastAsia" w:ascii="仿宋" w:hAnsi="仿宋" w:eastAsia="仿宋" w:cs="仿宋"/>
          <w:sz w:val="32"/>
          <w:szCs w:val="32"/>
          <w:lang w:eastAsia="zh-CN"/>
        </w:rPr>
        <w:t>，年供优质育成种公羊能力达到3.5万只以上</w:t>
      </w:r>
      <w:r>
        <w:rPr>
          <w:rFonts w:hint="eastAsia" w:ascii="仿宋" w:hAnsi="仿宋" w:eastAsia="仿宋" w:cs="仿宋"/>
          <w:sz w:val="32"/>
          <w:szCs w:val="32"/>
        </w:rPr>
        <w:t>。地方良种区域因地制宜推行种公羊集中管理模式，加</w:t>
      </w:r>
      <w:r>
        <w:rPr>
          <w:rFonts w:hint="eastAsia" w:ascii="仿宋" w:hAnsi="仿宋" w:eastAsia="仿宋" w:cs="仿宋"/>
          <w:sz w:val="32"/>
          <w:szCs w:val="32"/>
          <w:lang w:eastAsia="zh-CN"/>
        </w:rPr>
        <w:t>大</w:t>
      </w:r>
      <w:r>
        <w:rPr>
          <w:rFonts w:hint="eastAsia" w:ascii="仿宋" w:hAnsi="仿宋" w:eastAsia="仿宋" w:cs="仿宋"/>
          <w:sz w:val="32"/>
          <w:szCs w:val="32"/>
        </w:rPr>
        <w:t>对嘎查、合作社、专业户为重点的种羊场集中管理点扶持力度，切实提高供种能力和群体质量。察哈尔羊饲养区应用德美羊开展纯繁和品种导血工作，扩大人工授精比重</w:t>
      </w:r>
      <w:r>
        <w:rPr>
          <w:rFonts w:hint="eastAsia" w:ascii="仿宋" w:hAnsi="仿宋" w:eastAsia="仿宋" w:cs="仿宋"/>
          <w:sz w:val="32"/>
          <w:szCs w:val="32"/>
          <w:lang w:eastAsia="zh-CN"/>
        </w:rPr>
        <w:t>，</w:t>
      </w:r>
      <w:r>
        <w:rPr>
          <w:rFonts w:hint="eastAsia" w:ascii="仿宋" w:hAnsi="仿宋" w:eastAsia="仿宋" w:cs="仿宋"/>
          <w:sz w:val="32"/>
          <w:szCs w:val="32"/>
        </w:rPr>
        <w:t>提高供种能力</w:t>
      </w:r>
      <w:r>
        <w:rPr>
          <w:rFonts w:hint="eastAsia" w:ascii="仿宋" w:hAnsi="仿宋" w:eastAsia="仿宋" w:cs="仿宋"/>
          <w:sz w:val="32"/>
          <w:szCs w:val="32"/>
          <w:lang w:eastAsia="zh-CN"/>
        </w:rPr>
        <w:t>，</w:t>
      </w:r>
      <w:r>
        <w:rPr>
          <w:rFonts w:hint="eastAsia" w:ascii="仿宋" w:hAnsi="仿宋" w:eastAsia="仿宋" w:cs="仿宋"/>
          <w:sz w:val="32"/>
          <w:szCs w:val="32"/>
        </w:rPr>
        <w:t>察哈尔羊人工授精率达到60%以上。</w:t>
      </w:r>
    </w:p>
    <w:p>
      <w:pPr>
        <w:pStyle w:val="2"/>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sz w:val="32"/>
          <w:szCs w:val="32"/>
        </w:rPr>
      </w:pPr>
      <w:r>
        <w:rPr>
          <w:rFonts w:hint="eastAsia" w:ascii="仿宋" w:hAnsi="仿宋" w:eastAsia="仿宋" w:cs="仿宋"/>
          <w:b/>
          <w:bCs w:val="0"/>
          <w:sz w:val="32"/>
          <w:szCs w:val="32"/>
        </w:rPr>
        <w:t>适度开展</w:t>
      </w:r>
      <w:r>
        <w:rPr>
          <w:rFonts w:hint="eastAsia" w:ascii="仿宋" w:hAnsi="仿宋" w:eastAsia="仿宋" w:cs="仿宋"/>
          <w:b/>
          <w:bCs w:val="0"/>
          <w:sz w:val="32"/>
          <w:szCs w:val="32"/>
          <w:lang w:eastAsia="zh-CN"/>
        </w:rPr>
        <w:t>谷饲</w:t>
      </w:r>
      <w:r>
        <w:rPr>
          <w:rFonts w:hint="eastAsia" w:ascii="仿宋" w:hAnsi="仿宋" w:eastAsia="仿宋" w:cs="仿宋"/>
          <w:b/>
          <w:bCs w:val="0"/>
          <w:sz w:val="32"/>
          <w:szCs w:val="32"/>
        </w:rPr>
        <w:t>育肥。</w:t>
      </w:r>
      <w:r>
        <w:rPr>
          <w:rFonts w:hint="eastAsia" w:ascii="仿宋" w:hAnsi="仿宋" w:eastAsia="仿宋" w:cs="仿宋"/>
          <w:sz w:val="32"/>
          <w:szCs w:val="32"/>
        </w:rPr>
        <w:t>将经济杂交、</w:t>
      </w:r>
      <w:r>
        <w:rPr>
          <w:rFonts w:hint="eastAsia" w:ascii="仿宋" w:hAnsi="仿宋" w:eastAsia="仿宋" w:cs="仿宋"/>
          <w:sz w:val="32"/>
          <w:szCs w:val="32"/>
          <w:lang w:eastAsia="zh-CN"/>
        </w:rPr>
        <w:t>谷饲</w:t>
      </w:r>
      <w:r>
        <w:rPr>
          <w:rFonts w:hint="eastAsia" w:ascii="仿宋" w:hAnsi="仿宋" w:eastAsia="仿宋" w:cs="仿宋"/>
          <w:sz w:val="32"/>
          <w:szCs w:val="32"/>
        </w:rPr>
        <w:t>育肥和错季出栏作为提高肉羊个体产值和养殖效益的重要抓手，坚持市场导向，</w:t>
      </w:r>
      <w:r>
        <w:rPr>
          <w:rFonts w:hint="eastAsia" w:ascii="仿宋" w:hAnsi="仿宋" w:eastAsia="仿宋" w:cs="仿宋"/>
          <w:sz w:val="32"/>
          <w:szCs w:val="32"/>
          <w:lang w:eastAsia="zh-CN"/>
        </w:rPr>
        <w:t>在</w:t>
      </w:r>
      <w:r>
        <w:rPr>
          <w:rFonts w:hint="eastAsia" w:ascii="仿宋" w:hAnsi="仿宋" w:eastAsia="仿宋" w:cs="仿宋"/>
          <w:sz w:val="32"/>
          <w:szCs w:val="32"/>
        </w:rPr>
        <w:t>国有农牧场适度开展肉羊杂交育肥，以察哈尔羊、杜泊羊、萨福克羊为父本，乌珠穆沁羊、苏尼特羊为母本，采用同期发情、人工授精技术进行经济杂交，</w:t>
      </w:r>
      <w:r>
        <w:rPr>
          <w:rFonts w:hint="eastAsia" w:ascii="仿宋" w:hAnsi="仿宋" w:eastAsia="仿宋" w:cs="仿宋"/>
          <w:sz w:val="32"/>
          <w:szCs w:val="32"/>
          <w:lang w:eastAsia="zh-CN"/>
        </w:rPr>
        <w:t>生产的</w:t>
      </w:r>
      <w:r>
        <w:rPr>
          <w:rFonts w:hint="eastAsia" w:ascii="仿宋" w:hAnsi="仿宋" w:eastAsia="仿宋" w:cs="仿宋"/>
          <w:sz w:val="32"/>
          <w:szCs w:val="32"/>
        </w:rPr>
        <w:t>杂一代公母羔羊</w:t>
      </w:r>
      <w:r>
        <w:rPr>
          <w:rFonts w:hint="eastAsia" w:ascii="仿宋" w:hAnsi="仿宋" w:eastAsia="仿宋" w:cs="仿宋"/>
          <w:sz w:val="32"/>
          <w:szCs w:val="32"/>
          <w:lang w:eastAsia="zh-CN"/>
        </w:rPr>
        <w:t>，</w:t>
      </w:r>
      <w:r>
        <w:rPr>
          <w:rFonts w:hint="eastAsia" w:ascii="仿宋" w:hAnsi="仿宋" w:eastAsia="仿宋" w:cs="仿宋"/>
          <w:sz w:val="32"/>
          <w:szCs w:val="32"/>
        </w:rPr>
        <w:t>通过</w:t>
      </w:r>
      <w:r>
        <w:rPr>
          <w:rFonts w:hint="eastAsia" w:ascii="仿宋" w:hAnsi="仿宋" w:eastAsia="仿宋" w:cs="仿宋"/>
          <w:sz w:val="32"/>
          <w:szCs w:val="32"/>
          <w:lang w:eastAsia="zh-CN"/>
        </w:rPr>
        <w:t>谷饲</w:t>
      </w:r>
      <w:r>
        <w:rPr>
          <w:rFonts w:hint="eastAsia" w:ascii="仿宋" w:hAnsi="仿宋" w:eastAsia="仿宋" w:cs="仿宋"/>
          <w:sz w:val="32"/>
          <w:szCs w:val="32"/>
        </w:rPr>
        <w:t>育肥全部出栏。</w:t>
      </w:r>
    </w:p>
    <w:p>
      <w:pPr>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theme="minorBidi"/>
          <w:sz w:val="32"/>
          <w:szCs w:val="32"/>
        </w:rPr>
      </w:pPr>
      <w:r>
        <w:rPr>
          <w:rFonts w:hint="eastAsia" w:ascii="仿宋" w:hAnsi="仿宋" w:eastAsia="仿宋" w:cs="仿宋"/>
          <w:b/>
          <w:bCs w:val="0"/>
          <w:sz w:val="32"/>
          <w:szCs w:val="32"/>
        </w:rPr>
        <w:t>提高饲养管理水平。</w:t>
      </w:r>
      <w:r>
        <w:rPr>
          <w:rFonts w:hint="eastAsia" w:ascii="仿宋" w:hAnsi="仿宋" w:eastAsia="仿宋" w:cs="仿宋"/>
          <w:sz w:val="32"/>
          <w:szCs w:val="32"/>
        </w:rPr>
        <w:t>实施肉羊</w:t>
      </w:r>
      <w:r>
        <w:rPr>
          <w:rFonts w:ascii="仿宋" w:hAnsi="仿宋" w:eastAsia="仿宋" w:cstheme="minorBidi"/>
          <w:sz w:val="32"/>
          <w:szCs w:val="32"/>
        </w:rPr>
        <w:t>标准化规模养殖项目，突出解决</w:t>
      </w:r>
      <w:r>
        <w:rPr>
          <w:rFonts w:hint="eastAsia" w:ascii="仿宋" w:hAnsi="仿宋" w:eastAsia="仿宋" w:cstheme="minorBidi"/>
          <w:sz w:val="32"/>
          <w:szCs w:val="32"/>
          <w:lang w:eastAsia="zh-CN"/>
        </w:rPr>
        <w:t>好</w:t>
      </w:r>
      <w:r>
        <w:rPr>
          <w:rFonts w:ascii="仿宋" w:hAnsi="仿宋" w:eastAsia="仿宋" w:cstheme="minorBidi"/>
          <w:sz w:val="32"/>
          <w:szCs w:val="32"/>
        </w:rPr>
        <w:t>饲喂等环节</w:t>
      </w:r>
      <w:r>
        <w:rPr>
          <w:rFonts w:hint="eastAsia" w:ascii="仿宋" w:hAnsi="仿宋" w:eastAsia="仿宋" w:cstheme="minorBidi"/>
          <w:sz w:val="32"/>
          <w:szCs w:val="32"/>
        </w:rPr>
        <w:t>智能化、机</w:t>
      </w:r>
      <w:r>
        <w:rPr>
          <w:rFonts w:ascii="仿宋" w:hAnsi="仿宋" w:eastAsia="仿宋" w:cstheme="minorBidi"/>
          <w:sz w:val="32"/>
          <w:szCs w:val="32"/>
        </w:rPr>
        <w:t>械化短板，加快转变传统的饲养管理和经营方式，提高标准化、科学化饲养管理水平</w:t>
      </w:r>
      <w:r>
        <w:rPr>
          <w:rFonts w:hint="eastAsia" w:ascii="仿宋" w:hAnsi="仿宋" w:eastAsia="仿宋" w:cstheme="minorBidi"/>
          <w:sz w:val="32"/>
          <w:szCs w:val="32"/>
        </w:rPr>
        <w:t>，</w:t>
      </w:r>
      <w:r>
        <w:rPr>
          <w:rFonts w:ascii="仿宋" w:hAnsi="仿宋" w:eastAsia="仿宋" w:cstheme="minorBidi"/>
          <w:sz w:val="32"/>
          <w:szCs w:val="32"/>
        </w:rPr>
        <w:t>改造升级规模养殖场（户）棚圈等基础设施，推广使用暖棚设施、提前配种等技术规范</w:t>
      </w:r>
      <w:r>
        <w:rPr>
          <w:rFonts w:hint="eastAsia" w:ascii="仿宋" w:hAnsi="仿宋" w:eastAsia="仿宋" w:cstheme="minorBidi"/>
          <w:sz w:val="32"/>
          <w:szCs w:val="32"/>
        </w:rPr>
        <w:t>。</w:t>
      </w:r>
      <w:bookmarkStart w:id="184" w:name="_Toc59000500"/>
      <w:bookmarkStart w:id="185" w:name="_Toc58870092"/>
      <w:bookmarkStart w:id="186" w:name="_Toc60561657"/>
      <w:bookmarkStart w:id="187" w:name="_Toc752678536_WPSOffice_Level2"/>
      <w:bookmarkStart w:id="188" w:name="_Toc19548"/>
      <w:bookmarkStart w:id="189" w:name="_Toc17300"/>
      <w:bookmarkStart w:id="190" w:name="_Toc23796"/>
      <w:bookmarkStart w:id="191" w:name="_Toc11846"/>
      <w:bookmarkStart w:id="192" w:name="_Toc30585"/>
      <w:bookmarkStart w:id="193" w:name="_Toc20783"/>
      <w:bookmarkStart w:id="194" w:name="_Toc700"/>
    </w:p>
    <w:p>
      <w:pPr>
        <w:pageBreakBefore w:val="0"/>
        <w:widowControl w:val="0"/>
        <w:kinsoku/>
        <w:wordWrap/>
        <w:overflowPunct/>
        <w:topLinePunct w:val="0"/>
        <w:autoSpaceDE/>
        <w:autoSpaceDN/>
        <w:bidi w:val="0"/>
        <w:adjustRightInd/>
        <w:snapToGrid/>
        <w:spacing w:line="600" w:lineRule="exact"/>
        <w:jc w:val="center"/>
        <w:textAlignment w:val="auto"/>
        <w:rPr>
          <w:rFonts w:hint="eastAsia" w:ascii="黑体" w:hAnsi="黑体" w:eastAsia="黑体" w:cs="黑体"/>
          <w:b w:val="0"/>
          <w:bCs w:val="0"/>
          <w:sz w:val="32"/>
          <w:szCs w:val="32"/>
        </w:rPr>
      </w:pPr>
      <w:r>
        <w:rPr>
          <w:rFonts w:hint="eastAsia" w:ascii="黑体" w:hAnsi="黑体" w:eastAsia="黑体" w:cs="黑体"/>
          <w:b w:val="0"/>
          <w:bCs w:val="0"/>
          <w:sz w:val="32"/>
          <w:szCs w:val="32"/>
        </w:rPr>
        <w:t xml:space="preserve">第二节 </w:t>
      </w:r>
      <w:bookmarkEnd w:id="184"/>
      <w:bookmarkEnd w:id="185"/>
      <w:r>
        <w:rPr>
          <w:rFonts w:hint="eastAsia" w:ascii="黑体" w:hAnsi="黑体" w:eastAsia="黑体" w:cs="黑体"/>
          <w:b w:val="0"/>
          <w:bCs w:val="0"/>
          <w:sz w:val="32"/>
          <w:szCs w:val="32"/>
        </w:rPr>
        <w:t>做大优质肉牛产业</w:t>
      </w:r>
      <w:bookmarkEnd w:id="186"/>
      <w:bookmarkEnd w:id="187"/>
      <w:bookmarkEnd w:id="188"/>
      <w:bookmarkEnd w:id="189"/>
      <w:bookmarkEnd w:id="190"/>
      <w:bookmarkEnd w:id="191"/>
    </w:p>
    <w:bookmarkEnd w:id="192"/>
    <w:bookmarkEnd w:id="193"/>
    <w:bookmarkEnd w:id="194"/>
    <w:p>
      <w:pPr>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sz w:val="32"/>
          <w:szCs w:val="32"/>
          <w:highlight w:val="red"/>
        </w:rPr>
      </w:pPr>
      <w:r>
        <w:rPr>
          <w:rFonts w:hint="eastAsia" w:ascii="仿宋" w:hAnsi="仿宋" w:eastAsia="仿宋" w:cs="仿宋"/>
          <w:b/>
          <w:bCs w:val="0"/>
          <w:sz w:val="32"/>
          <w:szCs w:val="32"/>
        </w:rPr>
        <w:t>优化肉牛产业布局。</w:t>
      </w:r>
      <w:r>
        <w:rPr>
          <w:rFonts w:hint="eastAsia" w:ascii="仿宋" w:hAnsi="仿宋" w:eastAsia="仿宋" w:cs="仿宋"/>
          <w:sz w:val="32"/>
          <w:szCs w:val="32"/>
        </w:rPr>
        <w:t>重点在南部区域、沙区和主要水系流域建设以西门塔尔牛为主</w:t>
      </w:r>
      <w:r>
        <w:rPr>
          <w:rFonts w:hint="eastAsia" w:ascii="仿宋" w:hAnsi="仿宋" w:eastAsia="仿宋" w:cs="仿宋"/>
          <w:sz w:val="32"/>
          <w:szCs w:val="32"/>
          <w:lang w:eastAsia="zh-CN"/>
        </w:rPr>
        <w:t>、</w:t>
      </w:r>
      <w:r>
        <w:rPr>
          <w:rFonts w:hint="eastAsia" w:ascii="仿宋" w:hAnsi="仿宋" w:eastAsia="仿宋" w:cs="仿宋"/>
          <w:sz w:val="32"/>
          <w:szCs w:val="32"/>
        </w:rPr>
        <w:t>安格斯牛为辅的优质良种肉牛产业带。全域发展西门塔尔牛，以乌拉盖管理区、东乌珠穆沁旗、正蓝旗、太仆寺旗等地区为重点发展安格斯牛，以西乌珠穆沁旗为重点发展优质夏洛莱牛，</w:t>
      </w:r>
      <w:r>
        <w:rPr>
          <w:rFonts w:hint="eastAsia" w:ascii="仿宋" w:hAnsi="仿宋" w:eastAsia="仿宋" w:cs="仿宋"/>
          <w:sz w:val="32"/>
          <w:szCs w:val="32"/>
          <w:lang w:eastAsia="zh-CN"/>
        </w:rPr>
        <w:t>着力推动</w:t>
      </w:r>
      <w:r>
        <w:rPr>
          <w:rFonts w:hint="eastAsia" w:ascii="仿宋" w:hAnsi="仿宋" w:eastAsia="仿宋" w:cs="仿宋"/>
          <w:sz w:val="32"/>
          <w:szCs w:val="32"/>
        </w:rPr>
        <w:t>实现</w:t>
      </w:r>
      <w:r>
        <w:rPr>
          <w:rFonts w:hint="eastAsia" w:ascii="仿宋" w:hAnsi="仿宋" w:eastAsia="仿宋" w:cs="仿宋"/>
          <w:sz w:val="32"/>
          <w:szCs w:val="32"/>
          <w:lang w:eastAsia="zh-CN"/>
        </w:rPr>
        <w:t>规模养殖</w:t>
      </w:r>
      <w:r>
        <w:rPr>
          <w:rFonts w:hint="eastAsia" w:ascii="仿宋" w:hAnsi="仿宋" w:eastAsia="仿宋" w:cs="仿宋"/>
          <w:sz w:val="32"/>
          <w:szCs w:val="32"/>
        </w:rPr>
        <w:t>、精深加工、市场拓展、产业链延伸目标。到2025年，全盟肉牛存栏</w:t>
      </w:r>
      <w:r>
        <w:rPr>
          <w:rFonts w:hint="eastAsia" w:ascii="仿宋" w:hAnsi="仿宋" w:eastAsia="仿宋" w:cs="仿宋"/>
          <w:sz w:val="32"/>
          <w:szCs w:val="32"/>
          <w:lang w:eastAsia="zh-CN"/>
        </w:rPr>
        <w:t>达到</w:t>
      </w:r>
      <w:r>
        <w:rPr>
          <w:rFonts w:hint="eastAsia" w:ascii="仿宋" w:hAnsi="仿宋" w:eastAsia="仿宋" w:cs="仿宋"/>
          <w:sz w:val="32"/>
          <w:szCs w:val="32"/>
        </w:rPr>
        <w:t>200万头</w:t>
      </w:r>
      <w:r>
        <w:rPr>
          <w:rFonts w:hint="eastAsia" w:ascii="仿宋" w:hAnsi="仿宋" w:eastAsia="仿宋" w:cs="仿宋"/>
          <w:sz w:val="32"/>
          <w:szCs w:val="32"/>
          <w:lang w:eastAsia="zh-CN"/>
        </w:rPr>
        <w:t>，牛肉产量达到</w:t>
      </w:r>
      <w:r>
        <w:rPr>
          <w:rFonts w:hint="eastAsia" w:ascii="仿宋" w:hAnsi="仿宋" w:eastAsia="仿宋" w:cs="仿宋"/>
          <w:sz w:val="32"/>
          <w:szCs w:val="32"/>
          <w:lang w:val="en-US" w:eastAsia="zh-CN"/>
        </w:rPr>
        <w:t>16万吨</w:t>
      </w:r>
      <w:r>
        <w:rPr>
          <w:rFonts w:hint="eastAsia" w:ascii="仿宋" w:hAnsi="仿宋" w:eastAsia="仿宋" w:cs="仿宋"/>
          <w:sz w:val="32"/>
          <w:szCs w:val="32"/>
        </w:rPr>
        <w:t>。</w:t>
      </w:r>
    </w:p>
    <w:p>
      <w:pPr>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sz w:val="32"/>
          <w:szCs w:val="32"/>
        </w:rPr>
      </w:pPr>
      <w:r>
        <w:rPr>
          <w:rFonts w:hint="eastAsia" w:ascii="仿宋" w:hAnsi="仿宋" w:eastAsia="仿宋" w:cs="仿宋"/>
          <w:b/>
          <w:bCs w:val="0"/>
          <w:sz w:val="32"/>
          <w:szCs w:val="32"/>
        </w:rPr>
        <w:t>加强良种繁育体系建设。</w:t>
      </w:r>
      <w:r>
        <w:rPr>
          <w:rFonts w:hint="eastAsia" w:ascii="仿宋" w:hAnsi="仿宋" w:eastAsia="仿宋" w:cs="仿宋"/>
          <w:b w:val="0"/>
          <w:bCs/>
          <w:sz w:val="32"/>
          <w:szCs w:val="32"/>
          <w:lang w:eastAsia="zh-CN"/>
        </w:rPr>
        <w:t>健全以</w:t>
      </w:r>
      <w:r>
        <w:rPr>
          <w:rFonts w:hint="eastAsia" w:ascii="仿宋" w:hAnsi="仿宋" w:eastAsia="仿宋" w:cs="仿宋"/>
          <w:sz w:val="32"/>
          <w:szCs w:val="32"/>
        </w:rPr>
        <w:t>肉牛核心育种场（种畜场）+扩繁场（核心群）+扩繁群（养殖户）为主的三级良种繁育体系，重点抓好种牛场、核心群建设，提升供种能力，满足全盟良种能繁母牛需求，向本交区提供合格种公牛。持续抓好冷配工作，农区以自然村为单位、南部牧区以浩特为单位、北部牧区以家庭牧场为单位布局，</w:t>
      </w:r>
      <w:r>
        <w:rPr>
          <w:rFonts w:hint="eastAsia" w:ascii="仿宋" w:hAnsi="仿宋" w:eastAsia="仿宋" w:cs="仿宋"/>
          <w:sz w:val="32"/>
          <w:szCs w:val="32"/>
          <w:lang w:eastAsia="zh-CN"/>
        </w:rPr>
        <w:t>稳步提高冷配比重</w:t>
      </w:r>
      <w:r>
        <w:rPr>
          <w:rFonts w:hint="eastAsia" w:ascii="仿宋" w:hAnsi="仿宋" w:eastAsia="仿宋" w:cs="仿宋"/>
          <w:sz w:val="32"/>
          <w:szCs w:val="32"/>
        </w:rPr>
        <w:t>。到2025年，</w:t>
      </w:r>
      <w:r>
        <w:rPr>
          <w:rFonts w:hint="eastAsia" w:ascii="仿宋" w:hAnsi="仿宋" w:eastAsia="仿宋" w:cs="仿宋"/>
          <w:sz w:val="32"/>
          <w:szCs w:val="32"/>
          <w:lang w:eastAsia="zh-CN"/>
        </w:rPr>
        <w:t>全盟</w:t>
      </w:r>
      <w:r>
        <w:rPr>
          <w:rFonts w:hint="eastAsia" w:ascii="仿宋" w:hAnsi="仿宋" w:eastAsia="仿宋" w:cs="仿宋"/>
          <w:sz w:val="32"/>
          <w:szCs w:val="32"/>
        </w:rPr>
        <w:t>种牛场</w:t>
      </w:r>
      <w:r>
        <w:rPr>
          <w:rFonts w:hint="eastAsia" w:ascii="仿宋" w:hAnsi="仿宋" w:eastAsia="仿宋" w:cs="仿宋"/>
          <w:sz w:val="32"/>
          <w:szCs w:val="32"/>
          <w:lang w:eastAsia="zh-CN"/>
        </w:rPr>
        <w:t>达到</w:t>
      </w:r>
      <w:r>
        <w:rPr>
          <w:rFonts w:hint="eastAsia" w:ascii="仿宋" w:hAnsi="仿宋" w:eastAsia="仿宋" w:cs="仿宋"/>
          <w:sz w:val="32"/>
          <w:szCs w:val="32"/>
          <w:lang w:val="en-US" w:eastAsia="zh-CN"/>
        </w:rPr>
        <w:t>30</w:t>
      </w:r>
      <w:r>
        <w:rPr>
          <w:rFonts w:hint="eastAsia" w:ascii="仿宋" w:hAnsi="仿宋" w:eastAsia="仿宋" w:cs="仿宋"/>
          <w:sz w:val="32"/>
          <w:szCs w:val="32"/>
        </w:rPr>
        <w:t>处</w:t>
      </w:r>
      <w:r>
        <w:rPr>
          <w:rFonts w:hint="eastAsia" w:ascii="仿宋" w:hAnsi="仿宋" w:eastAsia="仿宋" w:cs="仿宋"/>
          <w:sz w:val="32"/>
          <w:szCs w:val="32"/>
          <w:lang w:eastAsia="zh-CN"/>
        </w:rPr>
        <w:t>、</w:t>
      </w:r>
      <w:r>
        <w:rPr>
          <w:rFonts w:hint="eastAsia" w:ascii="仿宋" w:hAnsi="仿宋" w:eastAsia="仿宋" w:cs="仿宋"/>
          <w:sz w:val="32"/>
          <w:szCs w:val="32"/>
        </w:rPr>
        <w:t>肉牛核心群</w:t>
      </w:r>
      <w:r>
        <w:rPr>
          <w:rFonts w:hint="eastAsia" w:ascii="仿宋" w:hAnsi="仿宋" w:eastAsia="仿宋" w:cs="仿宋"/>
          <w:sz w:val="32"/>
          <w:szCs w:val="32"/>
          <w:lang w:eastAsia="zh-CN"/>
        </w:rPr>
        <w:t>达到</w:t>
      </w:r>
      <w:r>
        <w:rPr>
          <w:rFonts w:hint="eastAsia" w:ascii="仿宋" w:hAnsi="仿宋" w:eastAsia="仿宋" w:cs="仿宋"/>
          <w:sz w:val="32"/>
          <w:szCs w:val="32"/>
        </w:rPr>
        <w:t>350群，</w:t>
      </w:r>
      <w:r>
        <w:rPr>
          <w:rFonts w:hint="eastAsia" w:ascii="仿宋" w:hAnsi="仿宋" w:eastAsia="仿宋" w:cs="仿宋"/>
          <w:sz w:val="32"/>
          <w:szCs w:val="32"/>
          <w:lang w:eastAsia="zh-CN"/>
        </w:rPr>
        <w:t>肉牛</w:t>
      </w:r>
      <w:r>
        <w:rPr>
          <w:rFonts w:hint="eastAsia" w:ascii="仿宋" w:hAnsi="仿宋" w:eastAsia="仿宋" w:cs="仿宋"/>
          <w:sz w:val="32"/>
          <w:szCs w:val="32"/>
        </w:rPr>
        <w:t>冷配比重达到50%以上，本交区全部选用三代以上合格种公牛配种。</w:t>
      </w:r>
    </w:p>
    <w:p>
      <w:pPr>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sz w:val="32"/>
          <w:szCs w:val="32"/>
        </w:rPr>
      </w:pPr>
      <w:r>
        <w:rPr>
          <w:rFonts w:hint="eastAsia" w:ascii="仿宋" w:hAnsi="仿宋" w:eastAsia="仿宋" w:cs="仿宋"/>
          <w:b/>
          <w:bCs w:val="0"/>
          <w:sz w:val="32"/>
          <w:szCs w:val="32"/>
        </w:rPr>
        <w:t>抓好育成牛培育保护。</w:t>
      </w:r>
      <w:r>
        <w:rPr>
          <w:rFonts w:hint="eastAsia" w:ascii="仿宋" w:hAnsi="仿宋" w:eastAsia="仿宋" w:cs="仿宋"/>
          <w:sz w:val="32"/>
          <w:szCs w:val="32"/>
        </w:rPr>
        <w:t>以养殖大户、农牧民合作社为主体开展后备母牛、种公牛培育，鼓励具备条件的地区建设标准化规模化养殖场，发展育成牛培育新型经营主体，加强盟内调剂力度，</w:t>
      </w:r>
      <w:r>
        <w:rPr>
          <w:rFonts w:hint="eastAsia" w:ascii="仿宋" w:hAnsi="仿宋" w:eastAsia="仿宋" w:cs="仿宋"/>
          <w:sz w:val="32"/>
          <w:szCs w:val="32"/>
          <w:lang w:eastAsia="zh-CN"/>
        </w:rPr>
        <w:t>有效</w:t>
      </w:r>
      <w:r>
        <w:rPr>
          <w:rFonts w:hint="eastAsia" w:ascii="仿宋" w:hAnsi="仿宋" w:eastAsia="仿宋" w:cs="仿宋"/>
          <w:sz w:val="32"/>
          <w:szCs w:val="32"/>
        </w:rPr>
        <w:t>解决良种牛外流及引进牛源短缺问题。</w:t>
      </w:r>
    </w:p>
    <w:p>
      <w:pPr>
        <w:pageBreakBefore w:val="0"/>
        <w:widowControl w:val="0"/>
        <w:kinsoku/>
        <w:wordWrap/>
        <w:overflowPunct/>
        <w:topLinePunct w:val="0"/>
        <w:autoSpaceDE/>
        <w:autoSpaceDN/>
        <w:bidi w:val="0"/>
        <w:adjustRightInd/>
        <w:snapToGrid/>
        <w:spacing w:line="600" w:lineRule="exact"/>
        <w:ind w:firstLine="643" w:firstLineChars="200"/>
        <w:textAlignment w:val="auto"/>
        <w:rPr>
          <w:rFonts w:ascii="仿宋" w:hAnsi="仿宋" w:eastAsia="仿宋" w:cstheme="minorBidi"/>
          <w:sz w:val="32"/>
          <w:szCs w:val="32"/>
        </w:rPr>
      </w:pPr>
      <w:r>
        <w:rPr>
          <w:rFonts w:hint="eastAsia" w:ascii="仿宋" w:hAnsi="仿宋" w:eastAsia="仿宋" w:cs="仿宋"/>
          <w:b/>
          <w:bCs w:val="0"/>
          <w:sz w:val="32"/>
          <w:szCs w:val="32"/>
        </w:rPr>
        <w:t>加快发展肉牛育肥产业。</w:t>
      </w:r>
      <w:r>
        <w:rPr>
          <w:rFonts w:hint="eastAsia" w:ascii="仿宋" w:hAnsi="仿宋" w:eastAsia="仿宋" w:cs="仿宋"/>
          <w:sz w:val="32"/>
          <w:szCs w:val="32"/>
        </w:rPr>
        <w:t>以南部</w:t>
      </w:r>
      <w:r>
        <w:rPr>
          <w:rFonts w:hint="eastAsia" w:ascii="仿宋" w:hAnsi="仿宋" w:eastAsia="仿宋" w:cstheme="minorBidi"/>
          <w:sz w:val="32"/>
          <w:szCs w:val="32"/>
        </w:rPr>
        <w:t>旗县和锡林浩特市、阿巴嘎旗、西乌珠穆沁旗等地区为重点，发展肉牛育肥产业。鼓励养殖户进行改良配种，生产优质犊牛；支持合作社</w:t>
      </w:r>
      <w:r>
        <w:rPr>
          <w:rFonts w:hint="eastAsia" w:ascii="仿宋" w:hAnsi="仿宋" w:eastAsia="仿宋" w:cstheme="minorBidi"/>
          <w:sz w:val="32"/>
          <w:szCs w:val="32"/>
          <w:lang w:eastAsia="zh-CN"/>
        </w:rPr>
        <w:t>、农牧场和专业户</w:t>
      </w:r>
      <w:r>
        <w:rPr>
          <w:rFonts w:hint="eastAsia" w:ascii="仿宋" w:hAnsi="仿宋" w:eastAsia="仿宋" w:cstheme="minorBidi"/>
          <w:sz w:val="32"/>
          <w:szCs w:val="32"/>
        </w:rPr>
        <w:t>开展育成牛培育，提供合格架子牛；</w:t>
      </w:r>
      <w:r>
        <w:rPr>
          <w:rFonts w:hint="eastAsia" w:ascii="仿宋" w:hAnsi="仿宋" w:eastAsia="仿宋" w:cstheme="minorBidi"/>
          <w:sz w:val="32"/>
          <w:szCs w:val="32"/>
          <w:lang w:eastAsia="zh-CN"/>
        </w:rPr>
        <w:t>支持</w:t>
      </w:r>
      <w:r>
        <w:rPr>
          <w:rFonts w:ascii="仿宋" w:hAnsi="仿宋" w:eastAsia="仿宋" w:cstheme="minorBidi"/>
          <w:sz w:val="32"/>
          <w:szCs w:val="32"/>
        </w:rPr>
        <w:t>龙头育肥加工企业（场）建设千头、万头以上规模大型育肥基地</w:t>
      </w:r>
      <w:r>
        <w:rPr>
          <w:rFonts w:hint="eastAsia" w:ascii="仿宋" w:hAnsi="仿宋" w:eastAsia="仿宋" w:cstheme="minorBidi"/>
          <w:sz w:val="32"/>
          <w:szCs w:val="32"/>
          <w:lang w:eastAsia="zh-CN"/>
        </w:rPr>
        <w:t>开展</w:t>
      </w:r>
      <w:r>
        <w:rPr>
          <w:rFonts w:ascii="仿宋" w:hAnsi="仿宋" w:eastAsia="仿宋" w:cstheme="minorBidi"/>
          <w:sz w:val="32"/>
          <w:szCs w:val="32"/>
        </w:rPr>
        <w:t>强度育肥。到2025年，全盟</w:t>
      </w:r>
      <w:r>
        <w:rPr>
          <w:rFonts w:hint="eastAsia" w:ascii="仿宋" w:hAnsi="仿宋" w:eastAsia="仿宋" w:cstheme="minorBidi"/>
          <w:sz w:val="32"/>
          <w:szCs w:val="32"/>
          <w:lang w:eastAsia="zh-CN"/>
        </w:rPr>
        <w:t>规模化肉牛育肥场达到</w:t>
      </w:r>
      <w:r>
        <w:rPr>
          <w:rFonts w:hint="eastAsia" w:ascii="仿宋" w:hAnsi="仿宋" w:eastAsia="仿宋" w:cstheme="minorBidi"/>
          <w:sz w:val="32"/>
          <w:szCs w:val="32"/>
          <w:lang w:val="en-US" w:eastAsia="zh-CN"/>
        </w:rPr>
        <w:t>65处，</w:t>
      </w:r>
      <w:r>
        <w:rPr>
          <w:rFonts w:ascii="仿宋" w:hAnsi="仿宋" w:eastAsia="仿宋" w:cstheme="minorBidi"/>
          <w:sz w:val="32"/>
          <w:szCs w:val="32"/>
        </w:rPr>
        <w:t>肉牛加工能力达到30万头以上。</w:t>
      </w:r>
    </w:p>
    <w:p>
      <w:pPr>
        <w:pageBreakBefore w:val="0"/>
        <w:widowControl w:val="0"/>
        <w:kinsoku/>
        <w:wordWrap/>
        <w:overflowPunct/>
        <w:topLinePunct w:val="0"/>
        <w:autoSpaceDE/>
        <w:autoSpaceDN/>
        <w:bidi w:val="0"/>
        <w:adjustRightInd/>
        <w:snapToGrid/>
        <w:spacing w:line="600" w:lineRule="exact"/>
        <w:ind w:firstLine="643" w:firstLineChars="200"/>
        <w:textAlignment w:val="auto"/>
        <w:rPr>
          <w:rFonts w:ascii="仿宋" w:hAnsi="仿宋" w:eastAsia="仿宋" w:cstheme="minorBidi"/>
          <w:sz w:val="32"/>
          <w:szCs w:val="32"/>
        </w:rPr>
      </w:pPr>
      <w:r>
        <w:rPr>
          <w:rFonts w:hint="eastAsia" w:ascii="仿宋" w:hAnsi="仿宋" w:eastAsia="仿宋" w:cs="仿宋"/>
          <w:b/>
          <w:bCs w:val="0"/>
          <w:sz w:val="32"/>
          <w:szCs w:val="32"/>
        </w:rPr>
        <w:t>提高饲养管理水平。</w:t>
      </w:r>
      <w:r>
        <w:rPr>
          <w:rFonts w:ascii="仿宋" w:hAnsi="仿宋" w:eastAsia="仿宋" w:cstheme="minorBidi"/>
          <w:sz w:val="32"/>
          <w:szCs w:val="32"/>
        </w:rPr>
        <w:t>将核心群养殖户培育成科学饲养及繁成率示范户，发挥核心群示范带动作用。注重转变饲养方式，推行农区全</w:t>
      </w:r>
      <w:r>
        <w:rPr>
          <w:rFonts w:hint="eastAsia" w:ascii="仿宋" w:hAnsi="仿宋" w:eastAsia="仿宋" w:cstheme="minorBidi"/>
          <w:sz w:val="32"/>
          <w:szCs w:val="32"/>
          <w:lang w:eastAsia="zh-CN"/>
        </w:rPr>
        <w:t>谷饲</w:t>
      </w:r>
      <w:r>
        <w:rPr>
          <w:rFonts w:ascii="仿宋" w:hAnsi="仿宋" w:eastAsia="仿宋" w:cstheme="minorBidi"/>
          <w:sz w:val="32"/>
          <w:szCs w:val="32"/>
        </w:rPr>
        <w:t>、南部牧区半</w:t>
      </w:r>
      <w:r>
        <w:rPr>
          <w:rFonts w:hint="eastAsia" w:ascii="仿宋" w:hAnsi="仿宋" w:eastAsia="仿宋" w:cstheme="minorBidi"/>
          <w:sz w:val="32"/>
          <w:szCs w:val="32"/>
          <w:lang w:eastAsia="zh-CN"/>
        </w:rPr>
        <w:t>谷饲</w:t>
      </w:r>
      <w:r>
        <w:rPr>
          <w:rFonts w:ascii="仿宋" w:hAnsi="仿宋" w:eastAsia="仿宋" w:cstheme="minorBidi"/>
          <w:sz w:val="32"/>
          <w:szCs w:val="32"/>
        </w:rPr>
        <w:t>半放牧、北部牧区放牧加补饲的饲养方式，形成北部生态放养</w:t>
      </w:r>
      <w:r>
        <w:rPr>
          <w:rFonts w:hint="eastAsia" w:ascii="仿宋" w:hAnsi="仿宋" w:eastAsia="仿宋" w:cstheme="minorBidi"/>
          <w:sz w:val="32"/>
          <w:szCs w:val="32"/>
          <w:lang w:eastAsia="zh-CN"/>
        </w:rPr>
        <w:t>、</w:t>
      </w:r>
      <w:r>
        <w:rPr>
          <w:rFonts w:ascii="仿宋" w:hAnsi="仿宋" w:eastAsia="仿宋" w:cstheme="minorBidi"/>
          <w:sz w:val="32"/>
          <w:szCs w:val="32"/>
        </w:rPr>
        <w:t>南部</w:t>
      </w:r>
      <w:r>
        <w:rPr>
          <w:rFonts w:hint="eastAsia" w:ascii="仿宋" w:hAnsi="仿宋" w:eastAsia="仿宋" w:cstheme="minorBidi"/>
          <w:sz w:val="32"/>
          <w:szCs w:val="32"/>
          <w:lang w:eastAsia="zh-CN"/>
        </w:rPr>
        <w:t>谷饲</w:t>
      </w:r>
      <w:r>
        <w:rPr>
          <w:rFonts w:ascii="仿宋" w:hAnsi="仿宋" w:eastAsia="仿宋" w:cstheme="minorBidi"/>
          <w:sz w:val="32"/>
          <w:szCs w:val="32"/>
        </w:rPr>
        <w:t>圈养的优质肉牛产业发展新格局。注重营养搭配，大力推广全混日粮（TMR）饲喂模式和标准化饲养技术，重点解决好过冬畜补饲问题。加强农牧民算账养畜、科学养牛宣传引导，创建一批算账养畜示范户。到2025年，肉牛繁殖成活率达到85%以上。</w:t>
      </w:r>
    </w:p>
    <w:p>
      <w:pPr>
        <w:pStyle w:val="4"/>
        <w:pageBreakBefore w:val="0"/>
        <w:widowControl w:val="0"/>
        <w:kinsoku/>
        <w:wordWrap/>
        <w:overflowPunct/>
        <w:topLinePunct w:val="0"/>
        <w:autoSpaceDE/>
        <w:autoSpaceDN/>
        <w:bidi w:val="0"/>
        <w:adjustRightInd/>
        <w:snapToGrid/>
        <w:spacing w:before="156" w:beforeLines="50" w:after="156" w:afterLines="50" w:line="600" w:lineRule="exact"/>
        <w:ind w:firstLine="640" w:firstLineChars="200"/>
        <w:textAlignment w:val="auto"/>
        <w:rPr>
          <w:rFonts w:ascii="黑体" w:hAnsi="黑体" w:cs="黑体"/>
          <w:b w:val="0"/>
          <w:bCs w:val="0"/>
          <w:sz w:val="32"/>
          <w:szCs w:val="32"/>
        </w:rPr>
      </w:pPr>
      <w:bookmarkStart w:id="195" w:name="_Toc15579"/>
      <w:bookmarkStart w:id="196" w:name="_Toc6683"/>
      <w:bookmarkStart w:id="197" w:name="_Toc1369886222_WPSOffice_Level2"/>
      <w:bookmarkStart w:id="198" w:name="_Toc10874"/>
      <w:bookmarkStart w:id="199" w:name="_Toc633"/>
      <w:r>
        <w:rPr>
          <w:rFonts w:hint="eastAsia" w:ascii="Calibri Light" w:hAnsi="Calibri Light" w:cs="Times New Roman"/>
          <w:b w:val="0"/>
          <w:bCs w:val="0"/>
          <w:sz w:val="32"/>
          <w:szCs w:val="32"/>
        </w:rPr>
        <w:t>第三节 全面实施奶业振兴</w:t>
      </w:r>
      <w:bookmarkEnd w:id="195"/>
      <w:bookmarkEnd w:id="196"/>
      <w:bookmarkEnd w:id="197"/>
      <w:bookmarkEnd w:id="198"/>
      <w:bookmarkEnd w:id="199"/>
    </w:p>
    <w:p>
      <w:pPr>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sz w:val="32"/>
          <w:szCs w:val="32"/>
        </w:rPr>
      </w:pPr>
      <w:r>
        <w:rPr>
          <w:rFonts w:hint="eastAsia" w:ascii="仿宋" w:hAnsi="仿宋" w:eastAsia="仿宋" w:cs="仿宋"/>
          <w:b/>
          <w:bCs w:val="0"/>
          <w:sz w:val="32"/>
          <w:szCs w:val="32"/>
        </w:rPr>
        <w:t>优化奶产业布局。</w:t>
      </w:r>
      <w:r>
        <w:rPr>
          <w:rFonts w:hint="eastAsia" w:ascii="仿宋" w:hAnsi="仿宋" w:eastAsia="仿宋" w:cs="仿宋"/>
          <w:sz w:val="32"/>
          <w:szCs w:val="32"/>
        </w:rPr>
        <w:t>以正蓝旗、正镶白旗、镶黄旗、锡林浩特市、阿巴嘎旗</w:t>
      </w:r>
      <w:r>
        <w:rPr>
          <w:rFonts w:hint="eastAsia" w:ascii="仿宋" w:hAnsi="仿宋" w:eastAsia="仿宋" w:cs="仿宋"/>
          <w:sz w:val="32"/>
          <w:szCs w:val="32"/>
          <w:lang w:eastAsia="zh-CN"/>
        </w:rPr>
        <w:t>等地区</w:t>
      </w:r>
      <w:r>
        <w:rPr>
          <w:rFonts w:hint="eastAsia" w:ascii="仿宋" w:hAnsi="仿宋" w:eastAsia="仿宋" w:cs="仿宋"/>
          <w:sz w:val="32"/>
          <w:szCs w:val="32"/>
        </w:rPr>
        <w:t>为主，加快发展乳肉兼用西门塔尔牛，建设绿色有机奶源基地；以大中型奶牛养殖企业为主，因地制宜发展荷斯坦奶牛、娟姗牛，建设以锡林浩特市、</w:t>
      </w:r>
      <w:r>
        <w:rPr>
          <w:rFonts w:hint="eastAsia" w:ascii="仿宋" w:hAnsi="仿宋" w:eastAsia="仿宋" w:cs="仿宋"/>
          <w:sz w:val="32"/>
          <w:szCs w:val="32"/>
          <w:lang w:eastAsia="zh-CN"/>
        </w:rPr>
        <w:t>镶黄旗、</w:t>
      </w:r>
      <w:r>
        <w:rPr>
          <w:rFonts w:hint="eastAsia" w:ascii="仿宋" w:hAnsi="仿宋" w:eastAsia="仿宋" w:cs="仿宋"/>
          <w:sz w:val="32"/>
          <w:szCs w:val="32"/>
        </w:rPr>
        <w:t>正蓝旗、太仆寺旗</w:t>
      </w:r>
      <w:r>
        <w:rPr>
          <w:rFonts w:hint="eastAsia" w:ascii="仿宋" w:hAnsi="仿宋" w:eastAsia="仿宋" w:cs="仿宋"/>
          <w:sz w:val="32"/>
          <w:szCs w:val="32"/>
          <w:lang w:eastAsia="zh-CN"/>
        </w:rPr>
        <w:t>、多伦县等地区</w:t>
      </w:r>
      <w:r>
        <w:rPr>
          <w:rFonts w:hint="eastAsia" w:ascii="仿宋" w:hAnsi="仿宋" w:eastAsia="仿宋" w:cs="仿宋"/>
          <w:sz w:val="32"/>
          <w:szCs w:val="32"/>
        </w:rPr>
        <w:t>为主的高标准高质量奶源基地。为中小奶牛养殖户广泛推广应用小型挤奶设备，代替人工挤奶。积极发展牧区挤奶马、驼，以阿巴嘎旗、锡林浩特市、东乌珠穆沁旗、西乌珠穆沁旗、苏尼特左旗</w:t>
      </w:r>
      <w:r>
        <w:rPr>
          <w:rFonts w:hint="eastAsia" w:ascii="仿宋" w:hAnsi="仿宋" w:eastAsia="仿宋" w:cs="仿宋"/>
          <w:sz w:val="32"/>
          <w:szCs w:val="32"/>
          <w:lang w:eastAsia="zh-CN"/>
        </w:rPr>
        <w:t>等地区</w:t>
      </w:r>
      <w:r>
        <w:rPr>
          <w:rFonts w:hint="eastAsia" w:ascii="仿宋" w:hAnsi="仿宋" w:eastAsia="仿宋" w:cs="仿宋"/>
          <w:sz w:val="32"/>
          <w:szCs w:val="32"/>
        </w:rPr>
        <w:t>为</w:t>
      </w:r>
      <w:r>
        <w:rPr>
          <w:rFonts w:hint="eastAsia" w:ascii="仿宋" w:hAnsi="仿宋" w:eastAsia="仿宋" w:cs="仿宋"/>
          <w:sz w:val="32"/>
          <w:szCs w:val="32"/>
          <w:lang w:eastAsia="zh-CN"/>
        </w:rPr>
        <w:t>重点</w:t>
      </w:r>
      <w:r>
        <w:rPr>
          <w:rFonts w:hint="eastAsia" w:ascii="仿宋" w:hAnsi="仿宋" w:eastAsia="仿宋" w:cs="仿宋"/>
          <w:sz w:val="32"/>
          <w:szCs w:val="32"/>
        </w:rPr>
        <w:t>，发展策格</w:t>
      </w:r>
      <w:r>
        <w:rPr>
          <w:rFonts w:hint="eastAsia" w:ascii="仿宋" w:hAnsi="仿宋" w:eastAsia="仿宋" w:cs="仿宋"/>
          <w:sz w:val="32"/>
          <w:szCs w:val="32"/>
          <w:lang w:eastAsia="zh-CN"/>
        </w:rPr>
        <w:t>（马奶）</w:t>
      </w:r>
      <w:r>
        <w:rPr>
          <w:rFonts w:hint="eastAsia" w:ascii="仿宋" w:hAnsi="仿宋" w:eastAsia="仿宋" w:cs="仿宋"/>
          <w:sz w:val="32"/>
          <w:szCs w:val="32"/>
        </w:rPr>
        <w:t>产业；以苏尼特左旗、苏尼特右旗为</w:t>
      </w:r>
      <w:r>
        <w:rPr>
          <w:rFonts w:hint="eastAsia" w:ascii="仿宋" w:hAnsi="仿宋" w:eastAsia="仿宋" w:cs="仿宋"/>
          <w:sz w:val="32"/>
          <w:szCs w:val="32"/>
          <w:lang w:eastAsia="zh-CN"/>
        </w:rPr>
        <w:t>重点</w:t>
      </w:r>
      <w:r>
        <w:rPr>
          <w:rFonts w:hint="eastAsia" w:ascii="仿宋" w:hAnsi="仿宋" w:eastAsia="仿宋" w:cs="仿宋"/>
          <w:sz w:val="32"/>
          <w:szCs w:val="32"/>
        </w:rPr>
        <w:t>，统筹发展驼奶产业，培育特色高品质奶源基地。到2025年，全盟奶牛存栏达到3</w:t>
      </w:r>
      <w:r>
        <w:rPr>
          <w:rFonts w:hint="eastAsia" w:ascii="仿宋" w:hAnsi="仿宋" w:eastAsia="仿宋" w:cs="仿宋"/>
          <w:sz w:val="32"/>
          <w:szCs w:val="32"/>
          <w:lang w:val="en-US" w:eastAsia="zh-CN"/>
        </w:rPr>
        <w:t>2</w:t>
      </w:r>
      <w:r>
        <w:rPr>
          <w:rFonts w:hint="eastAsia" w:ascii="仿宋" w:hAnsi="仿宋" w:eastAsia="仿宋" w:cs="仿宋"/>
          <w:sz w:val="32"/>
          <w:szCs w:val="32"/>
        </w:rPr>
        <w:t>万头，奶产量</w:t>
      </w:r>
      <w:r>
        <w:rPr>
          <w:rFonts w:hint="eastAsia" w:ascii="仿宋" w:hAnsi="仿宋" w:eastAsia="仿宋" w:cs="仿宋"/>
          <w:sz w:val="32"/>
          <w:szCs w:val="32"/>
          <w:lang w:eastAsia="zh-CN"/>
        </w:rPr>
        <w:t>达到</w:t>
      </w:r>
      <w:r>
        <w:rPr>
          <w:rFonts w:hint="eastAsia" w:ascii="仿宋" w:hAnsi="仿宋" w:eastAsia="仿宋" w:cs="仿宋"/>
          <w:sz w:val="32"/>
          <w:szCs w:val="32"/>
        </w:rPr>
        <w:t>6</w:t>
      </w:r>
      <w:r>
        <w:rPr>
          <w:rFonts w:hint="eastAsia" w:ascii="仿宋" w:hAnsi="仿宋" w:eastAsia="仿宋" w:cs="仿宋"/>
          <w:sz w:val="32"/>
          <w:szCs w:val="32"/>
          <w:lang w:val="en-US" w:eastAsia="zh-CN"/>
        </w:rPr>
        <w:t>0</w:t>
      </w:r>
      <w:r>
        <w:rPr>
          <w:rFonts w:hint="eastAsia" w:ascii="仿宋" w:hAnsi="仿宋" w:eastAsia="仿宋" w:cs="仿宋"/>
          <w:sz w:val="32"/>
          <w:szCs w:val="32"/>
        </w:rPr>
        <w:t>万吨。</w:t>
      </w:r>
    </w:p>
    <w:p>
      <w:pPr>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sz w:val="32"/>
          <w:szCs w:val="32"/>
        </w:rPr>
      </w:pPr>
      <w:r>
        <w:rPr>
          <w:rFonts w:hint="eastAsia" w:ascii="仿宋" w:hAnsi="仿宋" w:eastAsia="仿宋" w:cs="仿宋"/>
          <w:b/>
          <w:bCs w:val="0"/>
          <w:sz w:val="32"/>
          <w:szCs w:val="32"/>
        </w:rPr>
        <w:t>提高奶业经济效益。</w:t>
      </w:r>
      <w:r>
        <w:rPr>
          <w:rFonts w:hint="eastAsia" w:ascii="仿宋" w:hAnsi="仿宋" w:eastAsia="仿宋" w:cs="仿宋"/>
          <w:sz w:val="32"/>
          <w:szCs w:val="32"/>
        </w:rPr>
        <w:t>鼓励引导家庭奶牛养殖户规模化经营，推动现有中小规模养殖场改造升级，支持大型乳品企业建设乳业创新园区，全面推行标准化生产，逐步提高科学养殖水平，稳定奶源供给，保障原奶品质。完善利益联结机制，支持生产企业、小作坊、养殖户和行业协会共同建立协商机制，稳定生鲜乳购销关系，形成价格稳定、供应充足的利益共享体系。</w:t>
      </w:r>
    </w:p>
    <w:p>
      <w:pPr>
        <w:pStyle w:val="4"/>
        <w:pageBreakBefore w:val="0"/>
        <w:widowControl w:val="0"/>
        <w:kinsoku/>
        <w:wordWrap/>
        <w:overflowPunct/>
        <w:topLinePunct w:val="0"/>
        <w:autoSpaceDE/>
        <w:autoSpaceDN/>
        <w:bidi w:val="0"/>
        <w:adjustRightInd/>
        <w:snapToGrid/>
        <w:spacing w:before="156" w:beforeLines="50" w:after="156" w:afterLines="50" w:line="600" w:lineRule="exact"/>
        <w:textAlignment w:val="auto"/>
        <w:rPr>
          <w:rFonts w:ascii="Calibri Light" w:hAnsi="Calibri Light" w:cs="Times New Roman"/>
          <w:b w:val="0"/>
          <w:bCs w:val="0"/>
          <w:sz w:val="32"/>
          <w:szCs w:val="32"/>
        </w:rPr>
      </w:pPr>
      <w:bookmarkStart w:id="200" w:name="_Toc59000501"/>
      <w:bookmarkStart w:id="201" w:name="_Toc58870093"/>
      <w:bookmarkStart w:id="202" w:name="_Toc26045"/>
      <w:bookmarkStart w:id="203" w:name="_Toc2011"/>
      <w:bookmarkStart w:id="204" w:name="_Toc27699"/>
      <w:bookmarkStart w:id="205" w:name="_Toc1348020955_WPSOffice_Level2"/>
      <w:bookmarkStart w:id="206" w:name="_Toc12796"/>
      <w:bookmarkStart w:id="207" w:name="_Toc60561658"/>
      <w:bookmarkStart w:id="208" w:name="_Toc912"/>
      <w:bookmarkStart w:id="209" w:name="_Toc32320"/>
      <w:bookmarkStart w:id="210" w:name="_Toc20016"/>
      <w:r>
        <w:rPr>
          <w:rFonts w:hint="eastAsia" w:ascii="Calibri Light" w:hAnsi="Calibri Light" w:cs="Times New Roman"/>
          <w:b w:val="0"/>
          <w:bCs w:val="0"/>
          <w:sz w:val="32"/>
          <w:szCs w:val="32"/>
        </w:rPr>
        <w:t xml:space="preserve">第四节 </w:t>
      </w:r>
      <w:bookmarkEnd w:id="200"/>
      <w:bookmarkEnd w:id="201"/>
      <w:r>
        <w:rPr>
          <w:rFonts w:hint="eastAsia" w:ascii="Calibri Light" w:hAnsi="Calibri Light" w:cs="Times New Roman"/>
          <w:b w:val="0"/>
          <w:bCs w:val="0"/>
          <w:sz w:val="32"/>
          <w:szCs w:val="32"/>
        </w:rPr>
        <w:t>做精特色畜牧业</w:t>
      </w:r>
      <w:bookmarkEnd w:id="202"/>
      <w:bookmarkEnd w:id="203"/>
      <w:bookmarkEnd w:id="204"/>
      <w:bookmarkEnd w:id="205"/>
      <w:bookmarkEnd w:id="206"/>
      <w:bookmarkEnd w:id="207"/>
    </w:p>
    <w:bookmarkEnd w:id="208"/>
    <w:bookmarkEnd w:id="209"/>
    <w:bookmarkEnd w:id="210"/>
    <w:p>
      <w:pPr>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sz w:val="32"/>
          <w:szCs w:val="32"/>
        </w:rPr>
      </w:pPr>
      <w:r>
        <w:rPr>
          <w:rFonts w:hint="eastAsia" w:ascii="仿宋" w:hAnsi="仿宋" w:eastAsia="仿宋" w:cs="仿宋"/>
          <w:b/>
          <w:bCs w:val="0"/>
          <w:sz w:val="32"/>
          <w:szCs w:val="32"/>
        </w:rPr>
        <w:t>统筹</w:t>
      </w:r>
      <w:r>
        <w:rPr>
          <w:rFonts w:hint="eastAsia" w:ascii="仿宋" w:hAnsi="仿宋" w:eastAsia="仿宋" w:cs="仿宋"/>
          <w:b/>
          <w:bCs w:val="0"/>
          <w:sz w:val="32"/>
          <w:szCs w:val="32"/>
          <w:lang w:eastAsia="zh-CN"/>
        </w:rPr>
        <w:t>推进骆驼</w:t>
      </w:r>
      <w:r>
        <w:rPr>
          <w:rFonts w:hint="eastAsia" w:ascii="仿宋" w:hAnsi="仿宋" w:eastAsia="仿宋" w:cs="仿宋"/>
          <w:b/>
          <w:bCs w:val="0"/>
          <w:sz w:val="32"/>
          <w:szCs w:val="32"/>
        </w:rPr>
        <w:t>产业发展。</w:t>
      </w:r>
      <w:r>
        <w:rPr>
          <w:rFonts w:hint="eastAsia" w:ascii="仿宋" w:hAnsi="仿宋" w:eastAsia="仿宋" w:cs="仿宋"/>
          <w:sz w:val="32"/>
          <w:szCs w:val="32"/>
        </w:rPr>
        <w:t>以苏尼特左旗、苏尼特右旗和二连浩特市为重点，</w:t>
      </w:r>
      <w:r>
        <w:rPr>
          <w:rFonts w:hint="eastAsia" w:ascii="仿宋" w:hAnsi="仿宋" w:eastAsia="仿宋" w:cs="仿宋"/>
          <w:sz w:val="32"/>
          <w:szCs w:val="32"/>
          <w:lang w:eastAsia="zh-CN"/>
        </w:rPr>
        <w:t>建设骆驼养殖基地</w:t>
      </w:r>
      <w:r>
        <w:rPr>
          <w:rFonts w:hint="eastAsia" w:ascii="仿宋" w:hAnsi="仿宋" w:eastAsia="仿宋" w:cs="仿宋"/>
          <w:sz w:val="32"/>
          <w:szCs w:val="32"/>
        </w:rPr>
        <w:t>，</w:t>
      </w:r>
      <w:r>
        <w:rPr>
          <w:rFonts w:hint="eastAsia" w:ascii="仿宋" w:hAnsi="仿宋" w:eastAsia="仿宋" w:cs="仿宋"/>
          <w:sz w:val="32"/>
          <w:szCs w:val="32"/>
          <w:lang w:eastAsia="zh-CN"/>
        </w:rPr>
        <w:t>培育发展以乳、肉、毛为主的骆驼产业</w:t>
      </w:r>
      <w:r>
        <w:rPr>
          <w:rFonts w:hint="eastAsia" w:ascii="仿宋" w:hAnsi="仿宋" w:eastAsia="仿宋" w:cs="仿宋"/>
          <w:sz w:val="32"/>
          <w:szCs w:val="32"/>
        </w:rPr>
        <w:t>。加强双峰驼良种繁育体系建设，按照“以优配优、保优去劣”原则，加强种公驼集中管理、畜种资源改良和适龄母驼规范化管理。到2025年，骆驼存栏稳定在1.5万头，建立苏尼特双峰驼选育保护基地2处，培育养殖专业户100户。</w:t>
      </w:r>
    </w:p>
    <w:p>
      <w:pPr>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sz w:val="32"/>
          <w:szCs w:val="32"/>
        </w:rPr>
      </w:pPr>
      <w:r>
        <w:rPr>
          <w:rFonts w:hint="eastAsia" w:ascii="仿宋" w:hAnsi="仿宋" w:eastAsia="仿宋" w:cs="仿宋"/>
          <w:b/>
          <w:bCs w:val="0"/>
          <w:sz w:val="32"/>
          <w:szCs w:val="32"/>
        </w:rPr>
        <w:t>因地制宜发展马产业。</w:t>
      </w:r>
      <w:r>
        <w:rPr>
          <w:rFonts w:hint="eastAsia" w:ascii="仿宋" w:hAnsi="仿宋" w:eastAsia="仿宋" w:cs="仿宋"/>
          <w:sz w:val="32"/>
          <w:szCs w:val="32"/>
          <w:lang w:eastAsia="zh-CN"/>
        </w:rPr>
        <w:t>实施</w:t>
      </w:r>
      <w:r>
        <w:rPr>
          <w:rFonts w:hint="eastAsia" w:ascii="仿宋" w:hAnsi="仿宋" w:eastAsia="仿宋" w:cs="仿宋"/>
          <w:sz w:val="32"/>
          <w:szCs w:val="32"/>
        </w:rPr>
        <w:t>蒙古马保护、新品系培育、乳用型进口马扩繁和马产品开发利用等工作，着力推进“中国马都”建设，打造现代良种马繁育基地、马文化旅游基地、马竞技赛事基地</w:t>
      </w:r>
      <w:r>
        <w:rPr>
          <w:rFonts w:hint="eastAsia" w:ascii="仿宋" w:hAnsi="仿宋" w:eastAsia="仿宋" w:cs="仿宋"/>
          <w:sz w:val="32"/>
          <w:szCs w:val="32"/>
          <w:lang w:eastAsia="zh-CN"/>
        </w:rPr>
        <w:t>和</w:t>
      </w:r>
      <w:r>
        <w:rPr>
          <w:rFonts w:hint="eastAsia" w:ascii="仿宋" w:hAnsi="仿宋" w:eastAsia="仿宋" w:cs="仿宋"/>
          <w:sz w:val="32"/>
          <w:szCs w:val="32"/>
        </w:rPr>
        <w:t>马产品研发加工基地。到2025年，马存栏稳定在20万匹左右。</w:t>
      </w:r>
    </w:p>
    <w:p>
      <w:pPr>
        <w:pStyle w:val="4"/>
        <w:pageBreakBefore w:val="0"/>
        <w:widowControl w:val="0"/>
        <w:kinsoku/>
        <w:wordWrap/>
        <w:overflowPunct/>
        <w:topLinePunct w:val="0"/>
        <w:autoSpaceDE/>
        <w:autoSpaceDN/>
        <w:bidi w:val="0"/>
        <w:adjustRightInd/>
        <w:snapToGrid/>
        <w:spacing w:before="156" w:beforeLines="50" w:after="156" w:afterLines="50" w:line="600" w:lineRule="exact"/>
        <w:textAlignment w:val="auto"/>
        <w:rPr>
          <w:rFonts w:ascii="Calibri Light" w:hAnsi="Calibri Light" w:cs="Times New Roman"/>
          <w:b w:val="0"/>
          <w:bCs w:val="0"/>
          <w:sz w:val="32"/>
          <w:szCs w:val="32"/>
        </w:rPr>
      </w:pPr>
      <w:bookmarkStart w:id="211" w:name="_Toc58870097"/>
      <w:bookmarkStart w:id="212" w:name="_Toc59000505"/>
      <w:bookmarkStart w:id="213" w:name="_Toc18458"/>
      <w:bookmarkStart w:id="214" w:name="_Toc1069"/>
      <w:bookmarkStart w:id="215" w:name="_Toc60561659"/>
      <w:bookmarkStart w:id="216" w:name="_Toc5612"/>
      <w:bookmarkStart w:id="217" w:name="_Toc18683"/>
      <w:bookmarkStart w:id="218" w:name="_Toc1561949597_WPSOffice_Level2"/>
      <w:r>
        <w:rPr>
          <w:rFonts w:hint="eastAsia" w:ascii="Calibri Light" w:hAnsi="Calibri Light" w:cs="Times New Roman"/>
          <w:b w:val="0"/>
          <w:bCs w:val="0"/>
          <w:sz w:val="32"/>
          <w:szCs w:val="32"/>
        </w:rPr>
        <w:t xml:space="preserve">第五节 </w:t>
      </w:r>
      <w:bookmarkEnd w:id="211"/>
      <w:bookmarkEnd w:id="212"/>
      <w:r>
        <w:rPr>
          <w:rFonts w:hint="eastAsia" w:ascii="Calibri Light" w:hAnsi="Calibri Light" w:cs="Times New Roman"/>
          <w:b w:val="0"/>
          <w:bCs w:val="0"/>
          <w:sz w:val="32"/>
          <w:szCs w:val="32"/>
        </w:rPr>
        <w:t>做优特色种植业</w:t>
      </w:r>
      <w:bookmarkEnd w:id="213"/>
      <w:bookmarkEnd w:id="214"/>
      <w:bookmarkEnd w:id="215"/>
      <w:bookmarkEnd w:id="216"/>
      <w:bookmarkEnd w:id="217"/>
      <w:bookmarkEnd w:id="218"/>
    </w:p>
    <w:p>
      <w:pPr>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sz w:val="32"/>
          <w:szCs w:val="32"/>
        </w:rPr>
      </w:pPr>
      <w:bookmarkStart w:id="219" w:name="_Toc58870098"/>
      <w:bookmarkStart w:id="220" w:name="_Toc59000506"/>
      <w:r>
        <w:rPr>
          <w:rFonts w:hint="eastAsia" w:ascii="仿宋" w:hAnsi="仿宋" w:eastAsia="仿宋" w:cs="仿宋"/>
          <w:b/>
          <w:bCs w:val="0"/>
          <w:sz w:val="32"/>
          <w:szCs w:val="32"/>
        </w:rPr>
        <w:t>大力推进饲草产业发展。</w:t>
      </w:r>
      <w:r>
        <w:rPr>
          <w:rFonts w:hint="eastAsia" w:ascii="仿宋" w:hAnsi="仿宋" w:eastAsia="仿宋" w:cs="仿宋"/>
          <w:sz w:val="32"/>
          <w:szCs w:val="32"/>
        </w:rPr>
        <w:t>着力建设东乌珠穆沁旗、西乌珠穆沁旗、乌拉盖管理区、锡林浩特市及阿巴嘎旗部分地区集中连片规模化天然打草场。坚持“为养而种”，</w:t>
      </w:r>
      <w:r>
        <w:rPr>
          <w:rFonts w:hint="eastAsia" w:ascii="仿宋" w:hAnsi="仿宋" w:eastAsia="仿宋" w:cs="仿宋"/>
          <w:sz w:val="32"/>
          <w:szCs w:val="32"/>
          <w:lang w:eastAsia="zh-CN"/>
        </w:rPr>
        <w:t>稳步</w:t>
      </w:r>
      <w:r>
        <w:rPr>
          <w:rFonts w:hint="eastAsia" w:ascii="仿宋" w:hAnsi="仿宋" w:eastAsia="仿宋" w:cs="仿宋"/>
          <w:sz w:val="32"/>
          <w:szCs w:val="32"/>
        </w:rPr>
        <w:t>扩大青贮玉米、青谷草、青莜麦</w:t>
      </w:r>
      <w:r>
        <w:rPr>
          <w:rFonts w:hint="eastAsia" w:ascii="仿宋" w:hAnsi="仿宋" w:eastAsia="仿宋" w:cs="仿宋"/>
          <w:sz w:val="32"/>
          <w:szCs w:val="32"/>
          <w:lang w:eastAsia="zh-CN"/>
        </w:rPr>
        <w:t>、</w:t>
      </w:r>
      <w:r>
        <w:rPr>
          <w:rFonts w:hint="eastAsia" w:ascii="仿宋" w:hAnsi="仿宋" w:eastAsia="仿宋" w:cs="仿宋"/>
          <w:sz w:val="32"/>
          <w:szCs w:val="32"/>
        </w:rPr>
        <w:t>苜蓿等优良牧草种植规模，</w:t>
      </w:r>
      <w:r>
        <w:rPr>
          <w:rFonts w:hint="eastAsia" w:ascii="仿宋" w:hAnsi="仿宋" w:eastAsia="仿宋" w:cs="仿宋"/>
          <w:sz w:val="32"/>
          <w:szCs w:val="32"/>
          <w:lang w:eastAsia="zh-CN"/>
        </w:rPr>
        <w:t>提高饲草供应与草食家畜养殖规模、利用模式的适配度，促进</w:t>
      </w:r>
      <w:r>
        <w:rPr>
          <w:rFonts w:hint="eastAsia" w:ascii="仿宋" w:hAnsi="仿宋" w:eastAsia="仿宋" w:cs="仿宋"/>
          <w:sz w:val="32"/>
          <w:szCs w:val="32"/>
        </w:rPr>
        <w:t>种植业与养殖业良性</w:t>
      </w:r>
      <w:r>
        <w:rPr>
          <w:rFonts w:hint="eastAsia" w:ascii="仿宋" w:hAnsi="仿宋" w:eastAsia="仿宋" w:cs="仿宋"/>
          <w:sz w:val="32"/>
          <w:szCs w:val="32"/>
          <w:lang w:eastAsia="zh-CN"/>
        </w:rPr>
        <w:t>循环发展</w:t>
      </w:r>
      <w:r>
        <w:rPr>
          <w:rFonts w:hint="eastAsia" w:ascii="仿宋" w:hAnsi="仿宋" w:eastAsia="仿宋" w:cs="仿宋"/>
          <w:sz w:val="32"/>
          <w:szCs w:val="32"/>
        </w:rPr>
        <w:t>。加强饲草良种繁育基地建设，</w:t>
      </w:r>
      <w:r>
        <w:rPr>
          <w:rFonts w:hint="eastAsia" w:ascii="仿宋" w:hAnsi="仿宋" w:eastAsia="仿宋" w:cs="仿宋"/>
          <w:sz w:val="32"/>
          <w:szCs w:val="32"/>
          <w:lang w:eastAsia="zh-CN"/>
        </w:rPr>
        <w:t>实施</w:t>
      </w:r>
      <w:r>
        <w:rPr>
          <w:rFonts w:hint="eastAsia" w:ascii="仿宋" w:hAnsi="仿宋" w:eastAsia="仿宋" w:cs="仿宋"/>
          <w:sz w:val="32"/>
          <w:szCs w:val="32"/>
        </w:rPr>
        <w:t>“粮改饲”，推广人工种草、草田轮作、草畜配套等实用技术和机械装备。</w:t>
      </w:r>
      <w:r>
        <w:rPr>
          <w:rFonts w:hint="eastAsia" w:ascii="仿宋" w:hAnsi="仿宋" w:eastAsia="仿宋" w:cs="仿宋"/>
          <w:sz w:val="32"/>
          <w:szCs w:val="32"/>
          <w:lang w:eastAsia="zh-CN"/>
        </w:rPr>
        <w:t>支持</w:t>
      </w:r>
      <w:r>
        <w:rPr>
          <w:rFonts w:hint="eastAsia" w:ascii="仿宋" w:hAnsi="仿宋" w:eastAsia="仿宋" w:cs="仿宋"/>
          <w:sz w:val="32"/>
          <w:szCs w:val="32"/>
        </w:rPr>
        <w:t>科研院所和大专院校进行饲料用玉米、燕麦、苜蓿等优良饲草新品种的培育及推广工作。坚持“量水而行”，以北部农牧交错带和南部旗县为主推广适合耐旱、耐寒、节水的饲草品种。发挥我盟天然牧草优质品种多、营养丰富的特点，打造绿色、有机饲草品牌。完善饲草储备制度，健全旗县、苏木乡镇、嘎查村三级储草体系，保障不同季节、不同地区间稳定供给。到2025年，全盟天然打草场面积稳定在3000万亩，人工种草面积稳定在110万亩，年打储草25亿公斤。</w:t>
      </w:r>
    </w:p>
    <w:p>
      <w:pPr>
        <w:pStyle w:val="2"/>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sz w:val="32"/>
          <w:szCs w:val="32"/>
        </w:rPr>
      </w:pPr>
      <w:r>
        <w:rPr>
          <w:rFonts w:hint="eastAsia" w:ascii="仿宋" w:hAnsi="仿宋" w:eastAsia="仿宋" w:cs="仿宋"/>
          <w:b/>
          <w:bCs w:val="0"/>
          <w:sz w:val="32"/>
          <w:szCs w:val="32"/>
        </w:rPr>
        <w:t>加快提升现代马铃薯产业。</w:t>
      </w:r>
      <w:r>
        <w:rPr>
          <w:rFonts w:hint="eastAsia" w:ascii="仿宋" w:hAnsi="仿宋" w:eastAsia="仿宋" w:cs="仿宋"/>
          <w:sz w:val="32"/>
          <w:szCs w:val="32"/>
          <w:lang w:eastAsia="zh-CN"/>
        </w:rPr>
        <w:t>坚持</w:t>
      </w:r>
      <w:r>
        <w:rPr>
          <w:rFonts w:hint="eastAsia" w:ascii="仿宋" w:hAnsi="仿宋" w:eastAsia="仿宋" w:cs="仿宋"/>
          <w:sz w:val="32"/>
          <w:szCs w:val="32"/>
        </w:rPr>
        <w:t>“稳定面积、优化品质、提高效益”原则，</w:t>
      </w:r>
      <w:r>
        <w:rPr>
          <w:rFonts w:hint="eastAsia" w:ascii="仿宋" w:hAnsi="仿宋" w:eastAsia="仿宋" w:cs="仿宋"/>
          <w:sz w:val="32"/>
          <w:szCs w:val="32"/>
          <w:lang w:eastAsia="zh-CN"/>
        </w:rPr>
        <w:t>优化</w:t>
      </w:r>
      <w:r>
        <w:rPr>
          <w:rFonts w:hint="eastAsia" w:ascii="仿宋" w:hAnsi="仿宋" w:eastAsia="仿宋" w:cs="仿宋"/>
          <w:sz w:val="32"/>
          <w:szCs w:val="32"/>
        </w:rPr>
        <w:t>种薯和商品薯产业布局，逐步将我盟建设成为全国最有影响</w:t>
      </w:r>
      <w:r>
        <w:rPr>
          <w:rFonts w:hint="eastAsia" w:ascii="仿宋" w:hAnsi="仿宋" w:eastAsia="仿宋" w:cs="仿宋"/>
          <w:sz w:val="32"/>
          <w:szCs w:val="32"/>
          <w:lang w:eastAsia="zh-CN"/>
        </w:rPr>
        <w:t>力</w:t>
      </w:r>
      <w:r>
        <w:rPr>
          <w:rFonts w:hint="eastAsia" w:ascii="仿宋" w:hAnsi="仿宋" w:eastAsia="仿宋" w:cs="仿宋"/>
          <w:sz w:val="32"/>
          <w:szCs w:val="32"/>
        </w:rPr>
        <w:t>的马铃薯优质种薯生产基地和国家绿色优质商品薯生产基地。以太仆寺旗、多伦县、正蓝旗、正镶白旗、锡林浩特市、乌拉盖管理区为</w:t>
      </w:r>
      <w:r>
        <w:rPr>
          <w:rFonts w:hint="eastAsia" w:ascii="仿宋" w:hAnsi="仿宋" w:eastAsia="仿宋" w:cs="仿宋"/>
          <w:sz w:val="32"/>
          <w:szCs w:val="32"/>
          <w:lang w:eastAsia="zh-CN"/>
        </w:rPr>
        <w:t>主</w:t>
      </w:r>
      <w:r>
        <w:rPr>
          <w:rFonts w:hint="eastAsia" w:ascii="仿宋" w:hAnsi="仿宋" w:eastAsia="仿宋" w:cs="仿宋"/>
          <w:sz w:val="32"/>
          <w:szCs w:val="32"/>
        </w:rPr>
        <w:t>，建设种薯重点发展区</w:t>
      </w:r>
      <w:r>
        <w:rPr>
          <w:rFonts w:hint="eastAsia" w:ascii="仿宋" w:hAnsi="仿宋" w:eastAsia="仿宋" w:cs="仿宋"/>
          <w:sz w:val="32"/>
          <w:szCs w:val="32"/>
          <w:lang w:eastAsia="zh-CN"/>
        </w:rPr>
        <w:t>；</w:t>
      </w:r>
      <w:r>
        <w:rPr>
          <w:rFonts w:hint="eastAsia" w:ascii="仿宋" w:hAnsi="仿宋" w:eastAsia="仿宋" w:cs="仿宋"/>
          <w:sz w:val="32"/>
          <w:szCs w:val="32"/>
        </w:rPr>
        <w:t>以太仆寺旗、多伦县、正蓝旗、锡林浩特市、乌拉盖管理区为</w:t>
      </w:r>
      <w:r>
        <w:rPr>
          <w:rFonts w:hint="eastAsia" w:ascii="仿宋" w:hAnsi="仿宋" w:eastAsia="仿宋" w:cs="仿宋"/>
          <w:sz w:val="32"/>
          <w:szCs w:val="32"/>
          <w:lang w:eastAsia="zh-CN"/>
        </w:rPr>
        <w:t>主</w:t>
      </w:r>
      <w:r>
        <w:rPr>
          <w:rFonts w:hint="eastAsia" w:ascii="仿宋" w:hAnsi="仿宋" w:eastAsia="仿宋" w:cs="仿宋"/>
          <w:sz w:val="32"/>
          <w:szCs w:val="32"/>
        </w:rPr>
        <w:t>，建设商品薯重点发展区。扶持现代化马铃薯精深加工企业发展，带动建设专用薯扩繁专业乡、专业村和专业户。到2025年，马铃薯种薯和商品薯种植面积分别达到10万亩和70万亩</w:t>
      </w:r>
      <w:r>
        <w:rPr>
          <w:rFonts w:hint="eastAsia" w:ascii="仿宋" w:hAnsi="仿宋" w:eastAsia="仿宋" w:cs="仿宋"/>
          <w:sz w:val="32"/>
          <w:szCs w:val="32"/>
          <w:lang w:val="en-US" w:eastAsia="zh-CN"/>
        </w:rPr>
        <w:t>，产量达到30万吨</w:t>
      </w:r>
      <w:r>
        <w:rPr>
          <w:rFonts w:hint="eastAsia" w:ascii="仿宋" w:hAnsi="仿宋" w:eastAsia="仿宋" w:cs="仿宋"/>
          <w:sz w:val="32"/>
          <w:szCs w:val="32"/>
        </w:rPr>
        <w:t>。</w:t>
      </w:r>
    </w:p>
    <w:bookmarkEnd w:id="219"/>
    <w:bookmarkEnd w:id="220"/>
    <w:p>
      <w:pPr>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sz w:val="32"/>
          <w:szCs w:val="32"/>
        </w:rPr>
      </w:pPr>
      <w:r>
        <w:rPr>
          <w:rFonts w:hint="eastAsia" w:ascii="仿宋" w:hAnsi="仿宋" w:eastAsia="仿宋" w:cs="仿宋"/>
          <w:b/>
          <w:bCs w:val="0"/>
          <w:sz w:val="32"/>
          <w:szCs w:val="32"/>
        </w:rPr>
        <w:t>稳步壮大冷凉蔬菜产业。</w:t>
      </w:r>
      <w:r>
        <w:rPr>
          <w:rFonts w:hint="eastAsia" w:ascii="仿宋" w:hAnsi="仿宋" w:eastAsia="仿宋" w:cs="仿宋"/>
          <w:sz w:val="32"/>
          <w:szCs w:val="32"/>
        </w:rPr>
        <w:t>以太仆寺旗、多伦县、正镶白旗、正蓝旗、锡林浩特市为重点，扩大“西兰花、胡萝卜、娃娃菜、甘蓝、西芹、</w:t>
      </w:r>
      <w:r>
        <w:rPr>
          <w:rFonts w:hint="eastAsia" w:ascii="仿宋" w:hAnsi="仿宋" w:eastAsia="仿宋" w:cs="仿宋"/>
          <w:sz w:val="32"/>
          <w:szCs w:val="32"/>
          <w:lang w:eastAsia="zh-CN"/>
        </w:rPr>
        <w:t>菜花、</w:t>
      </w:r>
      <w:r>
        <w:rPr>
          <w:rFonts w:hint="eastAsia" w:ascii="仿宋" w:hAnsi="仿宋" w:eastAsia="仿宋" w:cs="仿宋"/>
          <w:sz w:val="32"/>
          <w:szCs w:val="32"/>
        </w:rPr>
        <w:t>洋葱”等优势冷凉蔬菜种植规模。以太仆寺旗、多伦县、正蓝旗、正镶白旗、锡林浩特市、乌拉盖管理区等集中连片区域为重点</w:t>
      </w:r>
      <w:r>
        <w:rPr>
          <w:rFonts w:hint="eastAsia" w:ascii="仿宋" w:hAnsi="仿宋" w:eastAsia="仿宋" w:cs="仿宋"/>
          <w:sz w:val="32"/>
          <w:szCs w:val="32"/>
          <w:lang w:eastAsia="zh-CN"/>
        </w:rPr>
        <w:t>，</w:t>
      </w:r>
      <w:r>
        <w:rPr>
          <w:rFonts w:hint="eastAsia" w:ascii="仿宋" w:hAnsi="仿宋" w:eastAsia="仿宋" w:cs="仿宋"/>
          <w:sz w:val="32"/>
          <w:szCs w:val="32"/>
        </w:rPr>
        <w:t>发展设施蔬菜。大力推广轻简栽培、水肥一体、立体种植、绿色防控等技术。发展净菜加工和冷链物流产业，支持蔬菜外运，做精做优绿色</w:t>
      </w:r>
      <w:r>
        <w:rPr>
          <w:rFonts w:hint="eastAsia" w:ascii="仿宋" w:hAnsi="仿宋" w:eastAsia="仿宋" w:cs="仿宋"/>
          <w:sz w:val="32"/>
          <w:szCs w:val="32"/>
          <w:lang w:eastAsia="zh-CN"/>
        </w:rPr>
        <w:t>、</w:t>
      </w:r>
      <w:r>
        <w:rPr>
          <w:rFonts w:hint="eastAsia" w:ascii="仿宋" w:hAnsi="仿宋" w:eastAsia="仿宋" w:cs="仿宋"/>
          <w:sz w:val="32"/>
          <w:szCs w:val="32"/>
        </w:rPr>
        <w:t>有机</w:t>
      </w:r>
      <w:r>
        <w:rPr>
          <w:rFonts w:hint="eastAsia" w:ascii="仿宋" w:hAnsi="仿宋" w:eastAsia="仿宋" w:cs="仿宋"/>
          <w:sz w:val="32"/>
          <w:szCs w:val="32"/>
          <w:lang w:eastAsia="zh-CN"/>
        </w:rPr>
        <w:t>果蔬</w:t>
      </w:r>
      <w:r>
        <w:rPr>
          <w:rFonts w:hint="eastAsia" w:ascii="仿宋" w:hAnsi="仿宋" w:eastAsia="仿宋" w:cs="仿宋"/>
          <w:sz w:val="32"/>
          <w:szCs w:val="32"/>
        </w:rPr>
        <w:t>产品，着力打造服务盟内、面向京北的绿色有机农产品供应基地。到2025年，冷凉蔬菜和温室大棚种植面积分别达到18万亩和2万亩</w:t>
      </w:r>
      <w:r>
        <w:rPr>
          <w:rFonts w:hint="eastAsia" w:ascii="仿宋" w:hAnsi="仿宋" w:eastAsia="仿宋" w:cs="仿宋"/>
          <w:sz w:val="32"/>
          <w:szCs w:val="32"/>
          <w:lang w:eastAsia="zh-CN"/>
        </w:rPr>
        <w:t>，产量达到</w:t>
      </w:r>
      <w:r>
        <w:rPr>
          <w:rFonts w:hint="eastAsia" w:ascii="仿宋" w:hAnsi="仿宋" w:eastAsia="仿宋" w:cs="仿宋"/>
          <w:sz w:val="32"/>
          <w:szCs w:val="32"/>
          <w:lang w:val="en-US" w:eastAsia="zh-CN"/>
        </w:rPr>
        <w:t>60万吨</w:t>
      </w:r>
      <w:r>
        <w:rPr>
          <w:rFonts w:hint="eastAsia" w:ascii="仿宋" w:hAnsi="仿宋" w:eastAsia="仿宋" w:cs="仿宋"/>
          <w:sz w:val="32"/>
          <w:szCs w:val="32"/>
        </w:rPr>
        <w:t>。</w:t>
      </w:r>
    </w:p>
    <w:p>
      <w:pPr>
        <w:pageBreakBefore w:val="0"/>
        <w:widowControl w:val="0"/>
        <w:kinsoku/>
        <w:wordWrap/>
        <w:overflowPunct/>
        <w:topLinePunct w:val="0"/>
        <w:autoSpaceDE/>
        <w:autoSpaceDN/>
        <w:bidi w:val="0"/>
        <w:adjustRightInd/>
        <w:snapToGrid/>
        <w:spacing w:after="156" w:afterLines="50" w:line="600" w:lineRule="exact"/>
        <w:ind w:firstLine="643" w:firstLineChars="200"/>
        <w:textAlignment w:val="auto"/>
        <w:rPr>
          <w:rFonts w:ascii="仿宋" w:hAnsi="仿宋" w:eastAsia="仿宋" w:cstheme="minorBidi"/>
          <w:sz w:val="32"/>
          <w:szCs w:val="32"/>
        </w:rPr>
      </w:pPr>
      <w:r>
        <w:rPr>
          <w:rFonts w:hint="eastAsia" w:ascii="仿宋" w:hAnsi="仿宋" w:eastAsia="仿宋" w:cs="仿宋"/>
          <w:b/>
          <w:bCs w:val="0"/>
          <w:sz w:val="32"/>
          <w:szCs w:val="32"/>
        </w:rPr>
        <w:t>着力发展其他特色种植业。</w:t>
      </w:r>
      <w:r>
        <w:rPr>
          <w:rFonts w:hint="eastAsia" w:ascii="仿宋" w:hAnsi="仿宋" w:eastAsia="仿宋" w:cs="仿宋"/>
          <w:sz w:val="32"/>
          <w:szCs w:val="32"/>
        </w:rPr>
        <w:t>以太</w:t>
      </w:r>
      <w:r>
        <w:rPr>
          <w:rFonts w:ascii="仿宋" w:hAnsi="仿宋" w:eastAsia="仿宋" w:cstheme="minorBidi"/>
          <w:sz w:val="32"/>
          <w:szCs w:val="32"/>
        </w:rPr>
        <w:t>仆寺旗为重点，推进燕麦良种繁育、精深加工、产品研发和品牌营销，</w:t>
      </w:r>
      <w:r>
        <w:rPr>
          <w:rFonts w:hint="eastAsia" w:ascii="仿宋" w:hAnsi="仿宋" w:eastAsia="仿宋" w:cstheme="minorBidi"/>
          <w:sz w:val="32"/>
          <w:szCs w:val="32"/>
        </w:rPr>
        <w:t>建设</w:t>
      </w:r>
      <w:r>
        <w:rPr>
          <w:rFonts w:ascii="仿宋" w:hAnsi="仿宋" w:eastAsia="仿宋" w:cstheme="minorBidi"/>
          <w:sz w:val="32"/>
          <w:szCs w:val="32"/>
        </w:rPr>
        <w:t>“产购储加销”一体化燕麦产业基地。</w:t>
      </w:r>
      <w:r>
        <w:rPr>
          <w:rFonts w:hint="eastAsia" w:ascii="仿宋" w:hAnsi="仿宋" w:eastAsia="仿宋" w:cstheme="minorBidi"/>
          <w:sz w:val="32"/>
          <w:szCs w:val="32"/>
        </w:rPr>
        <w:t>依托</w:t>
      </w:r>
      <w:r>
        <w:rPr>
          <w:rFonts w:ascii="仿宋" w:hAnsi="仿宋" w:eastAsia="仿宋" w:cstheme="minorBidi"/>
          <w:sz w:val="32"/>
          <w:szCs w:val="32"/>
        </w:rPr>
        <w:t>“太仆寺旗藜麦”国家地理标志保护产品，引导藜麦标准化种植加工，打造具有地域优势的藜麦产业基地。发挥“红井源”名牌产品优势，</w:t>
      </w:r>
      <w:r>
        <w:rPr>
          <w:rFonts w:hint="eastAsia" w:ascii="仿宋" w:hAnsi="仿宋" w:eastAsia="仿宋" w:cstheme="minorBidi"/>
          <w:sz w:val="32"/>
          <w:szCs w:val="32"/>
          <w:lang w:eastAsia="zh-CN"/>
        </w:rPr>
        <w:t>建设</w:t>
      </w:r>
      <w:r>
        <w:rPr>
          <w:rFonts w:ascii="仿宋" w:hAnsi="仿宋" w:eastAsia="仿宋" w:cstheme="minorBidi"/>
          <w:sz w:val="32"/>
          <w:szCs w:val="32"/>
        </w:rPr>
        <w:t>地方特色胡麻种植基地。以太仆寺旗、多伦县、正蓝旗为重点，加快中</w:t>
      </w:r>
      <w:r>
        <w:rPr>
          <w:rFonts w:hint="eastAsia" w:ascii="仿宋" w:hAnsi="仿宋" w:eastAsia="仿宋" w:cstheme="minorBidi"/>
          <w:sz w:val="32"/>
          <w:szCs w:val="32"/>
          <w:lang w:eastAsia="zh-CN"/>
        </w:rPr>
        <w:t>（</w:t>
      </w:r>
      <w:r>
        <w:rPr>
          <w:rFonts w:ascii="仿宋" w:hAnsi="仿宋" w:eastAsia="仿宋" w:cstheme="minorBidi"/>
          <w:sz w:val="32"/>
          <w:szCs w:val="32"/>
        </w:rPr>
        <w:t>蒙</w:t>
      </w:r>
      <w:r>
        <w:rPr>
          <w:rFonts w:hint="eastAsia" w:ascii="仿宋" w:hAnsi="仿宋" w:eastAsia="仿宋" w:cstheme="minorBidi"/>
          <w:sz w:val="32"/>
          <w:szCs w:val="32"/>
          <w:lang w:eastAsia="zh-CN"/>
        </w:rPr>
        <w:t>）</w:t>
      </w:r>
      <w:r>
        <w:rPr>
          <w:rFonts w:ascii="仿宋" w:hAnsi="仿宋" w:eastAsia="仿宋" w:cstheme="minorBidi"/>
          <w:sz w:val="32"/>
          <w:szCs w:val="32"/>
        </w:rPr>
        <w:t>药材产业发展，提升</w:t>
      </w:r>
      <w:r>
        <w:rPr>
          <w:rFonts w:hint="eastAsia" w:ascii="仿宋" w:hAnsi="仿宋" w:eastAsia="仿宋" w:cstheme="minorBidi"/>
          <w:sz w:val="32"/>
          <w:szCs w:val="32"/>
          <w:lang w:eastAsia="zh-CN"/>
        </w:rPr>
        <w:t>药材</w:t>
      </w:r>
      <w:r>
        <w:rPr>
          <w:rFonts w:ascii="仿宋" w:hAnsi="仿宋" w:eastAsia="仿宋" w:cstheme="minorBidi"/>
          <w:sz w:val="32"/>
          <w:szCs w:val="32"/>
        </w:rPr>
        <w:t>品质。以乌拉盖管理区</w:t>
      </w:r>
      <w:r>
        <w:rPr>
          <w:rFonts w:hint="eastAsia" w:ascii="仿宋" w:hAnsi="仿宋" w:eastAsia="仿宋" w:cstheme="minorBidi"/>
          <w:sz w:val="32"/>
          <w:szCs w:val="32"/>
          <w:lang w:eastAsia="zh-CN"/>
        </w:rPr>
        <w:t>、</w:t>
      </w:r>
      <w:r>
        <w:rPr>
          <w:rFonts w:ascii="仿宋" w:hAnsi="仿宋" w:eastAsia="仿宋" w:cstheme="minorBidi"/>
          <w:sz w:val="32"/>
          <w:szCs w:val="32"/>
        </w:rPr>
        <w:t>锡林浩特市为重点，发挥“锡林河”和“白音锡勒牧场”小麦粉优势，集约发展有机小麦产业。</w:t>
      </w:r>
      <w:r>
        <w:rPr>
          <w:rFonts w:hint="eastAsia" w:ascii="仿宋" w:hAnsi="仿宋" w:eastAsia="仿宋" w:cstheme="minorBidi"/>
          <w:sz w:val="32"/>
          <w:szCs w:val="32"/>
        </w:rPr>
        <w:t>到2025年，</w:t>
      </w:r>
      <w:r>
        <w:rPr>
          <w:rFonts w:hint="eastAsia" w:ascii="仿宋" w:hAnsi="仿宋" w:eastAsia="仿宋" w:cstheme="minorBidi"/>
          <w:sz w:val="32"/>
          <w:szCs w:val="32"/>
          <w:lang w:eastAsia="zh-CN"/>
        </w:rPr>
        <w:t>特色农作物种植面积达到</w:t>
      </w:r>
      <w:r>
        <w:rPr>
          <w:rFonts w:hint="eastAsia" w:ascii="仿宋" w:hAnsi="仿宋" w:eastAsia="仿宋" w:cstheme="minorBidi"/>
          <w:sz w:val="32"/>
          <w:szCs w:val="32"/>
          <w:lang w:val="en-US" w:eastAsia="zh-CN"/>
        </w:rPr>
        <w:t>80万亩，产量达到17万吨</w:t>
      </w:r>
      <w:r>
        <w:rPr>
          <w:rFonts w:hint="eastAsia" w:ascii="仿宋" w:hAnsi="仿宋" w:eastAsia="仿宋" w:cstheme="minorBidi"/>
          <w:sz w:val="32"/>
          <w:szCs w:val="32"/>
        </w:rPr>
        <w:t>。</w:t>
      </w:r>
    </w:p>
    <w:tbl>
      <w:tblPr>
        <w:tblStyle w:val="26"/>
        <w:tblpPr w:leftFromText="180" w:rightFromText="180" w:vertAnchor="text" w:horzAnchor="page" w:tblpX="1862" w:tblpY="66"/>
        <w:tblOverlap w:val="never"/>
        <w:tblW w:w="851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shd w:val="clear" w:color="auto" w:fill="FFFFFF" w:themeFill="background1"/>
        <w:tblLayout w:type="fixed"/>
        <w:tblCellMar>
          <w:top w:w="0" w:type="dxa"/>
          <w:left w:w="108" w:type="dxa"/>
          <w:bottom w:w="0" w:type="dxa"/>
          <w:right w:w="108" w:type="dxa"/>
        </w:tblCellMar>
      </w:tblPr>
      <w:tblGrid>
        <w:gridCol w:w="8516"/>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650" w:hRule="atLeast"/>
        </w:trPr>
        <w:tc>
          <w:tcPr>
            <w:tcW w:w="8516" w:type="dxa"/>
            <w:tcBorders>
              <w:top w:val="single" w:color="auto" w:sz="4" w:space="0"/>
              <w:bottom w:val="single" w:color="auto" w:sz="4" w:space="0"/>
              <w:tl2br w:val="nil"/>
              <w:tr2bl w:val="nil"/>
            </w:tcBorders>
            <w:shd w:val="clear" w:color="auto" w:fill="FFFFFF" w:themeFill="background1"/>
          </w:tcPr>
          <w:p>
            <w:pPr>
              <w:spacing w:line="540" w:lineRule="exact"/>
              <w:ind w:left="210" w:right="210"/>
              <w:jc w:val="center"/>
              <w:rPr>
                <w:rFonts w:ascii="黑体" w:hAnsi="黑体" w:eastAsia="黑体" w:cs="Times New Roman"/>
                <w:kern w:val="0"/>
                <w:sz w:val="28"/>
                <w:szCs w:val="28"/>
              </w:rPr>
            </w:pPr>
            <w:r>
              <w:rPr>
                <w:rFonts w:hint="eastAsia" w:ascii="黑体" w:hAnsi="黑体" w:eastAsia="黑体" w:cs="黑体"/>
                <w:b w:val="0"/>
                <w:bCs/>
                <w:kern w:val="0"/>
                <w:sz w:val="28"/>
                <w:szCs w:val="28"/>
              </w:rPr>
              <w:t>专栏2  优势特色农牧业</w:t>
            </w:r>
            <w:r>
              <w:rPr>
                <w:rFonts w:hint="eastAsia" w:ascii="黑体" w:hAnsi="黑体" w:eastAsia="黑体" w:cs="黑体"/>
                <w:b w:val="0"/>
                <w:bCs/>
                <w:kern w:val="0"/>
                <w:sz w:val="28"/>
                <w:szCs w:val="28"/>
                <w:lang w:eastAsia="zh-CN"/>
              </w:rPr>
              <w:t>发展</w:t>
            </w:r>
            <w:r>
              <w:rPr>
                <w:rFonts w:hint="eastAsia" w:ascii="黑体" w:hAnsi="黑体" w:eastAsia="黑体" w:cs="黑体"/>
                <w:b w:val="0"/>
                <w:bCs/>
                <w:kern w:val="0"/>
                <w:sz w:val="28"/>
                <w:szCs w:val="28"/>
              </w:rPr>
              <w:t>重点工程</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650" w:hRule="atLeast"/>
        </w:trPr>
        <w:tc>
          <w:tcPr>
            <w:tcW w:w="8516" w:type="dxa"/>
            <w:tcBorders>
              <w:top w:val="single" w:color="auto" w:sz="4" w:space="0"/>
              <w:bottom w:val="single" w:color="auto" w:sz="4" w:space="0"/>
              <w:tl2br w:val="nil"/>
              <w:tr2bl w:val="nil"/>
            </w:tcBorders>
            <w:shd w:val="clear" w:color="auto" w:fill="FFFFFF" w:themeFill="background1"/>
          </w:tcPr>
          <w:p>
            <w:pPr>
              <w:spacing w:line="400" w:lineRule="exact"/>
              <w:ind w:left="210" w:right="210" w:firstLine="480" w:firstLineChars="200"/>
              <w:rPr>
                <w:rFonts w:ascii="仿宋" w:hAnsi="仿宋" w:eastAsia="仿宋" w:cs="Times New Roman"/>
                <w:sz w:val="24"/>
              </w:rPr>
            </w:pPr>
            <w:r>
              <w:rPr>
                <w:rFonts w:hint="eastAsia" w:ascii="黑体" w:hAnsi="黑体" w:eastAsia="黑体" w:cs="Times New Roman"/>
                <w:sz w:val="24"/>
              </w:rPr>
              <w:t>1</w:t>
            </w:r>
            <w:r>
              <w:rPr>
                <w:rFonts w:ascii="黑体" w:hAnsi="黑体" w:eastAsia="黑体" w:cs="Times New Roman"/>
                <w:sz w:val="24"/>
              </w:rPr>
              <w:t>.优质良种肉牛产业发展</w:t>
            </w:r>
            <w:r>
              <w:rPr>
                <w:rFonts w:hint="eastAsia" w:ascii="黑体" w:hAnsi="黑体" w:eastAsia="黑体" w:cs="Times New Roman"/>
                <w:sz w:val="24"/>
                <w:lang w:eastAsia="zh-CN"/>
              </w:rPr>
              <w:t>。</w:t>
            </w:r>
            <w:r>
              <w:rPr>
                <w:rFonts w:ascii="仿宋" w:hAnsi="仿宋" w:eastAsia="仿宋" w:cs="Times New Roman"/>
                <w:sz w:val="24"/>
              </w:rPr>
              <w:t>实施自治区肉牛产业化项目，完善优质良种肉牛产业</w:t>
            </w:r>
            <w:r>
              <w:rPr>
                <w:rFonts w:hint="eastAsia" w:ascii="仿宋" w:hAnsi="仿宋" w:eastAsia="仿宋" w:cs="Times New Roman"/>
                <w:sz w:val="24"/>
                <w:lang w:eastAsia="zh-CN"/>
              </w:rPr>
              <w:t>发展</w:t>
            </w:r>
            <w:r>
              <w:rPr>
                <w:rFonts w:ascii="仿宋" w:hAnsi="仿宋" w:eastAsia="仿宋" w:cs="Times New Roman"/>
                <w:sz w:val="24"/>
              </w:rPr>
              <w:t>扶持政策，重点围绕良种扩繁、育成育肥、饲养管理等关键环节，高质量建设优质良种肉牛产业带。</w:t>
            </w:r>
          </w:p>
          <w:p>
            <w:pPr>
              <w:spacing w:line="400" w:lineRule="exact"/>
              <w:ind w:left="210" w:right="210" w:firstLine="480" w:firstLineChars="200"/>
              <w:rPr>
                <w:rFonts w:ascii="仿宋" w:hAnsi="仿宋" w:eastAsia="仿宋" w:cs="Times New Roman"/>
                <w:sz w:val="24"/>
              </w:rPr>
            </w:pPr>
            <w:r>
              <w:rPr>
                <w:rFonts w:hint="eastAsia" w:ascii="黑体" w:hAnsi="黑体" w:eastAsia="黑体" w:cs="Times New Roman"/>
                <w:sz w:val="24"/>
              </w:rPr>
              <w:t>2</w:t>
            </w:r>
            <w:r>
              <w:rPr>
                <w:rFonts w:ascii="黑体" w:hAnsi="黑体" w:eastAsia="黑体" w:cs="Times New Roman"/>
                <w:sz w:val="24"/>
              </w:rPr>
              <w:t>.现代肉羊产业发展</w:t>
            </w:r>
            <w:r>
              <w:rPr>
                <w:rFonts w:hint="eastAsia" w:ascii="黑体" w:hAnsi="黑体" w:eastAsia="黑体" w:cs="Times New Roman"/>
                <w:sz w:val="24"/>
                <w:lang w:eastAsia="zh-CN"/>
              </w:rPr>
              <w:t>。</w:t>
            </w:r>
            <w:r>
              <w:rPr>
                <w:rFonts w:ascii="仿宋" w:hAnsi="仿宋" w:eastAsia="仿宋" w:cs="Times New Roman"/>
                <w:sz w:val="24"/>
              </w:rPr>
              <w:t>实施国家肉羊产业集群项目，落实国家、自治区种公羊补贴政策，制定</w:t>
            </w:r>
            <w:r>
              <w:rPr>
                <w:rFonts w:hint="eastAsia" w:ascii="仿宋" w:hAnsi="仿宋" w:eastAsia="仿宋" w:cs="Times New Roman"/>
                <w:sz w:val="24"/>
                <w:lang w:eastAsia="zh-CN"/>
              </w:rPr>
              <w:t>谷</w:t>
            </w:r>
            <w:r>
              <w:rPr>
                <w:rFonts w:ascii="仿宋" w:hAnsi="仿宋" w:eastAsia="仿宋" w:cs="Times New Roman"/>
                <w:sz w:val="24"/>
              </w:rPr>
              <w:t>饲羊发展扶持</w:t>
            </w:r>
            <w:r>
              <w:rPr>
                <w:rFonts w:hint="eastAsia" w:ascii="仿宋" w:hAnsi="仿宋" w:eastAsia="仿宋" w:cs="Times New Roman"/>
                <w:sz w:val="24"/>
                <w:lang w:eastAsia="zh-CN"/>
              </w:rPr>
              <w:t>办法</w:t>
            </w:r>
            <w:r>
              <w:rPr>
                <w:rFonts w:ascii="仿宋" w:hAnsi="仿宋" w:eastAsia="仿宋" w:cs="Times New Roman"/>
                <w:sz w:val="24"/>
              </w:rPr>
              <w:t>，重点围绕选育提高、杂交育肥、饲养管理等关键环节，全面加强“锡林郭勒羊中国特色农产品优势区”建设。</w:t>
            </w:r>
          </w:p>
          <w:p>
            <w:pPr>
              <w:spacing w:line="400" w:lineRule="exact"/>
              <w:ind w:left="210" w:right="210" w:firstLine="480" w:firstLineChars="200"/>
              <w:rPr>
                <w:rFonts w:ascii="仿宋" w:hAnsi="仿宋" w:eastAsia="仿宋" w:cs="Times New Roman"/>
                <w:sz w:val="24"/>
              </w:rPr>
            </w:pPr>
            <w:r>
              <w:rPr>
                <w:rFonts w:hint="eastAsia" w:ascii="黑体" w:hAnsi="黑体" w:eastAsia="黑体" w:cs="Times New Roman"/>
                <w:sz w:val="24"/>
              </w:rPr>
              <w:t>3</w:t>
            </w:r>
            <w:r>
              <w:rPr>
                <w:rFonts w:ascii="黑体" w:hAnsi="黑体" w:eastAsia="黑体" w:cs="Times New Roman"/>
                <w:sz w:val="24"/>
              </w:rPr>
              <w:t>.奶业振兴</w:t>
            </w:r>
            <w:r>
              <w:rPr>
                <w:rFonts w:hint="eastAsia" w:ascii="黑体" w:hAnsi="黑体" w:eastAsia="黑体" w:cs="Times New Roman"/>
                <w:sz w:val="24"/>
                <w:lang w:eastAsia="zh-CN"/>
              </w:rPr>
              <w:t>。</w:t>
            </w:r>
            <w:r>
              <w:rPr>
                <w:rFonts w:hint="eastAsia" w:ascii="仿宋" w:hAnsi="仿宋" w:eastAsia="仿宋" w:cs="Times New Roman"/>
                <w:sz w:val="24"/>
                <w:lang w:eastAsia="zh-CN"/>
              </w:rPr>
              <w:t>加强</w:t>
            </w:r>
            <w:r>
              <w:rPr>
                <w:rFonts w:ascii="仿宋" w:hAnsi="仿宋" w:eastAsia="仿宋" w:cs="Times New Roman"/>
                <w:sz w:val="24"/>
              </w:rPr>
              <w:t>奶源基地建设，鼓励引导奶牛养殖规模化经营，实施中小奶畜养殖场提升改造项目和传统奶食品加工标准化改造项目，推动传统乳制品产业提档升级。</w:t>
            </w:r>
          </w:p>
          <w:p>
            <w:pPr>
              <w:spacing w:line="400" w:lineRule="exact"/>
              <w:ind w:left="210" w:right="210" w:firstLine="480" w:firstLineChars="200"/>
              <w:rPr>
                <w:rFonts w:ascii="仿宋" w:hAnsi="仿宋" w:eastAsia="仿宋" w:cs="Times New Roman"/>
                <w:sz w:val="24"/>
              </w:rPr>
            </w:pPr>
            <w:r>
              <w:rPr>
                <w:rFonts w:hint="eastAsia" w:ascii="黑体" w:hAnsi="黑体" w:eastAsia="黑体" w:cs="Times New Roman"/>
                <w:sz w:val="24"/>
              </w:rPr>
              <w:t>4</w:t>
            </w:r>
            <w:r>
              <w:rPr>
                <w:rFonts w:ascii="黑体" w:hAnsi="黑体" w:eastAsia="黑体" w:cs="Times New Roman"/>
                <w:sz w:val="24"/>
              </w:rPr>
              <w:t>.马产业发展</w:t>
            </w:r>
            <w:r>
              <w:rPr>
                <w:rFonts w:hint="eastAsia" w:ascii="黑体" w:hAnsi="黑体" w:eastAsia="黑体" w:cs="Times New Roman"/>
                <w:sz w:val="24"/>
                <w:lang w:eastAsia="zh-CN"/>
              </w:rPr>
              <w:t>。</w:t>
            </w:r>
            <w:r>
              <w:rPr>
                <w:rFonts w:ascii="仿宋" w:hAnsi="仿宋" w:eastAsia="仿宋" w:cs="Times New Roman"/>
                <w:sz w:val="24"/>
              </w:rPr>
              <w:t>落实蒙古马保护补贴政策，开展定向培育产品马、竞技马、仪仗马等新品种新品系和良种马繁育工作，促进马产业健康发展。</w:t>
            </w:r>
          </w:p>
          <w:p>
            <w:pPr>
              <w:spacing w:line="400" w:lineRule="exact"/>
              <w:ind w:left="210" w:right="210" w:firstLine="480" w:firstLineChars="200"/>
              <w:rPr>
                <w:rFonts w:ascii="仿宋" w:hAnsi="仿宋" w:eastAsia="仿宋" w:cs="Times New Roman"/>
                <w:sz w:val="24"/>
              </w:rPr>
            </w:pPr>
            <w:r>
              <w:rPr>
                <w:rFonts w:hint="eastAsia" w:ascii="黑体" w:hAnsi="黑体" w:eastAsia="黑体" w:cs="Times New Roman"/>
                <w:sz w:val="24"/>
              </w:rPr>
              <w:t>5</w:t>
            </w:r>
            <w:r>
              <w:rPr>
                <w:rFonts w:ascii="黑体" w:hAnsi="黑体" w:eastAsia="黑体" w:cs="Times New Roman"/>
                <w:sz w:val="24"/>
              </w:rPr>
              <w:t>.骆驼产业发展</w:t>
            </w:r>
            <w:r>
              <w:rPr>
                <w:rFonts w:hint="eastAsia" w:ascii="黑体" w:hAnsi="黑体" w:eastAsia="黑体" w:cs="Times New Roman"/>
                <w:sz w:val="24"/>
                <w:lang w:eastAsia="zh-CN"/>
              </w:rPr>
              <w:t>。</w:t>
            </w:r>
            <w:r>
              <w:rPr>
                <w:rFonts w:ascii="仿宋" w:hAnsi="仿宋" w:eastAsia="仿宋" w:cs="Times New Roman"/>
                <w:sz w:val="24"/>
              </w:rPr>
              <w:t>加大苏尼特双峰驼种质资源保护，统筹发展苏尼特右旗、苏尼特左旗、二连浩特市等地骆驼养殖基地和驼奶生产基地</w:t>
            </w:r>
            <w:r>
              <w:rPr>
                <w:rFonts w:hint="eastAsia" w:ascii="仿宋" w:hAnsi="仿宋" w:eastAsia="仿宋" w:cs="Times New Roman"/>
                <w:sz w:val="24"/>
              </w:rPr>
              <w:t>。</w:t>
            </w:r>
          </w:p>
          <w:p>
            <w:pPr>
              <w:spacing w:line="400" w:lineRule="exact"/>
              <w:ind w:left="210" w:right="210" w:firstLine="480" w:firstLineChars="200"/>
            </w:pPr>
            <w:r>
              <w:rPr>
                <w:rFonts w:ascii="黑体" w:hAnsi="黑体" w:eastAsia="黑体" w:cs="Times New Roman"/>
                <w:sz w:val="24"/>
              </w:rPr>
              <w:t>6.草畜一体化发展</w:t>
            </w:r>
            <w:r>
              <w:rPr>
                <w:rFonts w:hint="eastAsia" w:ascii="黑体" w:hAnsi="黑体" w:eastAsia="黑体" w:cs="Times New Roman"/>
                <w:sz w:val="24"/>
                <w:lang w:eastAsia="zh-CN"/>
              </w:rPr>
              <w:t>。</w:t>
            </w:r>
            <w:r>
              <w:rPr>
                <w:rFonts w:ascii="仿宋" w:hAnsi="仿宋" w:eastAsia="仿宋" w:cs="Times New Roman"/>
                <w:sz w:val="24"/>
              </w:rPr>
              <w:t>推行种养结合、农牧循环，持续</w:t>
            </w:r>
            <w:r>
              <w:rPr>
                <w:rFonts w:hint="eastAsia" w:ascii="仿宋" w:hAnsi="仿宋" w:eastAsia="仿宋" w:cs="Times New Roman"/>
                <w:sz w:val="24"/>
                <w:lang w:eastAsia="zh-CN"/>
              </w:rPr>
              <w:t>实施</w:t>
            </w:r>
            <w:r>
              <w:rPr>
                <w:rFonts w:ascii="仿宋" w:hAnsi="仿宋" w:eastAsia="仿宋" w:cs="Times New Roman"/>
                <w:sz w:val="24"/>
              </w:rPr>
              <w:t>“粮改饲”</w:t>
            </w:r>
            <w:r>
              <w:rPr>
                <w:rFonts w:hint="eastAsia" w:ascii="仿宋" w:hAnsi="仿宋" w:eastAsia="仿宋" w:cs="Times New Roman"/>
                <w:sz w:val="24"/>
                <w:lang w:eastAsia="zh-CN"/>
              </w:rPr>
              <w:t>项目</w:t>
            </w:r>
            <w:r>
              <w:rPr>
                <w:rFonts w:ascii="仿宋" w:hAnsi="仿宋" w:eastAsia="仿宋" w:cs="Times New Roman"/>
                <w:sz w:val="24"/>
              </w:rPr>
              <w:t>，推进草畜一体发展，建立健全旗县、苏木乡镇、嘎查村三级储草保障体系。</w:t>
            </w:r>
          </w:p>
        </w:tc>
      </w:tr>
    </w:tbl>
    <w:p>
      <w:pPr>
        <w:spacing w:line="540" w:lineRule="exact"/>
        <w:rPr>
          <w:rFonts w:ascii="方正小标宋简体" w:hAnsi="仿宋" w:eastAsia="方正小标宋简体" w:cs="黑体"/>
          <w:color w:val="000000" w:themeColor="text1"/>
          <w:sz w:val="36"/>
          <w:szCs w:val="36"/>
        </w:rPr>
      </w:pPr>
      <w:bookmarkStart w:id="221" w:name="_Toc60561660"/>
      <w:bookmarkStart w:id="222" w:name="_Toc12738"/>
      <w:bookmarkStart w:id="223" w:name="_Toc6802"/>
      <w:bookmarkStart w:id="224" w:name="_Toc12632"/>
      <w:bookmarkStart w:id="225" w:name="_Toc58870198"/>
      <w:bookmarkStart w:id="226" w:name="_Toc59000571"/>
      <w:bookmarkStart w:id="227" w:name="_Toc57041398"/>
      <w:bookmarkStart w:id="228" w:name="_Toc58870124"/>
      <w:bookmarkStart w:id="229" w:name="_Toc59000532"/>
    </w:p>
    <w:p>
      <w:pPr>
        <w:pStyle w:val="2"/>
        <w:rPr>
          <w:rFonts w:ascii="方正小标宋简体" w:hAnsi="仿宋" w:eastAsia="方正小标宋简体" w:cs="黑体"/>
          <w:color w:val="000000" w:themeColor="text1"/>
          <w:sz w:val="36"/>
          <w:szCs w:val="36"/>
        </w:rPr>
      </w:pPr>
    </w:p>
    <w:p>
      <w:pPr>
        <w:rPr>
          <w:rFonts w:ascii="方正小标宋简体" w:hAnsi="仿宋" w:eastAsia="方正小标宋简体" w:cs="黑体"/>
          <w:color w:val="000000" w:themeColor="text1"/>
          <w:sz w:val="36"/>
          <w:szCs w:val="36"/>
        </w:rPr>
      </w:pPr>
    </w:p>
    <w:p>
      <w:pPr>
        <w:pStyle w:val="2"/>
        <w:rPr>
          <w:rFonts w:ascii="方正小标宋简体" w:hAnsi="仿宋" w:eastAsia="方正小标宋简体" w:cs="黑体"/>
          <w:color w:val="000000" w:themeColor="text1"/>
          <w:sz w:val="36"/>
          <w:szCs w:val="36"/>
        </w:rPr>
      </w:pPr>
    </w:p>
    <w:p>
      <w:pPr>
        <w:pStyle w:val="3"/>
        <w:snapToGrid w:val="0"/>
        <w:spacing w:before="312" w:beforeLines="100" w:after="312" w:afterLines="100" w:line="540" w:lineRule="exact"/>
        <w:jc w:val="center"/>
        <w:rPr>
          <w:rFonts w:hint="eastAsia" w:ascii="方正小标宋简体" w:hAnsi="仿宋" w:eastAsia="方正小标宋简体" w:cs="黑体"/>
          <w:b w:val="0"/>
          <w:color w:val="000000" w:themeColor="text1"/>
          <w:sz w:val="32"/>
          <w:szCs w:val="32"/>
        </w:rPr>
      </w:pPr>
      <w:bookmarkStart w:id="230" w:name="_Toc29887"/>
    </w:p>
    <w:p>
      <w:pPr>
        <w:pStyle w:val="3"/>
        <w:snapToGrid w:val="0"/>
        <w:spacing w:before="312" w:beforeLines="100" w:after="312" w:afterLines="100" w:line="540" w:lineRule="exact"/>
        <w:jc w:val="center"/>
        <w:rPr>
          <w:rFonts w:ascii="方正小标宋简体" w:hAnsi="仿宋" w:eastAsia="方正小标宋简体" w:cs="黑体"/>
          <w:b w:val="0"/>
          <w:color w:val="000000" w:themeColor="text1"/>
          <w:sz w:val="44"/>
          <w:szCs w:val="44"/>
        </w:rPr>
      </w:pPr>
      <w:bookmarkStart w:id="231" w:name="_Toc75046881_WPSOffice_Level1"/>
      <w:r>
        <w:rPr>
          <w:rFonts w:hint="eastAsia" w:ascii="方正小标宋简体" w:hAnsi="仿宋" w:eastAsia="方正小标宋简体" w:cs="黑体"/>
          <w:b w:val="0"/>
          <w:color w:val="000000" w:themeColor="text1"/>
          <w:sz w:val="44"/>
          <w:szCs w:val="44"/>
        </w:rPr>
        <w:t>第四章 推动</w:t>
      </w:r>
      <w:r>
        <w:rPr>
          <w:rFonts w:hint="eastAsia" w:ascii="方正小标宋简体" w:hAnsi="仿宋" w:eastAsia="方正小标宋简体" w:cs="黑体"/>
          <w:b w:val="0"/>
          <w:color w:val="000000" w:themeColor="text1"/>
          <w:sz w:val="44"/>
          <w:szCs w:val="44"/>
          <w:lang w:eastAsia="zh-CN"/>
        </w:rPr>
        <w:t>农村牧区一二三产业</w:t>
      </w:r>
      <w:r>
        <w:rPr>
          <w:rFonts w:hint="eastAsia" w:ascii="方正小标宋简体" w:hAnsi="仿宋" w:eastAsia="方正小标宋简体" w:cs="黑体"/>
          <w:b w:val="0"/>
          <w:color w:val="000000" w:themeColor="text1"/>
          <w:sz w:val="44"/>
          <w:szCs w:val="44"/>
        </w:rPr>
        <w:t>融合发展</w:t>
      </w:r>
      <w:bookmarkEnd w:id="221"/>
      <w:bookmarkEnd w:id="222"/>
      <w:bookmarkEnd w:id="223"/>
      <w:bookmarkEnd w:id="224"/>
      <w:bookmarkEnd w:id="230"/>
      <w:bookmarkEnd w:id="231"/>
    </w:p>
    <w:p>
      <w:pPr>
        <w:pageBreakBefore w:val="0"/>
        <w:widowControl w:val="0"/>
        <w:kinsoku/>
        <w:wordWrap/>
        <w:overflowPunct/>
        <w:topLinePunct w:val="0"/>
        <w:autoSpaceDE/>
        <w:autoSpaceDN/>
        <w:bidi w:val="0"/>
        <w:adjustRightInd/>
        <w:snapToGrid/>
        <w:spacing w:line="600" w:lineRule="exact"/>
        <w:ind w:firstLine="640" w:firstLineChars="200"/>
        <w:textAlignment w:val="auto"/>
        <w:rPr>
          <w:rFonts w:ascii="仿宋" w:hAnsi="仿宋" w:eastAsia="仿宋" w:cstheme="minorBidi"/>
          <w:sz w:val="32"/>
          <w:szCs w:val="32"/>
        </w:rPr>
      </w:pPr>
      <w:r>
        <w:rPr>
          <w:rFonts w:ascii="仿宋" w:hAnsi="仿宋" w:eastAsia="仿宋" w:cstheme="minorBidi"/>
          <w:sz w:val="32"/>
          <w:szCs w:val="32"/>
        </w:rPr>
        <w:t>聚焦优势主导产业和产业发展重点</w:t>
      </w:r>
      <w:r>
        <w:rPr>
          <w:rFonts w:hint="eastAsia" w:ascii="仿宋" w:hAnsi="仿宋" w:eastAsia="仿宋" w:cstheme="minorBidi"/>
          <w:sz w:val="32"/>
          <w:szCs w:val="32"/>
          <w:lang w:eastAsia="zh-CN"/>
        </w:rPr>
        <w:t>区域</w:t>
      </w:r>
      <w:r>
        <w:rPr>
          <w:rFonts w:ascii="仿宋" w:hAnsi="仿宋" w:eastAsia="仿宋" w:cstheme="minorBidi"/>
          <w:sz w:val="32"/>
          <w:szCs w:val="32"/>
        </w:rPr>
        <w:t>，以延伸产业链、贯通供应链、提升价值链为目标，将多种形式的适度规模化经营与产业链延伸有机结合，深度推进</w:t>
      </w:r>
      <w:r>
        <w:rPr>
          <w:rFonts w:hint="eastAsia" w:ascii="仿宋" w:hAnsi="仿宋" w:eastAsia="仿宋" w:cstheme="minorBidi"/>
          <w:sz w:val="32"/>
          <w:szCs w:val="32"/>
          <w:lang w:eastAsia="zh-CN"/>
        </w:rPr>
        <w:t>农村牧区</w:t>
      </w:r>
      <w:r>
        <w:rPr>
          <w:rFonts w:ascii="仿宋" w:hAnsi="仿宋" w:eastAsia="仿宋" w:cstheme="minorBidi"/>
          <w:sz w:val="32"/>
          <w:szCs w:val="32"/>
        </w:rPr>
        <w:t>一二三产业融合发展。</w:t>
      </w:r>
    </w:p>
    <w:p>
      <w:pPr>
        <w:pStyle w:val="4"/>
        <w:pageBreakBefore w:val="0"/>
        <w:widowControl w:val="0"/>
        <w:kinsoku/>
        <w:wordWrap/>
        <w:overflowPunct/>
        <w:topLinePunct w:val="0"/>
        <w:autoSpaceDE/>
        <w:autoSpaceDN/>
        <w:bidi w:val="0"/>
        <w:adjustRightInd/>
        <w:snapToGrid/>
        <w:spacing w:before="156" w:beforeLines="50" w:after="156" w:afterLines="50" w:line="600" w:lineRule="exact"/>
        <w:textAlignment w:val="auto"/>
        <w:rPr>
          <w:rFonts w:ascii="Calibri Light" w:hAnsi="Calibri Light" w:cs="Times New Roman"/>
          <w:b w:val="0"/>
          <w:bCs w:val="0"/>
          <w:sz w:val="32"/>
          <w:szCs w:val="36"/>
        </w:rPr>
      </w:pPr>
      <w:bookmarkStart w:id="232" w:name="_Toc13132"/>
      <w:bookmarkStart w:id="233" w:name="_Toc26164"/>
      <w:bookmarkStart w:id="234" w:name="_Toc24979"/>
      <w:bookmarkStart w:id="235" w:name="_Toc1806403098_WPSOffice_Level2"/>
      <w:bookmarkStart w:id="236" w:name="_Toc8622"/>
      <w:r>
        <w:rPr>
          <w:rFonts w:hint="eastAsia" w:ascii="Calibri Light" w:hAnsi="Calibri Light" w:cs="Times New Roman"/>
          <w:b w:val="0"/>
          <w:bCs w:val="0"/>
          <w:sz w:val="32"/>
          <w:szCs w:val="36"/>
        </w:rPr>
        <w:t>第一节 加快推进农牧产业集群发展</w:t>
      </w:r>
      <w:bookmarkEnd w:id="232"/>
      <w:bookmarkEnd w:id="233"/>
      <w:bookmarkEnd w:id="234"/>
      <w:bookmarkEnd w:id="235"/>
      <w:bookmarkEnd w:id="236"/>
    </w:p>
    <w:p>
      <w:pPr>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b w:val="0"/>
          <w:bCs w:val="0"/>
          <w:sz w:val="32"/>
          <w:szCs w:val="32"/>
        </w:rPr>
      </w:pPr>
      <w:r>
        <w:rPr>
          <w:rFonts w:hint="eastAsia" w:ascii="仿宋" w:hAnsi="仿宋" w:eastAsia="仿宋" w:cs="仿宋"/>
          <w:b/>
          <w:bCs/>
          <w:sz w:val="32"/>
          <w:szCs w:val="32"/>
        </w:rPr>
        <w:t>建设优势特色产业集群。</w:t>
      </w:r>
      <w:r>
        <w:rPr>
          <w:rFonts w:hint="eastAsia" w:ascii="仿宋" w:hAnsi="仿宋" w:eastAsia="仿宋" w:cs="仿宋"/>
          <w:b w:val="0"/>
          <w:bCs w:val="0"/>
          <w:sz w:val="32"/>
          <w:szCs w:val="32"/>
        </w:rPr>
        <w:t>以资源禀赋和产业比较优势为基础，突出集群成链，聚集资源要素，做强做优肉羊、肉牛两大优势产业集群，稳步推进奶</w:t>
      </w:r>
      <w:r>
        <w:rPr>
          <w:rFonts w:hint="eastAsia" w:ascii="仿宋" w:hAnsi="仿宋" w:eastAsia="仿宋" w:cs="仿宋"/>
          <w:b w:val="0"/>
          <w:bCs w:val="0"/>
          <w:sz w:val="32"/>
          <w:szCs w:val="32"/>
          <w:lang w:eastAsia="zh-CN"/>
        </w:rPr>
        <w:t>、</w:t>
      </w:r>
      <w:r>
        <w:rPr>
          <w:rFonts w:hint="eastAsia" w:ascii="仿宋" w:hAnsi="仿宋" w:eastAsia="仿宋" w:cs="仿宋"/>
          <w:b w:val="0"/>
          <w:bCs w:val="0"/>
          <w:sz w:val="32"/>
          <w:szCs w:val="32"/>
        </w:rPr>
        <w:t>驼、马、饲草料</w:t>
      </w:r>
      <w:r>
        <w:rPr>
          <w:rFonts w:hint="eastAsia" w:ascii="仿宋" w:hAnsi="仿宋" w:eastAsia="仿宋" w:cs="仿宋"/>
          <w:b w:val="0"/>
          <w:bCs w:val="0"/>
          <w:sz w:val="32"/>
          <w:szCs w:val="32"/>
          <w:lang w:eastAsia="zh-CN"/>
        </w:rPr>
        <w:t>、</w:t>
      </w:r>
      <w:r>
        <w:rPr>
          <w:rFonts w:hint="eastAsia" w:ascii="仿宋" w:hAnsi="仿宋" w:eastAsia="仿宋" w:cs="仿宋"/>
          <w:b w:val="0"/>
          <w:bCs w:val="0"/>
          <w:sz w:val="32"/>
          <w:szCs w:val="32"/>
        </w:rPr>
        <w:t>马铃薯、蔬菜、</w:t>
      </w:r>
      <w:r>
        <w:rPr>
          <w:rFonts w:hint="eastAsia" w:ascii="仿宋" w:hAnsi="仿宋" w:eastAsia="仿宋" w:cs="仿宋"/>
          <w:b w:val="0"/>
          <w:bCs w:val="0"/>
          <w:sz w:val="32"/>
          <w:szCs w:val="32"/>
          <w:lang w:eastAsia="zh-CN"/>
        </w:rPr>
        <w:t>燕麦、油料、杂粮杂豆</w:t>
      </w:r>
      <w:r>
        <w:rPr>
          <w:rFonts w:hint="eastAsia" w:ascii="仿宋" w:hAnsi="仿宋" w:eastAsia="仿宋" w:cs="仿宋"/>
          <w:b w:val="0"/>
          <w:bCs w:val="0"/>
          <w:sz w:val="32"/>
          <w:szCs w:val="32"/>
        </w:rPr>
        <w:t>等特色产业</w:t>
      </w:r>
      <w:r>
        <w:rPr>
          <w:rFonts w:hint="eastAsia" w:ascii="仿宋" w:hAnsi="仿宋" w:eastAsia="仿宋" w:cs="仿宋"/>
          <w:b w:val="0"/>
          <w:bCs w:val="0"/>
          <w:sz w:val="32"/>
          <w:szCs w:val="32"/>
          <w:lang w:eastAsia="zh-CN"/>
        </w:rPr>
        <w:t>集聚</w:t>
      </w:r>
      <w:r>
        <w:rPr>
          <w:rFonts w:hint="eastAsia" w:ascii="仿宋" w:hAnsi="仿宋" w:eastAsia="仿宋" w:cs="仿宋"/>
          <w:b w:val="0"/>
          <w:bCs w:val="0"/>
          <w:sz w:val="32"/>
          <w:szCs w:val="32"/>
        </w:rPr>
        <w:t>发展，着力打造涵盖生产、加工、流通、科技、服务于一体的产业集群</w:t>
      </w:r>
      <w:r>
        <w:rPr>
          <w:rFonts w:hint="eastAsia" w:ascii="仿宋" w:hAnsi="仿宋" w:eastAsia="仿宋" w:cs="仿宋"/>
          <w:b w:val="0"/>
          <w:bCs w:val="0"/>
          <w:sz w:val="32"/>
          <w:szCs w:val="32"/>
          <w:lang w:eastAsia="zh-CN"/>
        </w:rPr>
        <w:t>发展模式</w:t>
      </w:r>
      <w:r>
        <w:rPr>
          <w:rFonts w:hint="eastAsia" w:ascii="仿宋" w:hAnsi="仿宋" w:eastAsia="仿宋" w:cs="仿宋"/>
          <w:b w:val="0"/>
          <w:bCs w:val="0"/>
          <w:sz w:val="32"/>
          <w:szCs w:val="32"/>
        </w:rPr>
        <w:t>。</w:t>
      </w:r>
      <w:r>
        <w:rPr>
          <w:rFonts w:hint="eastAsia" w:ascii="仿宋" w:hAnsi="仿宋" w:eastAsia="仿宋" w:cs="仿宋"/>
          <w:b w:val="0"/>
          <w:bCs w:val="0"/>
          <w:sz w:val="32"/>
          <w:szCs w:val="32"/>
          <w:lang w:eastAsia="zh-CN"/>
        </w:rPr>
        <w:t>优化</w:t>
      </w:r>
      <w:r>
        <w:rPr>
          <w:rFonts w:hint="eastAsia" w:ascii="仿宋" w:hAnsi="仿宋" w:eastAsia="仿宋" w:cs="仿宋"/>
          <w:b w:val="0"/>
          <w:bCs w:val="0"/>
          <w:sz w:val="32"/>
          <w:szCs w:val="32"/>
        </w:rPr>
        <w:t>农畜产品加工园区布局，推动优势特色产业加工流通环节向农村牧区下沉，</w:t>
      </w:r>
      <w:r>
        <w:rPr>
          <w:rFonts w:hint="eastAsia" w:ascii="仿宋" w:hAnsi="仿宋" w:eastAsia="仿宋" w:cs="仿宋"/>
          <w:b w:val="0"/>
          <w:bCs w:val="0"/>
          <w:sz w:val="32"/>
          <w:szCs w:val="32"/>
          <w:lang w:eastAsia="zh-CN"/>
        </w:rPr>
        <w:t>逐步</w:t>
      </w:r>
      <w:r>
        <w:rPr>
          <w:rFonts w:hint="eastAsia" w:ascii="仿宋" w:hAnsi="仿宋" w:eastAsia="仿宋" w:cs="仿宋"/>
          <w:b w:val="0"/>
          <w:bCs w:val="0"/>
          <w:sz w:val="32"/>
          <w:szCs w:val="32"/>
        </w:rPr>
        <w:t>改变加工在城市、原料在农村牧区的状况，将产业增值效益更多的留在县域</w:t>
      </w:r>
      <w:r>
        <w:rPr>
          <w:rFonts w:hint="eastAsia" w:ascii="仿宋" w:hAnsi="仿宋" w:eastAsia="仿宋" w:cs="仿宋"/>
          <w:b w:val="0"/>
          <w:bCs w:val="0"/>
          <w:sz w:val="32"/>
          <w:szCs w:val="32"/>
          <w:lang w:eastAsia="zh-CN"/>
        </w:rPr>
        <w:t>、</w:t>
      </w:r>
      <w:r>
        <w:rPr>
          <w:rFonts w:hint="eastAsia" w:ascii="仿宋" w:hAnsi="仿宋" w:eastAsia="仿宋" w:cs="仿宋"/>
          <w:b w:val="0"/>
          <w:bCs w:val="0"/>
          <w:sz w:val="32"/>
          <w:szCs w:val="32"/>
        </w:rPr>
        <w:t>留给农牧民，促进形成产业规模大、融合层次深、增值幅度高、质量效益好的产业发展新局面。到2025年，力争创建1个国家级产业集群。</w:t>
      </w:r>
    </w:p>
    <w:p>
      <w:pPr>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b w:val="0"/>
          <w:bCs w:val="0"/>
          <w:sz w:val="32"/>
          <w:szCs w:val="32"/>
        </w:rPr>
      </w:pPr>
      <w:bookmarkStart w:id="237" w:name="_Toc25008"/>
      <w:bookmarkStart w:id="238" w:name="_Toc1121"/>
      <w:bookmarkStart w:id="239" w:name="_Toc18904"/>
      <w:bookmarkStart w:id="240" w:name="_Toc16984"/>
      <w:r>
        <w:rPr>
          <w:rFonts w:hint="eastAsia" w:ascii="仿宋" w:hAnsi="仿宋" w:eastAsia="仿宋" w:cs="仿宋"/>
          <w:b/>
          <w:bCs/>
          <w:sz w:val="32"/>
          <w:szCs w:val="32"/>
        </w:rPr>
        <w:t>加强现代农牧业产业园</w:t>
      </w:r>
      <w:r>
        <w:rPr>
          <w:rFonts w:hint="eastAsia" w:ascii="仿宋" w:hAnsi="仿宋" w:eastAsia="仿宋" w:cs="仿宋"/>
          <w:b/>
          <w:bCs/>
          <w:sz w:val="32"/>
          <w:szCs w:val="32"/>
          <w:lang w:eastAsia="zh-CN"/>
        </w:rPr>
        <w:t>创建</w:t>
      </w:r>
      <w:r>
        <w:rPr>
          <w:rFonts w:hint="eastAsia" w:ascii="仿宋" w:hAnsi="仿宋" w:eastAsia="仿宋" w:cs="仿宋"/>
          <w:b/>
          <w:bCs/>
          <w:sz w:val="32"/>
          <w:szCs w:val="32"/>
        </w:rPr>
        <w:t>。</w:t>
      </w:r>
      <w:r>
        <w:rPr>
          <w:rFonts w:hint="eastAsia" w:ascii="仿宋" w:hAnsi="仿宋" w:eastAsia="仿宋" w:cs="仿宋"/>
          <w:b w:val="0"/>
          <w:bCs w:val="0"/>
          <w:sz w:val="32"/>
          <w:szCs w:val="32"/>
        </w:rPr>
        <w:t>聚焦规模化种养基地建设，发挥龙头企业带动作用，促进现代生产要素聚集，支持产业特色优势明显、规划布局科学合理、建设水平区域领先、绿色发展成效突出的地区</w:t>
      </w:r>
      <w:r>
        <w:rPr>
          <w:rFonts w:hint="eastAsia" w:ascii="仿宋" w:hAnsi="仿宋" w:eastAsia="仿宋" w:cs="仿宋"/>
          <w:b w:val="0"/>
          <w:bCs w:val="0"/>
          <w:sz w:val="32"/>
          <w:szCs w:val="32"/>
          <w:lang w:eastAsia="zh-CN"/>
        </w:rPr>
        <w:t>，</w:t>
      </w:r>
      <w:r>
        <w:rPr>
          <w:rFonts w:hint="eastAsia" w:ascii="仿宋" w:hAnsi="仿宋" w:eastAsia="仿宋" w:cs="仿宋"/>
          <w:b w:val="0"/>
          <w:bCs w:val="0"/>
          <w:sz w:val="32"/>
          <w:szCs w:val="32"/>
        </w:rPr>
        <w:t>创建“生产+加工+科技”的现代农牧业产业园</w:t>
      </w:r>
      <w:r>
        <w:rPr>
          <w:rFonts w:hint="eastAsia" w:ascii="仿宋" w:hAnsi="仿宋" w:eastAsia="仿宋" w:cs="仿宋"/>
          <w:b w:val="0"/>
          <w:bCs w:val="0"/>
          <w:sz w:val="32"/>
          <w:szCs w:val="32"/>
          <w:lang w:eastAsia="zh-CN"/>
        </w:rPr>
        <w:t>区</w:t>
      </w:r>
      <w:r>
        <w:rPr>
          <w:rFonts w:hint="eastAsia" w:ascii="仿宋" w:hAnsi="仿宋" w:eastAsia="仿宋" w:cs="仿宋"/>
          <w:b w:val="0"/>
          <w:bCs w:val="0"/>
          <w:sz w:val="32"/>
          <w:szCs w:val="32"/>
        </w:rPr>
        <w:t>。以锡林浩特市自治区现代农牧业产业园创建工作为引领，</w:t>
      </w:r>
      <w:r>
        <w:rPr>
          <w:rFonts w:hint="eastAsia" w:ascii="仿宋" w:hAnsi="仿宋" w:eastAsia="仿宋" w:cs="仿宋"/>
          <w:b w:val="0"/>
          <w:bCs w:val="0"/>
          <w:sz w:val="32"/>
          <w:szCs w:val="32"/>
          <w:lang w:eastAsia="zh-CN"/>
        </w:rPr>
        <w:t>全面推进</w:t>
      </w:r>
      <w:r>
        <w:rPr>
          <w:rFonts w:hint="eastAsia" w:ascii="仿宋" w:hAnsi="仿宋" w:eastAsia="仿宋" w:cs="仿宋"/>
          <w:b w:val="0"/>
          <w:bCs w:val="0"/>
          <w:sz w:val="32"/>
          <w:szCs w:val="32"/>
        </w:rPr>
        <w:t>产业园创建工作，</w:t>
      </w:r>
      <w:r>
        <w:rPr>
          <w:rFonts w:hint="eastAsia" w:ascii="仿宋" w:hAnsi="仿宋" w:eastAsia="仿宋" w:cs="仿宋"/>
          <w:b w:val="0"/>
          <w:bCs w:val="0"/>
          <w:sz w:val="32"/>
          <w:szCs w:val="32"/>
          <w:lang w:eastAsia="zh-CN"/>
        </w:rPr>
        <w:t>努力建设</w:t>
      </w:r>
      <w:r>
        <w:rPr>
          <w:rFonts w:hint="eastAsia" w:ascii="仿宋" w:hAnsi="仿宋" w:eastAsia="仿宋" w:cs="仿宋"/>
          <w:b w:val="0"/>
          <w:bCs w:val="0"/>
          <w:sz w:val="32"/>
          <w:szCs w:val="32"/>
        </w:rPr>
        <w:t>产业特色鲜明、要素高度聚集、设施装备先进、生产方式绿色、辐射带动有力的现代农牧业产业园</w:t>
      </w:r>
      <w:r>
        <w:rPr>
          <w:rFonts w:hint="eastAsia" w:ascii="仿宋" w:hAnsi="仿宋" w:eastAsia="仿宋" w:cs="仿宋"/>
          <w:b w:val="0"/>
          <w:bCs w:val="0"/>
          <w:sz w:val="32"/>
          <w:szCs w:val="32"/>
          <w:lang w:eastAsia="zh-CN"/>
        </w:rPr>
        <w:t>区</w:t>
      </w:r>
      <w:r>
        <w:rPr>
          <w:rFonts w:hint="eastAsia" w:ascii="仿宋" w:hAnsi="仿宋" w:eastAsia="仿宋" w:cs="仿宋"/>
          <w:b w:val="0"/>
          <w:bCs w:val="0"/>
          <w:sz w:val="32"/>
          <w:szCs w:val="32"/>
        </w:rPr>
        <w:t>。到2025年，力争创建2个自治区级现代农牧业产业园。</w:t>
      </w:r>
    </w:p>
    <w:bookmarkEnd w:id="237"/>
    <w:bookmarkEnd w:id="238"/>
    <w:bookmarkEnd w:id="239"/>
    <w:bookmarkEnd w:id="240"/>
    <w:p>
      <w:pPr>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b w:val="0"/>
          <w:bCs w:val="0"/>
          <w:sz w:val="32"/>
          <w:szCs w:val="32"/>
        </w:rPr>
      </w:pPr>
      <w:r>
        <w:rPr>
          <w:rFonts w:hint="eastAsia" w:ascii="仿宋" w:hAnsi="仿宋" w:eastAsia="仿宋" w:cs="仿宋"/>
          <w:b/>
          <w:bCs/>
          <w:sz w:val="32"/>
          <w:szCs w:val="32"/>
        </w:rPr>
        <w:t>推动产业强镇示范建设。</w:t>
      </w:r>
      <w:r>
        <w:rPr>
          <w:rFonts w:hint="eastAsia" w:ascii="仿宋" w:hAnsi="仿宋" w:eastAsia="仿宋" w:cs="仿宋"/>
          <w:b w:val="0"/>
          <w:bCs w:val="0"/>
          <w:sz w:val="32"/>
          <w:szCs w:val="32"/>
        </w:rPr>
        <w:t>聚焦产业发展重点苏木乡镇，引导农牧业产业向优势产业带集聚，向产业聚集区集中，提升产业集聚效应和运行效率。提升生产基地、仓储保</w:t>
      </w:r>
      <w:r>
        <w:rPr>
          <w:rFonts w:hint="eastAsia" w:ascii="仿宋" w:hAnsi="仿宋" w:eastAsia="仿宋" w:cs="仿宋"/>
          <w:b w:val="0"/>
          <w:bCs w:val="0"/>
          <w:sz w:val="32"/>
          <w:szCs w:val="32"/>
          <w:lang w:eastAsia="zh-CN"/>
        </w:rPr>
        <w:t>鲜</w:t>
      </w:r>
      <w:r>
        <w:rPr>
          <w:rFonts w:hint="eastAsia" w:ascii="仿宋" w:hAnsi="仿宋" w:eastAsia="仿宋" w:cs="仿宋"/>
          <w:b w:val="0"/>
          <w:bCs w:val="0"/>
          <w:sz w:val="32"/>
          <w:szCs w:val="32"/>
        </w:rPr>
        <w:t>、加工营销等设施设备水平，打造主导产业突出、一二三产业深度融合、创新创业活跃、产村产城一体的农牧业产业强镇，示范带动农村牧区产业转型升级。到2025年，</w:t>
      </w:r>
      <w:r>
        <w:rPr>
          <w:rFonts w:hint="eastAsia" w:ascii="仿宋" w:hAnsi="仿宋" w:eastAsia="仿宋" w:cs="仿宋"/>
          <w:b w:val="0"/>
          <w:bCs w:val="0"/>
          <w:sz w:val="32"/>
          <w:szCs w:val="32"/>
          <w:lang w:eastAsia="zh-CN"/>
        </w:rPr>
        <w:t>力争</w:t>
      </w:r>
      <w:r>
        <w:rPr>
          <w:rFonts w:hint="eastAsia" w:ascii="仿宋" w:hAnsi="仿宋" w:eastAsia="仿宋" w:cs="仿宋"/>
          <w:b w:val="0"/>
          <w:bCs w:val="0"/>
          <w:sz w:val="32"/>
          <w:szCs w:val="32"/>
        </w:rPr>
        <w:t>创建3个国家级产业强镇。</w:t>
      </w:r>
    </w:p>
    <w:p>
      <w:pPr>
        <w:pStyle w:val="2"/>
        <w:pageBreakBefore w:val="0"/>
        <w:widowControl w:val="0"/>
        <w:kinsoku/>
        <w:wordWrap/>
        <w:overflowPunct/>
        <w:topLinePunct w:val="0"/>
        <w:autoSpaceDE/>
        <w:autoSpaceDN/>
        <w:bidi w:val="0"/>
        <w:adjustRightInd/>
        <w:snapToGrid/>
        <w:spacing w:after="156" w:afterLines="50" w:line="600" w:lineRule="exact"/>
        <w:ind w:firstLine="642"/>
        <w:textAlignment w:val="auto"/>
        <w:rPr>
          <w:rFonts w:ascii="仿宋" w:hAnsi="仿宋" w:eastAsia="仿宋" w:cstheme="minorBidi"/>
          <w:sz w:val="32"/>
        </w:rPr>
      </w:pPr>
      <w:r>
        <w:rPr>
          <w:rFonts w:hint="eastAsia" w:ascii="仿宋" w:hAnsi="仿宋" w:eastAsia="仿宋" w:cs="仿宋"/>
          <w:b/>
          <w:bCs/>
          <w:sz w:val="32"/>
        </w:rPr>
        <w:t>加快重点产业全产业链建设。</w:t>
      </w:r>
      <w:r>
        <w:rPr>
          <w:rFonts w:hint="eastAsia" w:ascii="仿宋" w:hAnsi="仿宋" w:eastAsia="仿宋" w:cs="仿宋"/>
          <w:b w:val="0"/>
          <w:bCs w:val="0"/>
          <w:sz w:val="32"/>
        </w:rPr>
        <w:t>聚焦肉羊、肉牛、奶业、马铃薯等重点产业，找准强链、补链、延链、固链环</w:t>
      </w:r>
      <w:r>
        <w:rPr>
          <w:rFonts w:ascii="仿宋" w:hAnsi="仿宋" w:eastAsia="仿宋" w:cstheme="minorBidi"/>
          <w:sz w:val="32"/>
        </w:rPr>
        <w:t>节，</w:t>
      </w:r>
      <w:r>
        <w:rPr>
          <w:rFonts w:hint="eastAsia" w:ascii="仿宋" w:hAnsi="仿宋" w:eastAsia="仿宋" w:cstheme="minorBidi"/>
          <w:sz w:val="32"/>
          <w:lang w:eastAsia="zh-CN"/>
        </w:rPr>
        <w:t>以</w:t>
      </w:r>
      <w:r>
        <w:rPr>
          <w:rFonts w:hint="eastAsia" w:ascii="仿宋" w:hAnsi="仿宋" w:eastAsia="仿宋" w:cstheme="minorBidi"/>
          <w:sz w:val="32"/>
        </w:rPr>
        <w:t>“链长制”</w:t>
      </w:r>
      <w:r>
        <w:rPr>
          <w:rFonts w:hint="eastAsia" w:ascii="仿宋" w:hAnsi="仿宋" w:eastAsia="仿宋" w:cstheme="minorBidi"/>
          <w:sz w:val="32"/>
          <w:lang w:eastAsia="zh-CN"/>
        </w:rPr>
        <w:t>为抓手，</w:t>
      </w:r>
      <w:r>
        <w:rPr>
          <w:rFonts w:ascii="仿宋" w:hAnsi="仿宋" w:eastAsia="仿宋" w:cstheme="minorBidi"/>
          <w:sz w:val="32"/>
        </w:rPr>
        <w:t>通过搭建平台、激发活力、科技创新和畅通要素等措施，稳步推动重点产业全产业链发展。</w:t>
      </w:r>
      <w:r>
        <w:rPr>
          <w:rFonts w:hint="eastAsia" w:ascii="仿宋" w:hAnsi="仿宋" w:eastAsia="仿宋" w:cstheme="minorBidi"/>
          <w:sz w:val="32"/>
          <w:lang w:eastAsia="zh-CN"/>
        </w:rPr>
        <w:t>发挥</w:t>
      </w:r>
      <w:r>
        <w:rPr>
          <w:rFonts w:ascii="仿宋" w:hAnsi="仿宋" w:eastAsia="仿宋" w:cstheme="minorBidi"/>
          <w:sz w:val="32"/>
        </w:rPr>
        <w:t>以龙头企业为引领的产业化联合体</w:t>
      </w:r>
      <w:r>
        <w:rPr>
          <w:rFonts w:hint="eastAsia" w:ascii="仿宋" w:hAnsi="仿宋" w:eastAsia="仿宋" w:cstheme="minorBidi"/>
          <w:sz w:val="32"/>
          <w:lang w:eastAsia="zh-CN"/>
        </w:rPr>
        <w:t>带动作用</w:t>
      </w:r>
      <w:r>
        <w:rPr>
          <w:rFonts w:ascii="仿宋" w:hAnsi="仿宋" w:eastAsia="仿宋" w:cstheme="minorBidi"/>
          <w:sz w:val="32"/>
        </w:rPr>
        <w:t>，组织育种育苗、生产基地、仓储设施、科研院所、加工流通、产业协会、服务机构、电商平台、融资机构等经营主体，分区域、分产业提炼可复制可推广的建设运营模式，构建现代农牧业全产业链</w:t>
      </w:r>
      <w:r>
        <w:rPr>
          <w:rFonts w:hint="eastAsia" w:ascii="仿宋" w:hAnsi="仿宋" w:eastAsia="仿宋" w:cstheme="minorBidi"/>
          <w:sz w:val="32"/>
          <w:lang w:eastAsia="zh-CN"/>
        </w:rPr>
        <w:t>发展</w:t>
      </w:r>
      <w:r>
        <w:rPr>
          <w:rFonts w:ascii="仿宋" w:hAnsi="仿宋" w:eastAsia="仿宋" w:cstheme="minorBidi"/>
          <w:sz w:val="32"/>
        </w:rPr>
        <w:t>体系。</w:t>
      </w:r>
      <w:bookmarkStart w:id="241" w:name="_Toc60561662"/>
      <w:bookmarkStart w:id="242" w:name="_Toc2013"/>
      <w:bookmarkStart w:id="243" w:name="_Toc22028"/>
      <w:bookmarkStart w:id="244" w:name="_Toc32650"/>
      <w:bookmarkStart w:id="245" w:name="_Toc6631"/>
      <w:bookmarkStart w:id="246" w:name="_Toc59000515"/>
      <w:bookmarkStart w:id="247" w:name="_Toc30397"/>
      <w:bookmarkStart w:id="248" w:name="_Toc58870107"/>
    </w:p>
    <w:p>
      <w:pPr>
        <w:pStyle w:val="2"/>
        <w:pageBreakBefore w:val="0"/>
        <w:widowControl w:val="0"/>
        <w:kinsoku/>
        <w:wordWrap/>
        <w:overflowPunct/>
        <w:topLinePunct w:val="0"/>
        <w:autoSpaceDE/>
        <w:autoSpaceDN/>
        <w:bidi w:val="0"/>
        <w:adjustRightInd/>
        <w:snapToGrid/>
        <w:spacing w:after="156" w:afterLines="50" w:line="600" w:lineRule="exact"/>
        <w:jc w:val="center"/>
        <w:textAlignment w:val="auto"/>
        <w:rPr>
          <w:rFonts w:hint="eastAsia" w:ascii="方正小标宋简体" w:hAnsi="方正小标宋简体" w:eastAsia="方正小标宋简体" w:cs="方正小标宋简体"/>
          <w:b w:val="0"/>
          <w:bCs w:val="0"/>
          <w:sz w:val="32"/>
          <w:szCs w:val="36"/>
        </w:rPr>
      </w:pPr>
      <w:bookmarkStart w:id="249" w:name="_Toc725736920_WPSOffice_Level2"/>
      <w:r>
        <w:rPr>
          <w:rFonts w:hint="eastAsia" w:ascii="方正小标宋简体" w:hAnsi="方正小标宋简体" w:eastAsia="方正小标宋简体" w:cs="方正小标宋简体"/>
          <w:b w:val="0"/>
          <w:bCs w:val="0"/>
          <w:sz w:val="32"/>
          <w:szCs w:val="36"/>
        </w:rPr>
        <w:t>第二节 提升农畜产品加工能力和水平</w:t>
      </w:r>
      <w:bookmarkEnd w:id="241"/>
      <w:bookmarkEnd w:id="242"/>
      <w:bookmarkEnd w:id="243"/>
      <w:bookmarkEnd w:id="244"/>
      <w:bookmarkEnd w:id="245"/>
      <w:bookmarkEnd w:id="249"/>
    </w:p>
    <w:p>
      <w:pPr>
        <w:keepNext w:val="0"/>
        <w:keepLines w:val="0"/>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sz w:val="32"/>
          <w:szCs w:val="32"/>
        </w:rPr>
      </w:pPr>
      <w:r>
        <w:rPr>
          <w:rFonts w:hint="eastAsia" w:ascii="仿宋" w:hAnsi="仿宋" w:eastAsia="仿宋" w:cs="仿宋"/>
          <w:b/>
          <w:bCs/>
          <w:sz w:val="32"/>
          <w:szCs w:val="32"/>
        </w:rPr>
        <w:t>提升农畜产品精深加工水平。</w:t>
      </w:r>
      <w:r>
        <w:rPr>
          <w:rFonts w:hint="eastAsia" w:ascii="仿宋" w:hAnsi="仿宋" w:eastAsia="仿宋" w:cs="仿宋"/>
          <w:sz w:val="32"/>
          <w:szCs w:val="32"/>
        </w:rPr>
        <w:t>发挥锡林郭勒优质特色农畜产品集群优势</w:t>
      </w:r>
      <w:r>
        <w:rPr>
          <w:rFonts w:hint="eastAsia" w:ascii="仿宋" w:hAnsi="仿宋" w:eastAsia="仿宋" w:cs="仿宋"/>
          <w:sz w:val="32"/>
          <w:szCs w:val="32"/>
          <w:lang w:eastAsia="zh-CN"/>
        </w:rPr>
        <w:t>，</w:t>
      </w:r>
      <w:r>
        <w:rPr>
          <w:rFonts w:hint="eastAsia" w:ascii="仿宋" w:hAnsi="仿宋" w:eastAsia="仿宋" w:cs="仿宋"/>
          <w:sz w:val="32"/>
          <w:szCs w:val="32"/>
        </w:rPr>
        <w:t>大力发展农畜产品加工业</w:t>
      </w:r>
      <w:r>
        <w:rPr>
          <w:rFonts w:hint="eastAsia" w:ascii="仿宋" w:hAnsi="仿宋" w:eastAsia="仿宋" w:cs="仿宋"/>
          <w:sz w:val="32"/>
          <w:szCs w:val="32"/>
          <w:lang w:eastAsia="zh-CN"/>
        </w:rPr>
        <w:t>，</w:t>
      </w:r>
      <w:r>
        <w:rPr>
          <w:rFonts w:hint="eastAsia" w:ascii="仿宋" w:hAnsi="仿宋" w:eastAsia="仿宋" w:cs="仿宋"/>
          <w:sz w:val="32"/>
          <w:szCs w:val="32"/>
        </w:rPr>
        <w:t>打造一批绿色农畜产品精深加工产业基地。利用肉、乳、皮、脏器等畜产品资源</w:t>
      </w:r>
      <w:r>
        <w:rPr>
          <w:rFonts w:hint="eastAsia" w:ascii="仿宋" w:hAnsi="仿宋" w:eastAsia="仿宋" w:cs="仿宋"/>
          <w:sz w:val="32"/>
          <w:szCs w:val="32"/>
          <w:lang w:eastAsia="zh-CN"/>
        </w:rPr>
        <w:t>，</w:t>
      </w:r>
      <w:r>
        <w:rPr>
          <w:rFonts w:hint="eastAsia" w:ascii="仿宋" w:hAnsi="仿宋" w:eastAsia="仿宋" w:cs="仿宋"/>
          <w:sz w:val="32"/>
          <w:szCs w:val="32"/>
        </w:rPr>
        <w:t>升级延伸生熟肉类、高端乳品、生物医药、保健食品等产业链。利用绿色农产品资源</w:t>
      </w:r>
      <w:r>
        <w:rPr>
          <w:rFonts w:hint="eastAsia" w:ascii="仿宋" w:hAnsi="仿宋" w:eastAsia="仿宋" w:cs="仿宋"/>
          <w:sz w:val="32"/>
          <w:szCs w:val="32"/>
          <w:lang w:eastAsia="zh-CN"/>
        </w:rPr>
        <w:t>，</w:t>
      </w:r>
      <w:r>
        <w:rPr>
          <w:rFonts w:hint="eastAsia" w:ascii="仿宋" w:hAnsi="仿宋" w:eastAsia="仿宋" w:cs="仿宋"/>
          <w:sz w:val="32"/>
          <w:szCs w:val="32"/>
        </w:rPr>
        <w:t>升级延伸粮食、果蔬、油料、食糖、饲料、药材等精深加工产业链。提高传统奶制品、策格、亚麻籽油等产品的产业化、规模化水平。打造</w:t>
      </w:r>
      <w:r>
        <w:rPr>
          <w:rFonts w:hint="eastAsia" w:ascii="仿宋" w:hAnsi="仿宋" w:eastAsia="仿宋" w:cs="仿宋"/>
          <w:sz w:val="32"/>
          <w:szCs w:val="32"/>
          <w:lang w:eastAsia="zh-CN"/>
        </w:rPr>
        <w:t>以</w:t>
      </w:r>
      <w:r>
        <w:rPr>
          <w:rFonts w:hint="eastAsia" w:ascii="仿宋" w:hAnsi="仿宋" w:eastAsia="仿宋" w:cs="仿宋"/>
          <w:sz w:val="32"/>
          <w:szCs w:val="32"/>
        </w:rPr>
        <w:t>锡林浩特市、阿巴嘎旗、苏尼特左旗、苏尼特右旗、东乌珠穆沁旗、西乌珠穆沁旗等</w:t>
      </w:r>
      <w:r>
        <w:rPr>
          <w:rFonts w:hint="eastAsia" w:ascii="仿宋" w:hAnsi="仿宋" w:eastAsia="仿宋" w:cs="仿宋"/>
          <w:sz w:val="32"/>
          <w:szCs w:val="32"/>
          <w:lang w:eastAsia="zh-CN"/>
        </w:rPr>
        <w:t>地区为重点的</w:t>
      </w:r>
      <w:r>
        <w:rPr>
          <w:rFonts w:hint="eastAsia" w:ascii="仿宋" w:hAnsi="仿宋" w:eastAsia="仿宋" w:cs="仿宋"/>
          <w:sz w:val="32"/>
          <w:szCs w:val="32"/>
        </w:rPr>
        <w:t>牛羊肉加工基地</w:t>
      </w:r>
      <w:r>
        <w:rPr>
          <w:rFonts w:hint="eastAsia" w:ascii="仿宋" w:hAnsi="仿宋" w:eastAsia="仿宋" w:cs="仿宋"/>
          <w:sz w:val="32"/>
          <w:szCs w:val="32"/>
          <w:lang w:eastAsia="zh-CN"/>
        </w:rPr>
        <w:t>，打造以</w:t>
      </w:r>
      <w:r>
        <w:rPr>
          <w:rFonts w:hint="eastAsia" w:ascii="仿宋" w:hAnsi="仿宋" w:eastAsia="仿宋" w:cs="仿宋"/>
          <w:sz w:val="32"/>
          <w:szCs w:val="32"/>
        </w:rPr>
        <w:t>正蓝旗、镶黄旗、正镶白旗、锡林浩特市、阿巴嘎旗等</w:t>
      </w:r>
      <w:r>
        <w:rPr>
          <w:rFonts w:hint="eastAsia" w:ascii="仿宋" w:hAnsi="仿宋" w:eastAsia="仿宋" w:cs="仿宋"/>
          <w:sz w:val="32"/>
          <w:szCs w:val="32"/>
          <w:lang w:eastAsia="zh-CN"/>
        </w:rPr>
        <w:t>地区为重点的</w:t>
      </w:r>
      <w:r>
        <w:rPr>
          <w:rFonts w:hint="eastAsia" w:ascii="仿宋" w:hAnsi="仿宋" w:eastAsia="仿宋" w:cs="仿宋"/>
          <w:sz w:val="32"/>
          <w:szCs w:val="32"/>
        </w:rPr>
        <w:t>传统奶制品加工基地</w:t>
      </w:r>
      <w:r>
        <w:rPr>
          <w:rFonts w:hint="eastAsia" w:ascii="仿宋" w:hAnsi="仿宋" w:eastAsia="仿宋" w:cs="仿宋"/>
          <w:sz w:val="32"/>
          <w:szCs w:val="32"/>
          <w:lang w:eastAsia="zh-CN"/>
        </w:rPr>
        <w:t>，重点在</w:t>
      </w:r>
      <w:r>
        <w:rPr>
          <w:rFonts w:hint="eastAsia" w:ascii="仿宋" w:hAnsi="仿宋" w:eastAsia="仿宋" w:cs="仿宋"/>
          <w:sz w:val="32"/>
          <w:szCs w:val="32"/>
        </w:rPr>
        <w:t>南部农区</w:t>
      </w:r>
      <w:r>
        <w:rPr>
          <w:rFonts w:hint="eastAsia" w:ascii="仿宋" w:hAnsi="仿宋" w:eastAsia="仿宋" w:cs="仿宋"/>
          <w:sz w:val="32"/>
          <w:szCs w:val="32"/>
          <w:lang w:eastAsia="zh-CN"/>
        </w:rPr>
        <w:t>建设</w:t>
      </w:r>
      <w:r>
        <w:rPr>
          <w:rFonts w:hint="eastAsia" w:ascii="仿宋" w:hAnsi="仿宋" w:eastAsia="仿宋" w:cs="仿宋"/>
          <w:sz w:val="32"/>
          <w:szCs w:val="32"/>
        </w:rPr>
        <w:t>甜菜、油料、马铃薯、燕麦、藜麦等特色农产品加工基地。到2025年，全盟农畜产品加工业与农牧业总产值比达到1.8：1，</w:t>
      </w:r>
      <w:r>
        <w:rPr>
          <w:rFonts w:hint="eastAsia" w:ascii="仿宋" w:hAnsi="仿宋" w:eastAsia="仿宋" w:cs="仿宋"/>
          <w:sz w:val="32"/>
          <w:szCs w:val="32"/>
          <w:lang w:eastAsia="zh-CN"/>
        </w:rPr>
        <w:t>主要</w:t>
      </w:r>
      <w:r>
        <w:rPr>
          <w:rFonts w:hint="eastAsia" w:ascii="仿宋" w:hAnsi="仿宋" w:eastAsia="仿宋" w:cs="仿宋"/>
          <w:sz w:val="32"/>
          <w:szCs w:val="32"/>
        </w:rPr>
        <w:t>农畜产品加工转化率达到75%以上。</w:t>
      </w:r>
    </w:p>
    <w:p>
      <w:pPr>
        <w:keepNext w:val="0"/>
        <w:keepLines w:val="0"/>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sz w:val="32"/>
          <w:szCs w:val="32"/>
          <w:lang w:eastAsia="zh-CN"/>
        </w:rPr>
      </w:pPr>
      <w:r>
        <w:rPr>
          <w:rFonts w:hint="eastAsia" w:ascii="仿宋" w:hAnsi="仿宋" w:eastAsia="仿宋" w:cs="仿宋"/>
          <w:b/>
          <w:bCs/>
          <w:sz w:val="32"/>
          <w:szCs w:val="32"/>
          <w:lang w:eastAsia="zh-CN"/>
        </w:rPr>
        <w:t>推动</w:t>
      </w:r>
      <w:r>
        <w:rPr>
          <w:rFonts w:hint="eastAsia" w:ascii="仿宋" w:hAnsi="仿宋" w:eastAsia="仿宋" w:cs="仿宋"/>
          <w:b/>
          <w:bCs/>
          <w:sz w:val="32"/>
          <w:szCs w:val="32"/>
        </w:rPr>
        <w:t>特色乳制品</w:t>
      </w:r>
      <w:r>
        <w:rPr>
          <w:rFonts w:hint="eastAsia" w:ascii="仿宋" w:hAnsi="仿宋" w:eastAsia="仿宋" w:cs="仿宋"/>
          <w:b/>
          <w:bCs/>
          <w:sz w:val="32"/>
          <w:szCs w:val="32"/>
          <w:lang w:eastAsia="zh-CN"/>
        </w:rPr>
        <w:t>产业</w:t>
      </w:r>
      <w:r>
        <w:rPr>
          <w:rFonts w:hint="eastAsia" w:ascii="仿宋" w:hAnsi="仿宋" w:eastAsia="仿宋" w:cs="仿宋"/>
          <w:b/>
          <w:bCs/>
          <w:sz w:val="32"/>
          <w:szCs w:val="32"/>
        </w:rPr>
        <w:t>提档升级。</w:t>
      </w:r>
      <w:r>
        <w:rPr>
          <w:rFonts w:hint="eastAsia" w:ascii="仿宋" w:hAnsi="仿宋" w:eastAsia="仿宋" w:cs="仿宋"/>
          <w:sz w:val="32"/>
          <w:szCs w:val="32"/>
        </w:rPr>
        <w:t>完善地方特色乳制品奶源</w:t>
      </w:r>
      <w:r>
        <w:rPr>
          <w:rFonts w:hint="eastAsia" w:ascii="仿宋" w:hAnsi="仿宋" w:eastAsia="仿宋" w:cs="仿宋"/>
          <w:sz w:val="32"/>
          <w:szCs w:val="32"/>
          <w:lang w:eastAsia="zh-CN"/>
        </w:rPr>
        <w:t>生产</w:t>
      </w:r>
      <w:r>
        <w:rPr>
          <w:rFonts w:hint="eastAsia" w:ascii="仿宋" w:hAnsi="仿宋" w:eastAsia="仿宋" w:cs="仿宋"/>
          <w:sz w:val="32"/>
          <w:szCs w:val="32"/>
        </w:rPr>
        <w:t>、加工工艺、产品标准</w:t>
      </w:r>
      <w:r>
        <w:rPr>
          <w:rFonts w:hint="eastAsia" w:ascii="仿宋" w:hAnsi="仿宋" w:eastAsia="仿宋" w:cs="仿宋"/>
          <w:sz w:val="32"/>
          <w:szCs w:val="32"/>
          <w:lang w:eastAsia="zh-CN"/>
        </w:rPr>
        <w:t>体系</w:t>
      </w:r>
      <w:r>
        <w:rPr>
          <w:rFonts w:hint="eastAsia" w:ascii="仿宋" w:hAnsi="仿宋" w:eastAsia="仿宋" w:cs="仿宋"/>
          <w:sz w:val="32"/>
          <w:szCs w:val="32"/>
        </w:rPr>
        <w:t>和SC认证，促进乳制品</w:t>
      </w:r>
      <w:r>
        <w:rPr>
          <w:rFonts w:hint="eastAsia" w:ascii="仿宋" w:hAnsi="仿宋" w:eastAsia="仿宋" w:cs="仿宋"/>
          <w:sz w:val="32"/>
          <w:szCs w:val="32"/>
          <w:lang w:eastAsia="zh-CN"/>
        </w:rPr>
        <w:t>产业</w:t>
      </w:r>
      <w:r>
        <w:rPr>
          <w:rFonts w:hint="eastAsia" w:ascii="仿宋" w:hAnsi="仿宋" w:eastAsia="仿宋" w:cs="仿宋"/>
          <w:sz w:val="32"/>
          <w:szCs w:val="32"/>
        </w:rPr>
        <w:t>标准</w:t>
      </w:r>
      <w:r>
        <w:rPr>
          <w:rFonts w:hint="eastAsia" w:ascii="仿宋" w:hAnsi="仿宋" w:eastAsia="仿宋" w:cs="仿宋"/>
          <w:sz w:val="32"/>
          <w:szCs w:val="32"/>
          <w:lang w:eastAsia="zh-CN"/>
        </w:rPr>
        <w:t>化、规模化发展</w:t>
      </w:r>
      <w:r>
        <w:rPr>
          <w:rFonts w:hint="eastAsia" w:ascii="仿宋" w:hAnsi="仿宋" w:eastAsia="仿宋" w:cs="仿宋"/>
          <w:sz w:val="32"/>
          <w:szCs w:val="32"/>
        </w:rPr>
        <w:t>。</w:t>
      </w:r>
      <w:r>
        <w:rPr>
          <w:rFonts w:hint="eastAsia" w:ascii="仿宋" w:hAnsi="仿宋" w:eastAsia="仿宋" w:cs="仿宋"/>
          <w:sz w:val="32"/>
          <w:szCs w:val="32"/>
          <w:lang w:eastAsia="zh-CN"/>
        </w:rPr>
        <w:t>加强乳制品</w:t>
      </w:r>
      <w:r>
        <w:rPr>
          <w:rFonts w:hint="eastAsia" w:ascii="仿宋" w:hAnsi="仿宋" w:eastAsia="仿宋" w:cs="仿宋"/>
          <w:sz w:val="32"/>
          <w:szCs w:val="32"/>
        </w:rPr>
        <w:t>营养健康、高端产品</w:t>
      </w:r>
      <w:r>
        <w:rPr>
          <w:rFonts w:hint="eastAsia" w:ascii="仿宋" w:hAnsi="仿宋" w:eastAsia="仿宋" w:cs="仿宋"/>
          <w:sz w:val="32"/>
          <w:szCs w:val="32"/>
          <w:lang w:eastAsia="zh-CN"/>
        </w:rPr>
        <w:t>、质量保障</w:t>
      </w:r>
      <w:r>
        <w:rPr>
          <w:rFonts w:hint="eastAsia" w:ascii="仿宋" w:hAnsi="仿宋" w:eastAsia="仿宋" w:cs="仿宋"/>
          <w:sz w:val="32"/>
          <w:szCs w:val="32"/>
        </w:rPr>
        <w:t>等</w:t>
      </w:r>
      <w:r>
        <w:rPr>
          <w:rFonts w:hint="eastAsia" w:ascii="仿宋" w:hAnsi="仿宋" w:eastAsia="仿宋" w:cs="仿宋"/>
          <w:sz w:val="32"/>
          <w:szCs w:val="32"/>
          <w:lang w:eastAsia="zh-CN"/>
        </w:rPr>
        <w:t>方面</w:t>
      </w:r>
      <w:r>
        <w:rPr>
          <w:rFonts w:hint="eastAsia" w:ascii="仿宋" w:hAnsi="仿宋" w:eastAsia="仿宋" w:cs="仿宋"/>
          <w:sz w:val="32"/>
          <w:szCs w:val="32"/>
        </w:rPr>
        <w:t>研发</w:t>
      </w:r>
      <w:r>
        <w:rPr>
          <w:rFonts w:hint="eastAsia" w:ascii="仿宋" w:hAnsi="仿宋" w:eastAsia="仿宋" w:cs="仿宋"/>
          <w:sz w:val="32"/>
          <w:szCs w:val="32"/>
          <w:lang w:eastAsia="zh-CN"/>
        </w:rPr>
        <w:t>和</w:t>
      </w:r>
      <w:r>
        <w:rPr>
          <w:rFonts w:hint="eastAsia" w:ascii="仿宋" w:hAnsi="仿宋" w:eastAsia="仿宋" w:cs="仿宋"/>
          <w:sz w:val="32"/>
          <w:szCs w:val="32"/>
        </w:rPr>
        <w:t>应用</w:t>
      </w:r>
      <w:r>
        <w:rPr>
          <w:rFonts w:hint="eastAsia" w:ascii="仿宋" w:hAnsi="仿宋" w:eastAsia="仿宋" w:cs="仿宋"/>
          <w:sz w:val="32"/>
          <w:szCs w:val="32"/>
          <w:lang w:eastAsia="zh-CN"/>
        </w:rPr>
        <w:t>，</w:t>
      </w:r>
      <w:r>
        <w:rPr>
          <w:rFonts w:hint="eastAsia" w:ascii="仿宋" w:hAnsi="仿宋" w:eastAsia="仿宋" w:cs="仿宋"/>
          <w:sz w:val="32"/>
          <w:szCs w:val="32"/>
        </w:rPr>
        <w:t>推动乳制品</w:t>
      </w:r>
      <w:r>
        <w:rPr>
          <w:rFonts w:hint="eastAsia" w:ascii="仿宋" w:hAnsi="仿宋" w:eastAsia="仿宋" w:cs="仿宋"/>
          <w:sz w:val="32"/>
          <w:szCs w:val="32"/>
          <w:lang w:eastAsia="zh-CN"/>
        </w:rPr>
        <w:t>产业</w:t>
      </w:r>
      <w:r>
        <w:rPr>
          <w:rFonts w:hint="eastAsia" w:ascii="仿宋" w:hAnsi="仿宋" w:eastAsia="仿宋" w:cs="仿宋"/>
          <w:sz w:val="32"/>
          <w:szCs w:val="32"/>
        </w:rPr>
        <w:t>结构调整优化。开展地方特色乳制品加工标准化改造，支持以传统生产方式为基础</w:t>
      </w:r>
      <w:r>
        <w:rPr>
          <w:rFonts w:hint="eastAsia" w:ascii="仿宋" w:hAnsi="仿宋" w:eastAsia="仿宋" w:cs="仿宋"/>
          <w:sz w:val="32"/>
          <w:szCs w:val="32"/>
          <w:lang w:eastAsia="zh-CN"/>
        </w:rPr>
        <w:t>，利用</w:t>
      </w:r>
      <w:r>
        <w:rPr>
          <w:rFonts w:hint="eastAsia" w:ascii="仿宋" w:hAnsi="仿宋" w:eastAsia="仿宋" w:cs="仿宋"/>
          <w:sz w:val="32"/>
          <w:szCs w:val="32"/>
        </w:rPr>
        <w:t>现代化生产设备进行地方特色乳制品</w:t>
      </w:r>
      <w:r>
        <w:rPr>
          <w:rFonts w:hint="eastAsia" w:ascii="仿宋" w:hAnsi="仿宋" w:eastAsia="仿宋" w:cs="仿宋"/>
          <w:sz w:val="32"/>
          <w:szCs w:val="32"/>
          <w:lang w:eastAsia="zh-CN"/>
        </w:rPr>
        <w:t>企业</w:t>
      </w:r>
      <w:r>
        <w:rPr>
          <w:rFonts w:hint="eastAsia" w:ascii="仿宋" w:hAnsi="仿宋" w:eastAsia="仿宋" w:cs="仿宋"/>
          <w:sz w:val="32"/>
          <w:szCs w:val="32"/>
        </w:rPr>
        <w:t>化生产</w:t>
      </w:r>
      <w:r>
        <w:rPr>
          <w:rFonts w:hint="eastAsia" w:ascii="仿宋" w:hAnsi="仿宋" w:eastAsia="仿宋" w:cs="仿宋"/>
          <w:sz w:val="32"/>
          <w:szCs w:val="32"/>
          <w:lang w:eastAsia="zh-CN"/>
        </w:rPr>
        <w:t>，</w:t>
      </w:r>
      <w:r>
        <w:rPr>
          <w:rFonts w:hint="eastAsia" w:ascii="仿宋" w:hAnsi="仿宋" w:eastAsia="仿宋" w:cs="仿宋"/>
          <w:sz w:val="32"/>
          <w:szCs w:val="32"/>
        </w:rPr>
        <w:t>着力培育一批小而精、小而优、小而强的传统奶制品加工坊。鼓励发展奶酪等干乳制品生产，</w:t>
      </w:r>
      <w:r>
        <w:rPr>
          <w:rFonts w:hint="eastAsia" w:ascii="仿宋" w:hAnsi="仿宋" w:eastAsia="仿宋" w:cs="仿宋"/>
          <w:sz w:val="32"/>
          <w:szCs w:val="32"/>
          <w:lang w:eastAsia="zh-CN"/>
        </w:rPr>
        <w:t>满足多样化市场需求</w:t>
      </w:r>
      <w:r>
        <w:rPr>
          <w:rFonts w:hint="eastAsia" w:ascii="仿宋" w:hAnsi="仿宋" w:eastAsia="仿宋" w:cs="仿宋"/>
          <w:sz w:val="32"/>
          <w:szCs w:val="32"/>
        </w:rPr>
        <w:t>。挖掘马奶、驼奶保健价值，推广策格、驼奶等产品在医药领域的应用，延伸</w:t>
      </w:r>
      <w:r>
        <w:rPr>
          <w:rFonts w:hint="eastAsia" w:ascii="仿宋" w:hAnsi="仿宋" w:eastAsia="仿宋" w:cs="仿宋"/>
          <w:sz w:val="32"/>
          <w:szCs w:val="32"/>
          <w:lang w:eastAsia="zh-CN"/>
        </w:rPr>
        <w:t>加工</w:t>
      </w:r>
      <w:r>
        <w:rPr>
          <w:rFonts w:hint="eastAsia" w:ascii="仿宋" w:hAnsi="仿宋" w:eastAsia="仿宋" w:cs="仿宋"/>
          <w:sz w:val="32"/>
          <w:szCs w:val="32"/>
        </w:rPr>
        <w:t>产业链条、提高附加值。</w:t>
      </w:r>
      <w:r>
        <w:rPr>
          <w:rFonts w:hint="eastAsia" w:ascii="仿宋" w:hAnsi="仿宋" w:eastAsia="仿宋" w:cs="仿宋"/>
          <w:sz w:val="32"/>
          <w:szCs w:val="32"/>
          <w:lang w:eastAsia="zh-CN"/>
        </w:rPr>
        <w:t>到</w:t>
      </w:r>
      <w:r>
        <w:rPr>
          <w:rFonts w:hint="eastAsia" w:ascii="仿宋" w:hAnsi="仿宋" w:eastAsia="仿宋" w:cs="仿宋"/>
          <w:sz w:val="32"/>
          <w:szCs w:val="32"/>
          <w:lang w:val="en-US" w:eastAsia="zh-CN"/>
        </w:rPr>
        <w:t>2025年</w:t>
      </w:r>
      <w:r>
        <w:rPr>
          <w:rFonts w:hint="eastAsia" w:ascii="仿宋" w:hAnsi="仿宋" w:eastAsia="仿宋" w:cs="仿宋"/>
          <w:sz w:val="32"/>
          <w:szCs w:val="32"/>
        </w:rPr>
        <w:t>，创建传统奶制品标准化示范加工坊200家以上</w:t>
      </w:r>
      <w:r>
        <w:rPr>
          <w:rFonts w:hint="eastAsia" w:ascii="仿宋" w:hAnsi="仿宋" w:eastAsia="仿宋" w:cs="仿宋"/>
          <w:sz w:val="32"/>
          <w:szCs w:val="32"/>
          <w:lang w:eastAsia="zh-CN"/>
        </w:rPr>
        <w:t>。</w:t>
      </w:r>
    </w:p>
    <w:p>
      <w:pPr>
        <w:keepNext w:val="0"/>
        <w:keepLines w:val="0"/>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sz w:val="32"/>
          <w:szCs w:val="32"/>
        </w:rPr>
      </w:pPr>
      <w:r>
        <w:rPr>
          <w:rFonts w:hint="eastAsia" w:ascii="仿宋" w:hAnsi="仿宋" w:eastAsia="仿宋" w:cs="仿宋"/>
          <w:b/>
          <w:bCs/>
          <w:sz w:val="32"/>
          <w:szCs w:val="32"/>
        </w:rPr>
        <w:t>加强农畜副产品综合利用。</w:t>
      </w:r>
      <w:r>
        <w:rPr>
          <w:rFonts w:hint="eastAsia" w:ascii="仿宋" w:hAnsi="仿宋" w:eastAsia="仿宋" w:cs="仿宋"/>
          <w:sz w:val="32"/>
          <w:szCs w:val="32"/>
        </w:rPr>
        <w:t>按照集约节约、绿色发展要求，鼓励</w:t>
      </w:r>
      <w:r>
        <w:rPr>
          <w:rFonts w:hint="eastAsia" w:ascii="仿宋" w:hAnsi="仿宋" w:eastAsia="仿宋" w:cs="仿宋"/>
          <w:sz w:val="32"/>
          <w:szCs w:val="32"/>
          <w:lang w:eastAsia="zh-CN"/>
        </w:rPr>
        <w:t>引导</w:t>
      </w:r>
      <w:r>
        <w:rPr>
          <w:rFonts w:hint="eastAsia" w:ascii="仿宋" w:hAnsi="仿宋" w:eastAsia="仿宋" w:cs="仿宋"/>
          <w:sz w:val="32"/>
          <w:szCs w:val="32"/>
        </w:rPr>
        <w:t>农畜产品加工企业开展副产物循环高值梯次利用。加快绒毛、骨、血、脏器等副产物综合利用技术创新，开发新产品、新材料，实现资源多次增值、节能减排。支持龙头企业采取先进的提取、分离与制备技术，加快推进加工副产物综合利用技术研发与示范推广，提升农畜产品综合利用水平。</w:t>
      </w:r>
    </w:p>
    <w:p>
      <w:pPr>
        <w:pStyle w:val="4"/>
        <w:pageBreakBefore w:val="0"/>
        <w:widowControl w:val="0"/>
        <w:kinsoku/>
        <w:wordWrap/>
        <w:overflowPunct/>
        <w:topLinePunct w:val="0"/>
        <w:autoSpaceDE/>
        <w:autoSpaceDN/>
        <w:bidi w:val="0"/>
        <w:adjustRightInd/>
        <w:snapToGrid/>
        <w:spacing w:before="156" w:beforeLines="50" w:after="156" w:afterLines="50" w:line="600" w:lineRule="exact"/>
        <w:textAlignment w:val="auto"/>
        <w:rPr>
          <w:rFonts w:ascii="Calibri Light" w:hAnsi="Calibri Light" w:cs="Times New Roman"/>
          <w:b w:val="0"/>
          <w:bCs w:val="0"/>
          <w:sz w:val="32"/>
          <w:szCs w:val="36"/>
        </w:rPr>
      </w:pPr>
      <w:bookmarkStart w:id="250" w:name="_Toc60561663"/>
      <w:bookmarkStart w:id="251" w:name="_Toc5498"/>
      <w:bookmarkStart w:id="252" w:name="_Toc11956"/>
      <w:bookmarkStart w:id="253" w:name="_Toc25218"/>
      <w:bookmarkStart w:id="254" w:name="_Toc9925"/>
      <w:bookmarkStart w:id="255" w:name="_Toc2023337273_WPSOffice_Level2"/>
      <w:r>
        <w:rPr>
          <w:rFonts w:hint="eastAsia" w:ascii="Calibri Light" w:hAnsi="Calibri Light" w:cs="Times New Roman"/>
          <w:b w:val="0"/>
          <w:bCs w:val="0"/>
          <w:sz w:val="32"/>
          <w:szCs w:val="36"/>
        </w:rPr>
        <w:t>第三节 完善农畜产品流通体系</w:t>
      </w:r>
      <w:bookmarkEnd w:id="246"/>
      <w:bookmarkEnd w:id="247"/>
      <w:bookmarkEnd w:id="248"/>
      <w:bookmarkEnd w:id="250"/>
      <w:bookmarkEnd w:id="251"/>
      <w:bookmarkEnd w:id="252"/>
      <w:bookmarkEnd w:id="253"/>
      <w:bookmarkEnd w:id="254"/>
      <w:bookmarkEnd w:id="255"/>
    </w:p>
    <w:p>
      <w:pPr>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sz w:val="32"/>
          <w:szCs w:val="32"/>
        </w:rPr>
      </w:pPr>
      <w:bookmarkStart w:id="256" w:name="_Toc58870108"/>
      <w:bookmarkStart w:id="257" w:name="_Toc25670"/>
      <w:bookmarkStart w:id="258" w:name="_Toc59000516"/>
      <w:r>
        <w:rPr>
          <w:rFonts w:hint="eastAsia" w:ascii="仿宋" w:hAnsi="仿宋" w:eastAsia="仿宋" w:cs="仿宋"/>
          <w:b/>
          <w:bCs/>
          <w:sz w:val="32"/>
          <w:szCs w:val="32"/>
        </w:rPr>
        <w:t>推进农畜产品产销对接。</w:t>
      </w:r>
      <w:r>
        <w:rPr>
          <w:rFonts w:hint="eastAsia" w:ascii="仿宋" w:hAnsi="仿宋" w:eastAsia="仿宋" w:cs="仿宋"/>
          <w:sz w:val="32"/>
          <w:szCs w:val="32"/>
        </w:rPr>
        <w:t>推动农村牧区商贸流通转型升级，有效解决和避免农畜产品产销对接</w:t>
      </w:r>
      <w:r>
        <w:rPr>
          <w:rFonts w:hint="eastAsia" w:ascii="仿宋" w:hAnsi="仿宋" w:eastAsia="仿宋" w:cs="仿宋"/>
          <w:sz w:val="32"/>
          <w:szCs w:val="32"/>
          <w:lang w:eastAsia="zh-CN"/>
        </w:rPr>
        <w:t>不畅</w:t>
      </w:r>
      <w:r>
        <w:rPr>
          <w:rFonts w:hint="eastAsia" w:ascii="仿宋" w:hAnsi="仿宋" w:eastAsia="仿宋" w:cs="仿宋"/>
          <w:sz w:val="32"/>
          <w:szCs w:val="32"/>
        </w:rPr>
        <w:t>、应急保供</w:t>
      </w:r>
      <w:r>
        <w:rPr>
          <w:rFonts w:hint="eastAsia" w:ascii="仿宋" w:hAnsi="仿宋" w:eastAsia="仿宋" w:cs="仿宋"/>
          <w:sz w:val="32"/>
          <w:szCs w:val="32"/>
          <w:lang w:eastAsia="zh-CN"/>
        </w:rPr>
        <w:t>不稳等</w:t>
      </w:r>
      <w:r>
        <w:rPr>
          <w:rFonts w:hint="eastAsia" w:ascii="仿宋" w:hAnsi="仿宋" w:eastAsia="仿宋" w:cs="仿宋"/>
          <w:sz w:val="32"/>
          <w:szCs w:val="32"/>
        </w:rPr>
        <w:t>问题，减少中间环节，降低流通成本。引导龙头企业、专业合作组织“走出去”，扩大产销对接，激励经营主体在</w:t>
      </w:r>
      <w:r>
        <w:rPr>
          <w:rFonts w:hint="eastAsia" w:ascii="仿宋" w:hAnsi="仿宋" w:eastAsia="仿宋" w:cs="仿宋"/>
          <w:sz w:val="32"/>
          <w:szCs w:val="32"/>
          <w:lang w:eastAsia="zh-CN"/>
        </w:rPr>
        <w:t>区</w:t>
      </w:r>
      <w:r>
        <w:rPr>
          <w:rFonts w:hint="eastAsia" w:ascii="仿宋" w:hAnsi="仿宋" w:eastAsia="仿宋" w:cs="仿宋"/>
          <w:sz w:val="32"/>
          <w:szCs w:val="32"/>
        </w:rPr>
        <w:t>内外重要消费市场建立直销配送网络。支持供销、邮政、快递及各类企业把服务网点向苏木乡镇和嘎查村延伸，建设现代化农畜产品仓储物流体系。支持农畜产品批发（交易）市场和饲草料交易市场建设，</w:t>
      </w:r>
      <w:r>
        <w:rPr>
          <w:rFonts w:hint="eastAsia" w:ascii="仿宋" w:hAnsi="仿宋" w:eastAsia="仿宋" w:cs="仿宋"/>
          <w:sz w:val="32"/>
          <w:szCs w:val="32"/>
          <w:lang w:eastAsia="zh-CN"/>
        </w:rPr>
        <w:t>畅通</w:t>
      </w:r>
      <w:r>
        <w:rPr>
          <w:rFonts w:hint="eastAsia" w:ascii="仿宋" w:hAnsi="仿宋" w:eastAsia="仿宋" w:cs="仿宋"/>
          <w:sz w:val="32"/>
          <w:szCs w:val="32"/>
        </w:rPr>
        <w:t>农畜产品进城、工业品下乡双向物流通道，保障农牧业生产资料供应。</w:t>
      </w:r>
    </w:p>
    <w:bookmarkEnd w:id="256"/>
    <w:bookmarkEnd w:id="257"/>
    <w:bookmarkEnd w:id="258"/>
    <w:p>
      <w:pPr>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sz w:val="32"/>
          <w:szCs w:val="32"/>
        </w:rPr>
      </w:pPr>
      <w:r>
        <w:rPr>
          <w:rFonts w:hint="eastAsia" w:ascii="仿宋" w:hAnsi="仿宋" w:eastAsia="仿宋" w:cs="仿宋"/>
          <w:b/>
          <w:bCs/>
          <w:sz w:val="32"/>
          <w:szCs w:val="32"/>
        </w:rPr>
        <w:t>加快农畜产品冷链物流体系建设。</w:t>
      </w:r>
      <w:r>
        <w:rPr>
          <w:rFonts w:hint="eastAsia" w:ascii="仿宋" w:hAnsi="仿宋" w:eastAsia="仿宋" w:cs="仿宋"/>
          <w:sz w:val="32"/>
          <w:szCs w:val="32"/>
        </w:rPr>
        <w:t>实施农畜产品冷链物流仓储示范基地项目，完善区域性农畜产品产地仓储冷链物流设施，加快农畜产品分拨、包装、预冷等集配装备和分拨仓、前置仓等仓储设施建设。支持苏木乡镇仓储冷链物流设施、嘎查村级仓储保鲜设施和电商服务</w:t>
      </w:r>
      <w:r>
        <w:rPr>
          <w:rFonts w:hint="eastAsia" w:ascii="仿宋" w:hAnsi="仿宋" w:eastAsia="仿宋" w:cs="仿宋"/>
          <w:sz w:val="32"/>
          <w:szCs w:val="32"/>
          <w:lang w:eastAsia="zh-CN"/>
        </w:rPr>
        <w:t>设施</w:t>
      </w:r>
      <w:r>
        <w:rPr>
          <w:rFonts w:hint="eastAsia" w:ascii="仿宋" w:hAnsi="仿宋" w:eastAsia="仿宋" w:cs="仿宋"/>
          <w:sz w:val="32"/>
          <w:szCs w:val="32"/>
        </w:rPr>
        <w:t>建设，依托农畜产品仓储保鲜冷链物流等项目，重点建设一批马铃薯储窖、果蔬储藏库、畜产品保鲜冷链物流等产地初加工设施</w:t>
      </w:r>
      <w:r>
        <w:rPr>
          <w:rFonts w:hint="eastAsia" w:ascii="仿宋" w:hAnsi="仿宋" w:eastAsia="仿宋" w:cs="仿宋"/>
          <w:sz w:val="32"/>
          <w:szCs w:val="32"/>
          <w:lang w:eastAsia="zh-CN"/>
        </w:rPr>
        <w:t>，</w:t>
      </w:r>
      <w:r>
        <w:rPr>
          <w:rFonts w:hint="eastAsia" w:ascii="仿宋" w:hAnsi="仿宋" w:eastAsia="仿宋" w:cs="仿宋"/>
          <w:sz w:val="32"/>
          <w:szCs w:val="32"/>
        </w:rPr>
        <w:t>改善仓储运输条件，实现错峰上市。</w:t>
      </w:r>
      <w:r>
        <w:rPr>
          <w:rFonts w:hint="eastAsia" w:ascii="仿宋" w:hAnsi="仿宋" w:eastAsia="仿宋" w:cs="仿宋"/>
          <w:sz w:val="32"/>
          <w:szCs w:val="32"/>
          <w:lang w:eastAsia="zh-CN"/>
        </w:rPr>
        <w:t>推动</w:t>
      </w:r>
      <w:r>
        <w:rPr>
          <w:rFonts w:hint="eastAsia" w:ascii="仿宋" w:hAnsi="仿宋" w:eastAsia="仿宋" w:cs="仿宋"/>
          <w:sz w:val="32"/>
          <w:szCs w:val="32"/>
        </w:rPr>
        <w:t>航空冷链物流</w:t>
      </w:r>
      <w:r>
        <w:rPr>
          <w:rFonts w:hint="eastAsia" w:ascii="仿宋" w:hAnsi="仿宋" w:eastAsia="仿宋" w:cs="仿宋"/>
          <w:sz w:val="32"/>
          <w:szCs w:val="32"/>
          <w:lang w:eastAsia="zh-CN"/>
        </w:rPr>
        <w:t>体系发展</w:t>
      </w:r>
      <w:r>
        <w:rPr>
          <w:rFonts w:hint="eastAsia" w:ascii="仿宋" w:hAnsi="仿宋" w:eastAsia="仿宋" w:cs="仿宋"/>
          <w:sz w:val="32"/>
          <w:szCs w:val="32"/>
        </w:rPr>
        <w:t>，保障温敏农畜产品航空运输安全，补齐我盟冷链物流短板。</w:t>
      </w:r>
    </w:p>
    <w:p>
      <w:pPr>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sz w:val="32"/>
          <w:szCs w:val="32"/>
        </w:rPr>
      </w:pPr>
      <w:r>
        <w:rPr>
          <w:rFonts w:hint="eastAsia" w:ascii="仿宋" w:hAnsi="仿宋" w:eastAsia="仿宋" w:cs="仿宋"/>
          <w:b/>
          <w:bCs/>
          <w:sz w:val="32"/>
          <w:szCs w:val="32"/>
        </w:rPr>
        <w:t>发展农村牧区电子商务。</w:t>
      </w:r>
      <w:r>
        <w:rPr>
          <w:rFonts w:hint="eastAsia" w:ascii="仿宋" w:hAnsi="仿宋" w:eastAsia="仿宋" w:cs="仿宋"/>
          <w:sz w:val="32"/>
          <w:szCs w:val="32"/>
        </w:rPr>
        <w:t>深入实施电子商务进农村牧区综合示范工程，打造“互联网+流通+服务”新模式，健全农村牧区电商公共服务体系，扩大电子商务农村牧区覆盖面。鼓励各类市场主体创新发展基于互联网的新型农牧业产业模式，开展“数商兴农”，以电商为核心打造上联生产、下联消费的新型农畜产品供应链条。</w:t>
      </w:r>
      <w:r>
        <w:rPr>
          <w:rFonts w:hint="eastAsia" w:ascii="仿宋" w:hAnsi="仿宋" w:eastAsia="仿宋" w:cs="仿宋"/>
          <w:sz w:val="32"/>
          <w:szCs w:val="32"/>
          <w:lang w:eastAsia="zh-CN"/>
        </w:rPr>
        <w:t>积极推广</w:t>
      </w:r>
      <w:r>
        <w:rPr>
          <w:rFonts w:hint="eastAsia" w:ascii="仿宋" w:hAnsi="仿宋" w:eastAsia="仿宋" w:cs="仿宋"/>
          <w:sz w:val="32"/>
          <w:szCs w:val="32"/>
        </w:rPr>
        <w:t>“电商企业+合作社+农牧户”、“电商企业+龙头企业+农牧户”等发展模式，探索政府参与打造带货平台、带货基地等方式，支持网红、直播等新型经营模式发展，鼓励电商企业与农牧户“结对子”</w:t>
      </w:r>
      <w:r>
        <w:rPr>
          <w:rFonts w:hint="eastAsia" w:ascii="仿宋" w:hAnsi="仿宋" w:eastAsia="仿宋" w:cs="仿宋"/>
          <w:sz w:val="32"/>
          <w:szCs w:val="32"/>
          <w:lang w:eastAsia="zh-CN"/>
        </w:rPr>
        <w:t>，</w:t>
      </w:r>
      <w:r>
        <w:rPr>
          <w:rFonts w:hint="eastAsia" w:ascii="仿宋" w:hAnsi="仿宋" w:eastAsia="仿宋" w:cs="仿宋"/>
          <w:sz w:val="32"/>
          <w:szCs w:val="32"/>
        </w:rPr>
        <w:t>让电商在乡村振兴中发挥更大作用。到2025年，基本建成覆盖全盟的电子商务服务支撑体系。</w:t>
      </w:r>
    </w:p>
    <w:p>
      <w:pPr>
        <w:pStyle w:val="4"/>
        <w:pageBreakBefore w:val="0"/>
        <w:widowControl w:val="0"/>
        <w:kinsoku/>
        <w:wordWrap/>
        <w:overflowPunct/>
        <w:topLinePunct w:val="0"/>
        <w:autoSpaceDE/>
        <w:autoSpaceDN/>
        <w:bidi w:val="0"/>
        <w:adjustRightInd/>
        <w:snapToGrid/>
        <w:spacing w:before="156" w:beforeLines="50" w:after="156" w:afterLines="50" w:line="600" w:lineRule="exact"/>
        <w:textAlignment w:val="auto"/>
        <w:rPr>
          <w:rFonts w:ascii="Calibri Light" w:hAnsi="Calibri Light" w:cs="Times New Roman"/>
          <w:b w:val="0"/>
          <w:bCs w:val="0"/>
          <w:sz w:val="32"/>
          <w:szCs w:val="36"/>
        </w:rPr>
      </w:pPr>
      <w:bookmarkStart w:id="259" w:name="_Toc19740"/>
      <w:bookmarkStart w:id="260" w:name="_Toc60561664"/>
      <w:bookmarkStart w:id="261" w:name="_Toc2128170646_WPSOffice_Level2"/>
      <w:bookmarkStart w:id="262" w:name="_Toc58870115"/>
      <w:bookmarkStart w:id="263" w:name="_Toc9996"/>
      <w:bookmarkStart w:id="264" w:name="_Toc59000523"/>
      <w:bookmarkStart w:id="265" w:name="_Toc1761"/>
      <w:bookmarkStart w:id="266" w:name="_Toc17956"/>
      <w:bookmarkStart w:id="267" w:name="_Toc54452251"/>
      <w:bookmarkStart w:id="268" w:name="_Toc13941"/>
      <w:bookmarkStart w:id="269" w:name="_Toc59000519"/>
      <w:bookmarkStart w:id="270" w:name="_Toc58870111"/>
      <w:bookmarkStart w:id="271" w:name="_Toc14314"/>
      <w:bookmarkStart w:id="272" w:name="_Toc54452256"/>
      <w:r>
        <w:rPr>
          <w:rFonts w:hint="eastAsia" w:ascii="Calibri Light" w:hAnsi="Calibri Light" w:cs="Times New Roman"/>
          <w:b w:val="0"/>
          <w:bCs w:val="0"/>
          <w:sz w:val="32"/>
          <w:szCs w:val="36"/>
        </w:rPr>
        <w:t>第四节 发展农村牧区休闲旅游</w:t>
      </w:r>
      <w:bookmarkEnd w:id="259"/>
      <w:bookmarkEnd w:id="260"/>
      <w:bookmarkEnd w:id="261"/>
      <w:bookmarkEnd w:id="262"/>
      <w:bookmarkEnd w:id="263"/>
      <w:bookmarkEnd w:id="264"/>
      <w:bookmarkEnd w:id="265"/>
      <w:bookmarkEnd w:id="266"/>
    </w:p>
    <w:p>
      <w:pPr>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sz w:val="32"/>
          <w:szCs w:val="32"/>
        </w:rPr>
      </w:pPr>
      <w:r>
        <w:rPr>
          <w:rFonts w:hint="eastAsia" w:ascii="仿宋" w:hAnsi="仿宋" w:eastAsia="仿宋" w:cs="仿宋"/>
          <w:b/>
          <w:bCs/>
          <w:sz w:val="32"/>
          <w:szCs w:val="32"/>
        </w:rPr>
        <w:t>优化农村牧区休闲旅游布局。</w:t>
      </w:r>
      <w:r>
        <w:rPr>
          <w:rFonts w:hint="eastAsia" w:ascii="仿宋" w:hAnsi="仿宋" w:eastAsia="仿宋" w:cs="仿宋"/>
          <w:sz w:val="32"/>
          <w:szCs w:val="32"/>
        </w:rPr>
        <w:t>依托锡林郭勒千里草原风景大道线路产品，打破行政区域壁垒，鼓励旗县市（区）互联互通，构建“一区、一线、两都、四片区、四环线、九组团”的总体空间布局结构，发展农村牧区休闲旅游。依托都市农牧业生产生态资源和城郊区位优势，发展农牧业生产体验、科普教育、健康养生等旅游业态</w:t>
      </w:r>
      <w:r>
        <w:rPr>
          <w:rFonts w:hint="eastAsia" w:ascii="仿宋" w:hAnsi="仿宋" w:eastAsia="仿宋" w:cs="仿宋"/>
          <w:sz w:val="32"/>
          <w:szCs w:val="32"/>
          <w:lang w:eastAsia="zh-CN"/>
        </w:rPr>
        <w:t>。依托优质自然资源</w:t>
      </w:r>
      <w:r>
        <w:rPr>
          <w:rFonts w:hint="eastAsia" w:ascii="仿宋" w:hAnsi="仿宋" w:eastAsia="仿宋" w:cs="仿宋"/>
          <w:sz w:val="32"/>
          <w:szCs w:val="32"/>
        </w:rPr>
        <w:t>，加快形成一批高质量、精品化的旅游</w:t>
      </w:r>
      <w:r>
        <w:rPr>
          <w:rFonts w:hint="eastAsia" w:ascii="仿宋" w:hAnsi="仿宋" w:eastAsia="仿宋" w:cs="仿宋"/>
          <w:sz w:val="32"/>
          <w:szCs w:val="32"/>
          <w:lang w:eastAsia="zh-CN"/>
        </w:rPr>
        <w:t>农</w:t>
      </w:r>
      <w:r>
        <w:rPr>
          <w:rFonts w:hint="eastAsia" w:ascii="仿宋" w:hAnsi="仿宋" w:eastAsia="仿宋" w:cs="仿宋"/>
          <w:sz w:val="32"/>
          <w:szCs w:val="32"/>
        </w:rPr>
        <w:t>牧场，实现与景区功能互补，建设农村牧区特色休闲旅游功能区。</w:t>
      </w:r>
    </w:p>
    <w:p>
      <w:pPr>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sz w:val="32"/>
          <w:szCs w:val="32"/>
          <w:lang w:eastAsia="zh-CN"/>
        </w:rPr>
      </w:pPr>
      <w:r>
        <w:rPr>
          <w:rFonts w:hint="eastAsia" w:ascii="仿宋" w:hAnsi="仿宋" w:eastAsia="仿宋" w:cs="仿宋"/>
          <w:b/>
          <w:bCs/>
          <w:sz w:val="32"/>
          <w:szCs w:val="32"/>
        </w:rPr>
        <w:t>实施农村牧区休闲旅游精品工程。</w:t>
      </w:r>
      <w:r>
        <w:rPr>
          <w:rFonts w:hint="eastAsia" w:ascii="仿宋" w:hAnsi="仿宋" w:eastAsia="仿宋" w:cs="仿宋"/>
          <w:sz w:val="32"/>
          <w:szCs w:val="32"/>
          <w:lang w:eastAsia="zh-CN"/>
        </w:rPr>
        <w:t>发挥</w:t>
      </w:r>
      <w:r>
        <w:rPr>
          <w:rFonts w:hint="eastAsia" w:ascii="仿宋" w:hAnsi="仿宋" w:eastAsia="仿宋" w:cs="仿宋"/>
          <w:sz w:val="32"/>
          <w:szCs w:val="32"/>
        </w:rPr>
        <w:t>重点文化旅游产业项目带动</w:t>
      </w:r>
      <w:r>
        <w:rPr>
          <w:rFonts w:hint="eastAsia" w:ascii="仿宋" w:hAnsi="仿宋" w:eastAsia="仿宋" w:cs="仿宋"/>
          <w:sz w:val="32"/>
          <w:szCs w:val="32"/>
          <w:lang w:eastAsia="zh-CN"/>
        </w:rPr>
        <w:t>作用</w:t>
      </w:r>
      <w:r>
        <w:rPr>
          <w:rFonts w:hint="eastAsia" w:ascii="仿宋" w:hAnsi="仿宋" w:eastAsia="仿宋" w:cs="仿宋"/>
          <w:sz w:val="32"/>
          <w:szCs w:val="32"/>
        </w:rPr>
        <w:t>，加强规划引领，全力创建全域旅游示范区。依托草原畜牧业、特色种养殖、民俗风情等资源优势，着力推进产村融合发展，建设一批设施完备、业态丰富、功能完善</w:t>
      </w:r>
      <w:r>
        <w:rPr>
          <w:rFonts w:hint="eastAsia" w:ascii="仿宋" w:hAnsi="仿宋" w:eastAsia="仿宋" w:cs="仿宋"/>
          <w:sz w:val="32"/>
          <w:szCs w:val="32"/>
          <w:lang w:eastAsia="zh-CN"/>
        </w:rPr>
        <w:t>、</w:t>
      </w:r>
      <w:r>
        <w:rPr>
          <w:rFonts w:hint="eastAsia" w:ascii="仿宋" w:hAnsi="仿宋" w:eastAsia="仿宋" w:cs="仿宋"/>
          <w:sz w:val="32"/>
          <w:szCs w:val="32"/>
        </w:rPr>
        <w:t>知名度</w:t>
      </w:r>
      <w:r>
        <w:rPr>
          <w:rFonts w:hint="eastAsia" w:ascii="仿宋" w:hAnsi="仿宋" w:eastAsia="仿宋" w:cs="仿宋"/>
          <w:sz w:val="32"/>
          <w:szCs w:val="32"/>
          <w:lang w:eastAsia="zh-CN"/>
        </w:rPr>
        <w:t>高</w:t>
      </w:r>
      <w:r>
        <w:rPr>
          <w:rFonts w:hint="eastAsia" w:ascii="仿宋" w:hAnsi="仿宋" w:eastAsia="仿宋" w:cs="仿宋"/>
          <w:sz w:val="32"/>
          <w:szCs w:val="32"/>
        </w:rPr>
        <w:t>和影响力</w:t>
      </w:r>
      <w:r>
        <w:rPr>
          <w:rFonts w:hint="eastAsia" w:ascii="仿宋" w:hAnsi="仿宋" w:eastAsia="仿宋" w:cs="仿宋"/>
          <w:sz w:val="32"/>
          <w:szCs w:val="32"/>
          <w:lang w:eastAsia="zh-CN"/>
        </w:rPr>
        <w:t>强</w:t>
      </w:r>
      <w:r>
        <w:rPr>
          <w:rFonts w:hint="eastAsia" w:ascii="仿宋" w:hAnsi="仿宋" w:eastAsia="仿宋" w:cs="仿宋"/>
          <w:sz w:val="32"/>
          <w:szCs w:val="32"/>
        </w:rPr>
        <w:t>的休闲旅游</w:t>
      </w:r>
      <w:r>
        <w:rPr>
          <w:rFonts w:hint="eastAsia" w:ascii="仿宋" w:hAnsi="仿宋" w:eastAsia="仿宋" w:cs="仿宋"/>
          <w:sz w:val="32"/>
          <w:szCs w:val="32"/>
          <w:lang w:eastAsia="zh-CN"/>
        </w:rPr>
        <w:t>重点村镇</w:t>
      </w:r>
      <w:r>
        <w:rPr>
          <w:rFonts w:hint="eastAsia" w:ascii="仿宋" w:hAnsi="仿宋" w:eastAsia="仿宋" w:cs="仿宋"/>
          <w:sz w:val="32"/>
          <w:szCs w:val="32"/>
        </w:rPr>
        <w:t>。打造休闲旅游精品线路，根据休闲旅游消费升级需要，推介一批视觉美丽、体验美妙、内涵美好的农村牧区休闲旅游精品线路。</w:t>
      </w:r>
    </w:p>
    <w:p>
      <w:pPr>
        <w:pageBreakBefore w:val="0"/>
        <w:widowControl w:val="0"/>
        <w:kinsoku/>
        <w:wordWrap/>
        <w:overflowPunct/>
        <w:topLinePunct w:val="0"/>
        <w:autoSpaceDE/>
        <w:autoSpaceDN/>
        <w:bidi w:val="0"/>
        <w:adjustRightInd/>
        <w:snapToGrid/>
        <w:spacing w:after="156" w:afterLines="50" w:line="600" w:lineRule="exact"/>
        <w:ind w:firstLine="643" w:firstLineChars="200"/>
        <w:textAlignment w:val="auto"/>
        <w:rPr>
          <w:rFonts w:hint="eastAsia" w:ascii="仿宋" w:hAnsi="仿宋" w:eastAsia="仿宋" w:cs="仿宋"/>
          <w:sz w:val="32"/>
          <w:szCs w:val="32"/>
        </w:rPr>
      </w:pPr>
      <w:r>
        <w:rPr>
          <w:rFonts w:hint="eastAsia" w:ascii="仿宋" w:hAnsi="仿宋" w:eastAsia="仿宋" w:cs="仿宋"/>
          <w:b/>
          <w:bCs/>
          <w:sz w:val="32"/>
          <w:szCs w:val="32"/>
        </w:rPr>
        <w:t>提升农村牧区休闲旅游品质。</w:t>
      </w:r>
      <w:r>
        <w:rPr>
          <w:rFonts w:hint="eastAsia" w:ascii="仿宋" w:hAnsi="仿宋" w:eastAsia="仿宋" w:cs="仿宋"/>
          <w:sz w:val="32"/>
          <w:szCs w:val="32"/>
        </w:rPr>
        <w:t>开发特色资源，发掘农牧业多种功能和农村牧区多重价值，发展特色突出、主题鲜明的农村牧区休闲旅游项目。坚持个性化、特色化发展方向，依托太仆寺旗御马苑景区、多伦湖景区、元上都遗址旅游区、蒙古汗城景区、乌拉盖九曲</w:t>
      </w:r>
      <w:r>
        <w:rPr>
          <w:rFonts w:hint="eastAsia" w:ascii="仿宋" w:hAnsi="仿宋" w:eastAsia="仿宋" w:cs="仿宋"/>
          <w:sz w:val="32"/>
          <w:szCs w:val="32"/>
          <w:lang w:eastAsia="zh-CN"/>
        </w:rPr>
        <w:t>弯</w:t>
      </w:r>
      <w:r>
        <w:rPr>
          <w:rFonts w:hint="eastAsia" w:ascii="仿宋" w:hAnsi="仿宋" w:eastAsia="仿宋" w:cs="仿宋"/>
          <w:sz w:val="32"/>
          <w:szCs w:val="32"/>
        </w:rPr>
        <w:t>等旅游景区，开发田园养生、研学科普、农耕体验、休闲垂钓、民宿康养等休闲农牧业。完善配套设施，加强农村牧区休闲旅游地区水、电、路、讯、网等设施建设，改善餐饮、住宿、休闲、体验、购物、停车等设施条件。加强部门联动，</w:t>
      </w:r>
      <w:r>
        <w:rPr>
          <w:rFonts w:hint="eastAsia" w:ascii="仿宋" w:hAnsi="仿宋" w:eastAsia="仿宋" w:cs="仿宋"/>
          <w:sz w:val="32"/>
          <w:szCs w:val="32"/>
          <w:lang w:eastAsia="zh-CN"/>
        </w:rPr>
        <w:t>强化</w:t>
      </w:r>
      <w:r>
        <w:rPr>
          <w:rFonts w:hint="eastAsia" w:ascii="仿宋" w:hAnsi="仿宋" w:eastAsia="仿宋" w:cs="仿宋"/>
          <w:sz w:val="32"/>
          <w:szCs w:val="32"/>
        </w:rPr>
        <w:t>监管责任，提升卫生安全</w:t>
      </w:r>
      <w:r>
        <w:rPr>
          <w:rFonts w:hint="eastAsia" w:ascii="仿宋" w:hAnsi="仿宋" w:eastAsia="仿宋" w:cs="仿宋"/>
          <w:sz w:val="32"/>
          <w:szCs w:val="32"/>
          <w:lang w:eastAsia="zh-CN"/>
        </w:rPr>
        <w:t>、</w:t>
      </w:r>
      <w:r>
        <w:rPr>
          <w:rFonts w:hint="eastAsia" w:ascii="仿宋" w:hAnsi="仿宋" w:eastAsia="仿宋" w:cs="仿宋"/>
          <w:sz w:val="32"/>
          <w:szCs w:val="32"/>
        </w:rPr>
        <w:t>食品安全等公共管理服务水平。</w:t>
      </w:r>
      <w:bookmarkStart w:id="273" w:name="_Toc60561666"/>
      <w:bookmarkStart w:id="274" w:name="_Toc22225"/>
      <w:bookmarkStart w:id="275" w:name="_Toc1991"/>
      <w:bookmarkStart w:id="276" w:name="_Toc1603"/>
      <w:bookmarkStart w:id="277" w:name="_Toc10188"/>
      <w:bookmarkStart w:id="278" w:name="_Toc1158793739_WPSOffice_Level2"/>
    </w:p>
    <w:p>
      <w:pPr>
        <w:pageBreakBefore w:val="0"/>
        <w:widowControl w:val="0"/>
        <w:kinsoku/>
        <w:wordWrap/>
        <w:overflowPunct/>
        <w:topLinePunct w:val="0"/>
        <w:autoSpaceDE/>
        <w:autoSpaceDN/>
        <w:bidi w:val="0"/>
        <w:adjustRightInd/>
        <w:snapToGrid/>
        <w:spacing w:after="156" w:afterLines="50" w:line="600" w:lineRule="exact"/>
        <w:jc w:val="center"/>
        <w:textAlignment w:val="auto"/>
        <w:rPr>
          <w:rFonts w:hint="eastAsia" w:ascii="黑体" w:hAnsi="黑体" w:eastAsia="黑体" w:cs="黑体"/>
          <w:b w:val="0"/>
          <w:bCs w:val="0"/>
          <w:sz w:val="32"/>
          <w:szCs w:val="32"/>
        </w:rPr>
      </w:pPr>
      <w:r>
        <w:rPr>
          <w:rFonts w:hint="eastAsia" w:ascii="黑体" w:hAnsi="黑体" w:eastAsia="黑体" w:cs="黑体"/>
          <w:b w:val="0"/>
          <w:bCs w:val="0"/>
          <w:sz w:val="32"/>
          <w:szCs w:val="32"/>
        </w:rPr>
        <w:t xml:space="preserve">第五节 </w:t>
      </w:r>
      <w:bookmarkEnd w:id="267"/>
      <w:r>
        <w:rPr>
          <w:rFonts w:hint="eastAsia" w:ascii="黑体" w:hAnsi="黑体" w:eastAsia="黑体" w:cs="黑体"/>
          <w:b w:val="0"/>
          <w:bCs w:val="0"/>
          <w:sz w:val="32"/>
          <w:szCs w:val="32"/>
        </w:rPr>
        <w:t>培育农畜产品区域公用品牌</w:t>
      </w:r>
      <w:bookmarkEnd w:id="268"/>
      <w:bookmarkEnd w:id="269"/>
      <w:bookmarkEnd w:id="270"/>
      <w:bookmarkEnd w:id="273"/>
      <w:bookmarkEnd w:id="274"/>
      <w:bookmarkEnd w:id="275"/>
      <w:bookmarkEnd w:id="276"/>
      <w:bookmarkEnd w:id="277"/>
      <w:bookmarkEnd w:id="278"/>
    </w:p>
    <w:bookmarkEnd w:id="271"/>
    <w:bookmarkEnd w:id="272"/>
    <w:p>
      <w:pPr>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sz w:val="32"/>
          <w:szCs w:val="32"/>
        </w:rPr>
      </w:pPr>
      <w:r>
        <w:rPr>
          <w:rFonts w:hint="eastAsia" w:ascii="仿宋" w:hAnsi="仿宋" w:eastAsia="仿宋" w:cs="仿宋"/>
          <w:b/>
          <w:bCs/>
          <w:sz w:val="32"/>
          <w:szCs w:val="32"/>
        </w:rPr>
        <w:t>加强区域公用品牌顶层设计。</w:t>
      </w:r>
      <w:r>
        <w:rPr>
          <w:rFonts w:hint="eastAsia" w:ascii="仿宋" w:hAnsi="仿宋" w:eastAsia="仿宋" w:cs="仿宋"/>
          <w:sz w:val="32"/>
          <w:szCs w:val="32"/>
          <w:lang w:eastAsia="zh-CN"/>
        </w:rPr>
        <w:t>强化</w:t>
      </w:r>
      <w:r>
        <w:rPr>
          <w:rFonts w:hint="eastAsia" w:ascii="仿宋" w:hAnsi="仿宋" w:eastAsia="仿宋" w:cs="仿宋"/>
          <w:sz w:val="32"/>
          <w:szCs w:val="32"/>
        </w:rPr>
        <w:t>农畜产品区域公用品牌培育工作，</w:t>
      </w:r>
      <w:r>
        <w:rPr>
          <w:rFonts w:hint="eastAsia" w:ascii="仿宋" w:hAnsi="仿宋" w:eastAsia="仿宋" w:cs="仿宋"/>
          <w:sz w:val="32"/>
          <w:szCs w:val="32"/>
          <w:lang w:eastAsia="zh-CN"/>
        </w:rPr>
        <w:t>突出</w:t>
      </w:r>
      <w:r>
        <w:rPr>
          <w:rFonts w:hint="eastAsia" w:ascii="仿宋" w:hAnsi="仿宋" w:eastAsia="仿宋" w:cs="仿宋"/>
          <w:sz w:val="32"/>
          <w:szCs w:val="32"/>
        </w:rPr>
        <w:t>顶层规划，立足资源禀赋，以市场为导向，重点扶持优势产业，以区域公用品牌为引领，带动品牌产业链</w:t>
      </w:r>
      <w:r>
        <w:rPr>
          <w:rFonts w:hint="eastAsia" w:ascii="仿宋" w:hAnsi="仿宋" w:eastAsia="仿宋" w:cs="仿宋"/>
          <w:sz w:val="32"/>
          <w:szCs w:val="32"/>
          <w:lang w:eastAsia="zh-CN"/>
        </w:rPr>
        <w:t>条</w:t>
      </w:r>
      <w:r>
        <w:rPr>
          <w:rFonts w:hint="eastAsia" w:ascii="仿宋" w:hAnsi="仿宋" w:eastAsia="仿宋" w:cs="仿宋"/>
          <w:sz w:val="32"/>
          <w:szCs w:val="32"/>
        </w:rPr>
        <w:t>各利益主体共同提效增收。通过专业机构制定各区域公用品牌发展战略规划，理顺公用品牌与企业品牌关系，突出重点、集中力量</w:t>
      </w:r>
      <w:r>
        <w:rPr>
          <w:rFonts w:hint="eastAsia" w:ascii="仿宋" w:hAnsi="仿宋" w:eastAsia="仿宋" w:cs="仿宋"/>
          <w:sz w:val="32"/>
          <w:szCs w:val="32"/>
          <w:lang w:eastAsia="zh-CN"/>
        </w:rPr>
        <w:t>，稳</w:t>
      </w:r>
      <w:r>
        <w:rPr>
          <w:rFonts w:hint="eastAsia" w:ascii="仿宋" w:hAnsi="仿宋" w:eastAsia="仿宋" w:cs="仿宋"/>
          <w:sz w:val="32"/>
          <w:szCs w:val="32"/>
        </w:rPr>
        <w:t>步推进区域公用品牌建设</w:t>
      </w:r>
      <w:r>
        <w:rPr>
          <w:rFonts w:hint="eastAsia" w:ascii="仿宋" w:hAnsi="仿宋" w:eastAsia="仿宋" w:cs="仿宋"/>
          <w:sz w:val="32"/>
          <w:szCs w:val="32"/>
          <w:lang w:eastAsia="zh-CN"/>
        </w:rPr>
        <w:t>工作</w:t>
      </w:r>
      <w:r>
        <w:rPr>
          <w:rFonts w:hint="eastAsia" w:ascii="仿宋" w:hAnsi="仿宋" w:eastAsia="仿宋" w:cs="仿宋"/>
          <w:sz w:val="32"/>
          <w:szCs w:val="32"/>
        </w:rPr>
        <w:t>。</w:t>
      </w:r>
    </w:p>
    <w:p>
      <w:pPr>
        <w:pStyle w:val="2"/>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sz w:val="32"/>
        </w:rPr>
      </w:pPr>
      <w:r>
        <w:rPr>
          <w:rFonts w:hint="eastAsia" w:ascii="仿宋" w:hAnsi="仿宋" w:eastAsia="仿宋" w:cs="仿宋"/>
          <w:b/>
          <w:bCs/>
          <w:sz w:val="32"/>
        </w:rPr>
        <w:t>打造核心产业品牌。</w:t>
      </w:r>
      <w:r>
        <w:rPr>
          <w:rFonts w:hint="eastAsia" w:ascii="仿宋" w:hAnsi="仿宋" w:eastAsia="仿宋" w:cs="仿宋"/>
          <w:sz w:val="32"/>
        </w:rPr>
        <w:t>落实《锡林郭勒羊区域公用品牌建设三年行动方案（2021-2023年）》要求，全面推进锡林郭勒羊区域公用品牌建设运营，抓好品质管控、品牌宣传、渠道建设各项工作，</w:t>
      </w:r>
      <w:r>
        <w:rPr>
          <w:rFonts w:hint="eastAsia" w:ascii="仿宋" w:hAnsi="仿宋" w:eastAsia="仿宋" w:cs="仿宋"/>
          <w:sz w:val="32"/>
          <w:lang w:eastAsia="zh-CN"/>
        </w:rPr>
        <w:t>通过</w:t>
      </w:r>
      <w:r>
        <w:rPr>
          <w:rFonts w:hint="eastAsia" w:ascii="仿宋" w:hAnsi="仿宋" w:eastAsia="仿宋" w:cs="仿宋"/>
          <w:sz w:val="32"/>
        </w:rPr>
        <w:t>提升锡林郭勒羊品牌知名度和影响力，推动肉羊产业链向下游延伸</w:t>
      </w:r>
      <w:r>
        <w:rPr>
          <w:rFonts w:hint="eastAsia" w:ascii="仿宋" w:hAnsi="仿宋" w:eastAsia="仿宋" w:cs="仿宋"/>
          <w:sz w:val="32"/>
          <w:lang w:eastAsia="zh-CN"/>
        </w:rPr>
        <w:t>、</w:t>
      </w:r>
      <w:r>
        <w:rPr>
          <w:rFonts w:hint="eastAsia" w:ascii="仿宋" w:hAnsi="仿宋" w:eastAsia="仿宋" w:cs="仿宋"/>
          <w:sz w:val="32"/>
        </w:rPr>
        <w:t>价值链向中高端攀升。稳步推进锡林郭勒牛区域公用品牌建设，加强“华西牛”新品种培育与“草原安格斯”、“草原夏洛莱”等新品系培育，积极打造以西门塔尔牛为主的中高端消费市场，以安格斯肉牛为主的高端消费市场。打造“锡林郭勒奶酪”区域公用品牌，开展锡林郭勒奶酪地理标志证明商标申报注册，制定实施品牌使用管理办法，做好品牌运营管理。鼓励支持开展阿巴嘎策格、苏尼特双峰驼、太仆寺旗藜麦等县域农畜产品区域公用品牌建设。到2025年，锡林郭勒农畜产品品牌效应显著提升</w:t>
      </w:r>
      <w:r>
        <w:rPr>
          <w:rFonts w:hint="eastAsia" w:ascii="仿宋" w:hAnsi="仿宋" w:eastAsia="仿宋" w:cs="仿宋"/>
          <w:sz w:val="32"/>
          <w:lang w:eastAsia="zh-CN"/>
        </w:rPr>
        <w:t>，</w:t>
      </w:r>
      <w:r>
        <w:rPr>
          <w:rFonts w:hint="eastAsia" w:ascii="仿宋" w:hAnsi="仿宋" w:eastAsia="仿宋" w:cs="仿宋"/>
          <w:sz w:val="32"/>
        </w:rPr>
        <w:t>培育有较高知名度的农畜产品区域公用品牌3个以上。</w:t>
      </w:r>
    </w:p>
    <w:p>
      <w:pPr>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sz w:val="32"/>
          <w:szCs w:val="32"/>
        </w:rPr>
      </w:pPr>
      <w:r>
        <w:rPr>
          <w:rFonts w:hint="eastAsia" w:ascii="仿宋" w:hAnsi="仿宋" w:eastAsia="仿宋" w:cs="仿宋"/>
          <w:b/>
          <w:bCs/>
          <w:sz w:val="32"/>
          <w:szCs w:val="32"/>
        </w:rPr>
        <w:t>完善农畜产品区域公用品牌运行机制。</w:t>
      </w:r>
      <w:r>
        <w:rPr>
          <w:rFonts w:hint="eastAsia" w:ascii="仿宋" w:hAnsi="仿宋" w:eastAsia="仿宋" w:cs="仿宋"/>
          <w:sz w:val="32"/>
          <w:szCs w:val="32"/>
        </w:rPr>
        <w:t>制定品牌产品生产、加工、流通等标准体系，加强区域公用品牌授权产品生产环境和产品质量监管，严把品牌产品检验关，设置达标生产基地奖励政策，加强标准示范推广，</w:t>
      </w:r>
      <w:r>
        <w:rPr>
          <w:rFonts w:hint="eastAsia" w:ascii="仿宋" w:hAnsi="仿宋" w:eastAsia="仿宋" w:cs="仿宋"/>
          <w:sz w:val="32"/>
          <w:szCs w:val="32"/>
          <w:lang w:eastAsia="zh-CN"/>
        </w:rPr>
        <w:t>强化</w:t>
      </w:r>
      <w:r>
        <w:rPr>
          <w:rFonts w:hint="eastAsia" w:ascii="仿宋" w:hAnsi="仿宋" w:eastAsia="仿宋" w:cs="仿宋"/>
          <w:sz w:val="32"/>
          <w:szCs w:val="32"/>
        </w:rPr>
        <w:t>产品质量可追溯体系建设。</w:t>
      </w:r>
      <w:r>
        <w:rPr>
          <w:rFonts w:hint="eastAsia" w:ascii="仿宋" w:hAnsi="仿宋" w:eastAsia="仿宋" w:cs="仿宋"/>
          <w:sz w:val="32"/>
          <w:szCs w:val="32"/>
          <w:lang w:eastAsia="zh-CN"/>
        </w:rPr>
        <w:t>充分</w:t>
      </w:r>
      <w:r>
        <w:rPr>
          <w:rFonts w:hint="eastAsia" w:ascii="仿宋" w:hAnsi="仿宋" w:eastAsia="仿宋" w:cs="仿宋"/>
          <w:sz w:val="32"/>
          <w:szCs w:val="32"/>
        </w:rPr>
        <w:t>发挥事业单位运营及行业协会产业管理作用，采取授权</w:t>
      </w:r>
      <w:r>
        <w:rPr>
          <w:rFonts w:hint="eastAsia" w:ascii="仿宋" w:hAnsi="仿宋" w:eastAsia="仿宋" w:cs="仿宋"/>
          <w:sz w:val="32"/>
          <w:szCs w:val="32"/>
          <w:lang w:eastAsia="zh-CN"/>
        </w:rPr>
        <w:t>、</w:t>
      </w:r>
      <w:r>
        <w:rPr>
          <w:rFonts w:hint="eastAsia" w:ascii="仿宋" w:hAnsi="仿宋" w:eastAsia="仿宋" w:cs="仿宋"/>
          <w:sz w:val="32"/>
          <w:szCs w:val="32"/>
        </w:rPr>
        <w:t>订单等模式，确定龙头企业、合作社、农牧户间合作模式，明确公用品牌与企业品牌</w:t>
      </w:r>
      <w:r>
        <w:rPr>
          <w:rFonts w:hint="eastAsia" w:ascii="仿宋" w:hAnsi="仿宋" w:eastAsia="仿宋" w:cs="仿宋"/>
          <w:sz w:val="32"/>
          <w:szCs w:val="32"/>
          <w:lang w:eastAsia="zh-CN"/>
        </w:rPr>
        <w:t>间</w:t>
      </w:r>
      <w:r>
        <w:rPr>
          <w:rFonts w:hint="eastAsia" w:ascii="仿宋" w:hAnsi="仿宋" w:eastAsia="仿宋" w:cs="仿宋"/>
          <w:sz w:val="32"/>
          <w:szCs w:val="32"/>
        </w:rPr>
        <w:t>的联合关系。构建品牌线上线下立体化市场营销体系，多方合作构建通达的物流体系。建设集办公、科研、贸易、物流、产业规划、大数据平台等为一体的品牌发展基地，整合优质资源，招募</w:t>
      </w:r>
      <w:r>
        <w:rPr>
          <w:rFonts w:hint="eastAsia" w:ascii="仿宋" w:hAnsi="仿宋" w:eastAsia="仿宋" w:cs="仿宋"/>
          <w:sz w:val="32"/>
          <w:szCs w:val="32"/>
          <w:lang w:eastAsia="zh-CN"/>
        </w:rPr>
        <w:t>产品</w:t>
      </w:r>
      <w:r>
        <w:rPr>
          <w:rFonts w:hint="eastAsia" w:ascii="仿宋" w:hAnsi="仿宋" w:eastAsia="仿宋" w:cs="仿宋"/>
          <w:sz w:val="32"/>
          <w:szCs w:val="32"/>
        </w:rPr>
        <w:t>加工、高新技术、电商物流、产品销售等企业入驻，</w:t>
      </w:r>
      <w:r>
        <w:rPr>
          <w:rFonts w:hint="eastAsia" w:ascii="仿宋" w:hAnsi="仿宋" w:eastAsia="仿宋" w:cs="仿宋"/>
          <w:sz w:val="32"/>
          <w:szCs w:val="32"/>
          <w:lang w:eastAsia="zh-CN"/>
        </w:rPr>
        <w:t>广泛</w:t>
      </w:r>
      <w:r>
        <w:rPr>
          <w:rFonts w:hint="eastAsia" w:ascii="仿宋" w:hAnsi="仿宋" w:eastAsia="仿宋" w:cs="仿宋"/>
          <w:sz w:val="32"/>
          <w:szCs w:val="32"/>
        </w:rPr>
        <w:t>汇集人才流、信息流、物流</w:t>
      </w:r>
      <w:r>
        <w:rPr>
          <w:rFonts w:hint="eastAsia" w:ascii="仿宋" w:hAnsi="仿宋" w:eastAsia="仿宋" w:cs="仿宋"/>
          <w:sz w:val="32"/>
          <w:szCs w:val="32"/>
          <w:lang w:eastAsia="zh-CN"/>
        </w:rPr>
        <w:t>和</w:t>
      </w:r>
      <w:r>
        <w:rPr>
          <w:rFonts w:hint="eastAsia" w:ascii="仿宋" w:hAnsi="仿宋" w:eastAsia="仿宋" w:cs="仿宋"/>
          <w:sz w:val="32"/>
          <w:szCs w:val="32"/>
        </w:rPr>
        <w:t>资金流，助推区域公用品牌发展。</w:t>
      </w:r>
    </w:p>
    <w:bookmarkEnd w:id="225"/>
    <w:bookmarkEnd w:id="226"/>
    <w:p>
      <w:pPr>
        <w:pStyle w:val="4"/>
        <w:pageBreakBefore w:val="0"/>
        <w:widowControl w:val="0"/>
        <w:kinsoku/>
        <w:wordWrap/>
        <w:overflowPunct/>
        <w:topLinePunct w:val="0"/>
        <w:autoSpaceDE/>
        <w:autoSpaceDN/>
        <w:bidi w:val="0"/>
        <w:adjustRightInd/>
        <w:snapToGrid/>
        <w:spacing w:before="156" w:beforeLines="50" w:after="156" w:afterLines="50" w:line="600" w:lineRule="exact"/>
        <w:textAlignment w:val="auto"/>
        <w:rPr>
          <w:rFonts w:ascii="Calibri Light" w:hAnsi="Calibri Light" w:cs="Times New Roman"/>
          <w:b w:val="0"/>
          <w:bCs w:val="0"/>
          <w:sz w:val="32"/>
          <w:szCs w:val="36"/>
        </w:rPr>
      </w:pPr>
      <w:bookmarkStart w:id="279" w:name="_Toc32293"/>
      <w:bookmarkStart w:id="280" w:name="_Toc13629"/>
      <w:bookmarkStart w:id="281" w:name="_Toc348925602_WPSOffice_Level2"/>
      <w:bookmarkStart w:id="282" w:name="_Toc28476"/>
      <w:bookmarkStart w:id="283" w:name="_Toc31103"/>
      <w:bookmarkStart w:id="284" w:name="_Toc60561668"/>
      <w:r>
        <w:rPr>
          <w:rFonts w:ascii="Calibri Light" w:hAnsi="Calibri Light" w:cs="Times New Roman"/>
          <w:b w:val="0"/>
          <w:bCs w:val="0"/>
          <w:sz w:val="32"/>
          <w:szCs w:val="36"/>
        </w:rPr>
        <w:t>第</w:t>
      </w:r>
      <w:r>
        <w:rPr>
          <w:rFonts w:hint="eastAsia" w:ascii="Calibri Light" w:hAnsi="Calibri Light" w:cs="Times New Roman"/>
          <w:b w:val="0"/>
          <w:bCs w:val="0"/>
          <w:sz w:val="32"/>
          <w:szCs w:val="36"/>
        </w:rPr>
        <w:t>六</w:t>
      </w:r>
      <w:r>
        <w:rPr>
          <w:rFonts w:ascii="Calibri Light" w:hAnsi="Calibri Light" w:cs="Times New Roman"/>
          <w:b w:val="0"/>
          <w:bCs w:val="0"/>
          <w:sz w:val="32"/>
          <w:szCs w:val="36"/>
        </w:rPr>
        <w:t>节 健全现代农牧业经营体系</w:t>
      </w:r>
      <w:bookmarkEnd w:id="279"/>
      <w:bookmarkEnd w:id="280"/>
      <w:bookmarkEnd w:id="281"/>
      <w:bookmarkEnd w:id="282"/>
      <w:bookmarkEnd w:id="283"/>
    </w:p>
    <w:p>
      <w:pPr>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sz w:val="32"/>
          <w:szCs w:val="32"/>
        </w:rPr>
      </w:pPr>
      <w:r>
        <w:rPr>
          <w:rFonts w:hint="eastAsia" w:ascii="仿宋" w:hAnsi="仿宋" w:eastAsia="仿宋" w:cs="仿宋"/>
          <w:b/>
          <w:bCs/>
          <w:sz w:val="32"/>
          <w:szCs w:val="32"/>
        </w:rPr>
        <w:t>培育新型农牧业经营主体。</w:t>
      </w:r>
      <w:r>
        <w:rPr>
          <w:rFonts w:hint="eastAsia" w:ascii="仿宋" w:hAnsi="仿宋" w:eastAsia="仿宋" w:cs="仿宋"/>
          <w:sz w:val="32"/>
          <w:szCs w:val="32"/>
        </w:rPr>
        <w:t>建立健全订单生产、保底收购、托管服务、股份合作、利润返还、土地流转、吸纳就业等多种形式的</w:t>
      </w:r>
      <w:r>
        <w:rPr>
          <w:rFonts w:hint="eastAsia" w:ascii="仿宋" w:hAnsi="仿宋" w:eastAsia="仿宋" w:cs="仿宋"/>
          <w:sz w:val="32"/>
          <w:szCs w:val="32"/>
          <w:lang w:eastAsia="zh-CN"/>
        </w:rPr>
        <w:t>农企</w:t>
      </w:r>
      <w:r>
        <w:rPr>
          <w:rFonts w:hint="eastAsia" w:ascii="仿宋" w:hAnsi="仿宋" w:eastAsia="仿宋" w:cs="仿宋"/>
          <w:sz w:val="32"/>
          <w:szCs w:val="32"/>
        </w:rPr>
        <w:t>利益联结机制，形成可复制推广模式。坚持家庭经营基础性地位，加快培育家庭农牧场、专业合作社、龙头企业等新型农牧业经营主体，发展多种形式的适度规模经营，引导农牧业规范化、规模化发展。</w:t>
      </w:r>
    </w:p>
    <w:p>
      <w:pPr>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sz w:val="32"/>
          <w:szCs w:val="32"/>
        </w:rPr>
      </w:pPr>
      <w:r>
        <w:rPr>
          <w:rFonts w:hint="eastAsia" w:ascii="仿宋" w:hAnsi="仿宋" w:eastAsia="仿宋" w:cs="仿宋"/>
          <w:b/>
          <w:sz w:val="32"/>
          <w:szCs w:val="32"/>
        </w:rPr>
        <w:t>1.大力发展现代家庭农牧场。</w:t>
      </w:r>
      <w:r>
        <w:rPr>
          <w:rFonts w:hint="eastAsia" w:ascii="仿宋" w:hAnsi="仿宋" w:eastAsia="仿宋" w:cs="仿宋"/>
          <w:sz w:val="32"/>
          <w:szCs w:val="32"/>
        </w:rPr>
        <w:t>发展适度规模经营、联户经营的新型现代家庭农牧场，健全家庭农牧场名录管理制度，引导土地草牧场资源适度集聚，鼓励支持创办专业化、集约化的适度规模家庭农牧场、旅游牧场。开展家庭农牧场示范旗县创建</w:t>
      </w:r>
      <w:r>
        <w:rPr>
          <w:rFonts w:hint="eastAsia" w:ascii="仿宋" w:hAnsi="仿宋" w:eastAsia="仿宋" w:cs="仿宋"/>
          <w:sz w:val="32"/>
          <w:szCs w:val="32"/>
          <w:lang w:eastAsia="zh-CN"/>
        </w:rPr>
        <w:t>工作</w:t>
      </w:r>
      <w:r>
        <w:rPr>
          <w:rFonts w:hint="eastAsia" w:ascii="仿宋" w:hAnsi="仿宋" w:eastAsia="仿宋" w:cs="仿宋"/>
          <w:sz w:val="32"/>
          <w:szCs w:val="32"/>
        </w:rPr>
        <w:t>，强化典型引领作用。</w:t>
      </w:r>
      <w:r>
        <w:rPr>
          <w:rFonts w:hint="eastAsia" w:ascii="仿宋" w:hAnsi="仿宋" w:eastAsia="仿宋" w:cs="仿宋"/>
          <w:sz w:val="32"/>
          <w:szCs w:val="32"/>
          <w:lang w:eastAsia="zh-CN"/>
        </w:rPr>
        <w:t>加强</w:t>
      </w:r>
      <w:r>
        <w:rPr>
          <w:rFonts w:hint="eastAsia" w:ascii="仿宋" w:hAnsi="仿宋" w:eastAsia="仿宋" w:cs="仿宋"/>
          <w:sz w:val="32"/>
          <w:szCs w:val="32"/>
        </w:rPr>
        <w:t>标准化生产基地、标准化生产示范</w:t>
      </w:r>
      <w:r>
        <w:rPr>
          <w:rFonts w:hint="eastAsia" w:ascii="仿宋" w:hAnsi="仿宋" w:eastAsia="仿宋" w:cs="仿宋"/>
          <w:sz w:val="32"/>
          <w:szCs w:val="32"/>
          <w:lang w:eastAsia="zh-CN"/>
        </w:rPr>
        <w:t>农</w:t>
      </w:r>
      <w:r>
        <w:rPr>
          <w:rFonts w:hint="eastAsia" w:ascii="仿宋" w:hAnsi="仿宋" w:eastAsia="仿宋" w:cs="仿宋"/>
          <w:sz w:val="32"/>
          <w:szCs w:val="32"/>
        </w:rPr>
        <w:t>牧场、规模化养殖场建设</w:t>
      </w:r>
      <w:r>
        <w:rPr>
          <w:rFonts w:hint="eastAsia" w:ascii="仿宋" w:hAnsi="仿宋" w:eastAsia="仿宋" w:cs="仿宋"/>
          <w:sz w:val="32"/>
          <w:szCs w:val="32"/>
          <w:lang w:eastAsia="zh-CN"/>
        </w:rPr>
        <w:t>，</w:t>
      </w:r>
      <w:r>
        <w:rPr>
          <w:rFonts w:hint="eastAsia" w:ascii="仿宋" w:hAnsi="仿宋" w:eastAsia="仿宋" w:cs="仿宋"/>
          <w:sz w:val="32"/>
          <w:szCs w:val="32"/>
        </w:rPr>
        <w:t>指导家庭农牧场按照农牧业生产技术规范，建立可追溯生产记录，实现按标生产、优质优价。到2025年，力争各级示范家庭农牧场达到</w:t>
      </w:r>
      <w:r>
        <w:rPr>
          <w:rFonts w:hint="eastAsia" w:ascii="仿宋" w:hAnsi="仿宋" w:eastAsia="仿宋" w:cs="仿宋"/>
          <w:sz w:val="32"/>
          <w:szCs w:val="32"/>
          <w:lang w:val="en-US" w:eastAsia="zh-CN"/>
        </w:rPr>
        <w:t>2000</w:t>
      </w:r>
      <w:r>
        <w:rPr>
          <w:rFonts w:hint="eastAsia" w:ascii="仿宋" w:hAnsi="仿宋" w:eastAsia="仿宋" w:cs="仿宋"/>
          <w:sz w:val="32"/>
          <w:szCs w:val="32"/>
        </w:rPr>
        <w:t>家。</w:t>
      </w:r>
    </w:p>
    <w:p>
      <w:pPr>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sz w:val="32"/>
          <w:szCs w:val="32"/>
        </w:rPr>
      </w:pPr>
      <w:r>
        <w:rPr>
          <w:rFonts w:hint="eastAsia" w:ascii="仿宋" w:hAnsi="仿宋" w:eastAsia="仿宋" w:cs="仿宋"/>
          <w:b/>
          <w:sz w:val="32"/>
          <w:szCs w:val="32"/>
        </w:rPr>
        <w:t>2.规范提升农牧民专业合作社。</w:t>
      </w:r>
      <w:r>
        <w:rPr>
          <w:rFonts w:hint="eastAsia" w:ascii="仿宋" w:hAnsi="仿宋" w:eastAsia="仿宋" w:cs="仿宋"/>
          <w:sz w:val="32"/>
          <w:szCs w:val="32"/>
        </w:rPr>
        <w:t>对农牧民合作社生产、供销、信用合作</w:t>
      </w:r>
      <w:r>
        <w:rPr>
          <w:rFonts w:hint="eastAsia" w:ascii="仿宋" w:hAnsi="仿宋" w:eastAsia="仿宋" w:cs="仿宋"/>
          <w:sz w:val="32"/>
          <w:szCs w:val="32"/>
          <w:lang w:eastAsia="zh-CN"/>
        </w:rPr>
        <w:t>进行</w:t>
      </w:r>
      <w:r>
        <w:rPr>
          <w:rFonts w:hint="eastAsia" w:ascii="仿宋" w:hAnsi="仿宋" w:eastAsia="仿宋" w:cs="仿宋"/>
          <w:sz w:val="32"/>
          <w:szCs w:val="32"/>
        </w:rPr>
        <w:t>功能定位，对现有农牧民合作社进行规范提升。开展农牧民合作社示范社评定工作，完善示范社评定指标体系</w:t>
      </w:r>
      <w:r>
        <w:rPr>
          <w:rFonts w:hint="eastAsia" w:ascii="仿宋" w:hAnsi="仿宋" w:eastAsia="仿宋" w:cs="仿宋"/>
          <w:sz w:val="32"/>
          <w:szCs w:val="32"/>
          <w:lang w:eastAsia="zh-CN"/>
        </w:rPr>
        <w:t>，加强</w:t>
      </w:r>
      <w:r>
        <w:rPr>
          <w:rFonts w:hint="eastAsia" w:ascii="仿宋" w:hAnsi="仿宋" w:eastAsia="仿宋" w:cs="仿宋"/>
          <w:sz w:val="32"/>
          <w:szCs w:val="32"/>
        </w:rPr>
        <w:t>国家、自治区、盟、旗示范社四级联创，</w:t>
      </w:r>
      <w:r>
        <w:rPr>
          <w:rFonts w:hint="eastAsia" w:ascii="仿宋" w:hAnsi="仿宋" w:eastAsia="仿宋" w:cs="仿宋"/>
          <w:sz w:val="32"/>
          <w:szCs w:val="32"/>
          <w:lang w:eastAsia="zh-CN"/>
        </w:rPr>
        <w:t>推进农牧民合作社质量提升整县试点工作</w:t>
      </w:r>
      <w:r>
        <w:rPr>
          <w:rFonts w:hint="eastAsia" w:ascii="仿宋" w:hAnsi="仿宋" w:eastAsia="仿宋" w:cs="仿宋"/>
          <w:sz w:val="32"/>
          <w:szCs w:val="32"/>
        </w:rPr>
        <w:t>。注重培育多种形式的新型农牧民合作组织，引导</w:t>
      </w:r>
      <w:r>
        <w:rPr>
          <w:rFonts w:hint="eastAsia" w:ascii="仿宋" w:hAnsi="仿宋" w:eastAsia="仿宋" w:cs="仿宋"/>
          <w:sz w:val="32"/>
          <w:szCs w:val="32"/>
          <w:lang w:eastAsia="zh-CN"/>
        </w:rPr>
        <w:t>农</w:t>
      </w:r>
      <w:r>
        <w:rPr>
          <w:rFonts w:hint="eastAsia" w:ascii="仿宋" w:hAnsi="仿宋" w:eastAsia="仿宋" w:cs="仿宋"/>
          <w:sz w:val="32"/>
          <w:szCs w:val="32"/>
        </w:rPr>
        <w:t>牧户进行资源整合、统一管理、联户规模经营，开展资源、资本、劳动、技术和销售等方面合作与联合。到2025年，力争各级示范农牧民合作社</w:t>
      </w:r>
      <w:r>
        <w:rPr>
          <w:rFonts w:hint="eastAsia" w:ascii="仿宋" w:hAnsi="仿宋" w:eastAsia="仿宋" w:cs="仿宋"/>
          <w:sz w:val="32"/>
          <w:szCs w:val="32"/>
          <w:lang w:eastAsia="zh-CN"/>
        </w:rPr>
        <w:t>达到</w:t>
      </w:r>
      <w:r>
        <w:rPr>
          <w:rFonts w:hint="eastAsia" w:ascii="仿宋" w:hAnsi="仿宋" w:eastAsia="仿宋" w:cs="仿宋"/>
          <w:sz w:val="32"/>
          <w:szCs w:val="32"/>
          <w:lang w:val="en-US" w:eastAsia="zh-CN"/>
        </w:rPr>
        <w:t>500</w:t>
      </w:r>
      <w:r>
        <w:rPr>
          <w:rFonts w:hint="eastAsia" w:ascii="仿宋" w:hAnsi="仿宋" w:eastAsia="仿宋" w:cs="仿宋"/>
          <w:sz w:val="32"/>
          <w:szCs w:val="32"/>
        </w:rPr>
        <w:t>个。</w:t>
      </w:r>
    </w:p>
    <w:p>
      <w:pPr>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sz w:val="32"/>
          <w:szCs w:val="32"/>
        </w:rPr>
      </w:pPr>
      <w:r>
        <w:rPr>
          <w:rFonts w:hint="eastAsia" w:ascii="仿宋" w:hAnsi="仿宋" w:eastAsia="仿宋" w:cs="仿宋"/>
          <w:b/>
          <w:sz w:val="32"/>
          <w:szCs w:val="32"/>
        </w:rPr>
        <w:t>3.大力培育农牧业龙头企业。</w:t>
      </w:r>
      <w:r>
        <w:rPr>
          <w:rFonts w:hint="eastAsia" w:ascii="仿宋" w:hAnsi="仿宋" w:eastAsia="仿宋" w:cs="仿宋"/>
          <w:sz w:val="32"/>
          <w:szCs w:val="32"/>
        </w:rPr>
        <w:t>加大对农牧业产业化龙头企业扶持力度，培育一批技术先进、行业集中度高、品牌影响大、产业链条长、市场竞争力强的大企业大集团。组建培育一批</w:t>
      </w:r>
      <w:r>
        <w:rPr>
          <w:rFonts w:hint="eastAsia" w:ascii="仿宋" w:hAnsi="仿宋" w:eastAsia="仿宋" w:cs="仿宋"/>
          <w:sz w:val="32"/>
          <w:szCs w:val="32"/>
          <w:lang w:eastAsia="zh-CN"/>
        </w:rPr>
        <w:t>以龙头企业为引领的</w:t>
      </w:r>
      <w:r>
        <w:rPr>
          <w:rFonts w:hint="eastAsia" w:ascii="仿宋" w:hAnsi="仿宋" w:eastAsia="仿宋" w:cs="仿宋"/>
          <w:sz w:val="32"/>
          <w:szCs w:val="32"/>
        </w:rPr>
        <w:t>农牧业产业化联合体，构建上下游相互衔接配套的全产业链，</w:t>
      </w:r>
      <w:r>
        <w:rPr>
          <w:rFonts w:hint="eastAsia" w:ascii="仿宋" w:hAnsi="仿宋" w:eastAsia="仿宋" w:cs="仿宋"/>
          <w:sz w:val="32"/>
          <w:szCs w:val="32"/>
          <w:lang w:eastAsia="zh-CN"/>
        </w:rPr>
        <w:t>完善</w:t>
      </w:r>
      <w:r>
        <w:rPr>
          <w:rFonts w:hint="eastAsia" w:ascii="仿宋" w:hAnsi="仿宋" w:eastAsia="仿宋" w:cs="仿宋"/>
          <w:sz w:val="32"/>
          <w:szCs w:val="32"/>
        </w:rPr>
        <w:t>龙头企业与合作社、家庭农</w:t>
      </w:r>
      <w:r>
        <w:rPr>
          <w:rFonts w:hint="eastAsia" w:ascii="仿宋" w:hAnsi="仿宋" w:eastAsia="仿宋" w:cs="仿宋"/>
          <w:sz w:val="32"/>
          <w:szCs w:val="32"/>
          <w:lang w:eastAsia="zh-CN"/>
        </w:rPr>
        <w:t>牧</w:t>
      </w:r>
      <w:r>
        <w:rPr>
          <w:rFonts w:hint="eastAsia" w:ascii="仿宋" w:hAnsi="仿宋" w:eastAsia="仿宋" w:cs="仿宋"/>
          <w:sz w:val="32"/>
          <w:szCs w:val="32"/>
        </w:rPr>
        <w:t>场、生产大户</w:t>
      </w:r>
      <w:r>
        <w:rPr>
          <w:rFonts w:hint="eastAsia" w:ascii="仿宋" w:hAnsi="仿宋" w:eastAsia="仿宋" w:cs="仿宋"/>
          <w:sz w:val="32"/>
          <w:szCs w:val="32"/>
          <w:lang w:eastAsia="zh-CN"/>
        </w:rPr>
        <w:t>间</w:t>
      </w:r>
      <w:r>
        <w:rPr>
          <w:rFonts w:hint="eastAsia" w:ascii="仿宋" w:hAnsi="仿宋" w:eastAsia="仿宋" w:cs="仿宋"/>
          <w:sz w:val="32"/>
          <w:szCs w:val="32"/>
        </w:rPr>
        <w:t>的利益联结机制，推动产加销一体化经营。</w:t>
      </w:r>
      <w:r>
        <w:rPr>
          <w:rFonts w:hint="eastAsia" w:ascii="仿宋" w:hAnsi="仿宋" w:eastAsia="仿宋" w:cs="仿宋"/>
          <w:sz w:val="32"/>
          <w:szCs w:val="32"/>
          <w:lang w:eastAsia="zh-CN"/>
        </w:rPr>
        <w:t>加强</w:t>
      </w:r>
      <w:r>
        <w:rPr>
          <w:rFonts w:hint="eastAsia" w:ascii="仿宋" w:hAnsi="仿宋" w:eastAsia="仿宋" w:cs="仿宋"/>
          <w:sz w:val="32"/>
          <w:szCs w:val="32"/>
        </w:rPr>
        <w:t>龙头企业监测认定工作。到2025年，盟级以上产业化龙头企业</w:t>
      </w:r>
      <w:r>
        <w:rPr>
          <w:rFonts w:hint="eastAsia" w:ascii="仿宋" w:hAnsi="仿宋" w:eastAsia="仿宋" w:cs="仿宋"/>
          <w:sz w:val="32"/>
          <w:szCs w:val="32"/>
          <w:lang w:eastAsia="zh-CN"/>
        </w:rPr>
        <w:t>达到</w:t>
      </w:r>
      <w:r>
        <w:rPr>
          <w:rFonts w:hint="eastAsia" w:ascii="仿宋" w:hAnsi="仿宋" w:eastAsia="仿宋" w:cs="仿宋"/>
          <w:sz w:val="32"/>
          <w:szCs w:val="32"/>
        </w:rPr>
        <w:t>120家，培育认定自治区农牧业产业化示范联合体20个、盟级农牧业产业化示范联合体40个。</w:t>
      </w:r>
    </w:p>
    <w:p>
      <w:pPr>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sz w:val="32"/>
          <w:szCs w:val="32"/>
        </w:rPr>
      </w:pPr>
      <w:r>
        <w:rPr>
          <w:rFonts w:hint="eastAsia" w:ascii="仿宋" w:hAnsi="仿宋" w:eastAsia="仿宋" w:cs="仿宋"/>
          <w:b/>
          <w:bCs/>
          <w:sz w:val="32"/>
          <w:szCs w:val="32"/>
        </w:rPr>
        <w:t>构建社会化服务体系。</w:t>
      </w:r>
      <w:r>
        <w:rPr>
          <w:rFonts w:hint="eastAsia" w:ascii="仿宋" w:hAnsi="仿宋" w:eastAsia="仿宋" w:cs="仿宋"/>
          <w:sz w:val="32"/>
          <w:szCs w:val="32"/>
        </w:rPr>
        <w:t>健全农牧业专业化社会化服务体系，</w:t>
      </w:r>
      <w:r>
        <w:rPr>
          <w:rFonts w:hint="eastAsia" w:ascii="仿宋" w:hAnsi="仿宋" w:eastAsia="仿宋" w:cs="仿宋"/>
          <w:sz w:val="32"/>
          <w:szCs w:val="32"/>
          <w:lang w:eastAsia="zh-CN"/>
        </w:rPr>
        <w:t>及时为</w:t>
      </w:r>
      <w:r>
        <w:rPr>
          <w:rFonts w:hint="eastAsia" w:ascii="仿宋" w:hAnsi="仿宋" w:eastAsia="仿宋" w:cs="仿宋"/>
          <w:sz w:val="32"/>
          <w:szCs w:val="32"/>
        </w:rPr>
        <w:t>农牧户</w:t>
      </w:r>
      <w:r>
        <w:rPr>
          <w:rFonts w:hint="eastAsia" w:ascii="仿宋" w:hAnsi="仿宋" w:eastAsia="仿宋" w:cs="仿宋"/>
          <w:sz w:val="32"/>
          <w:szCs w:val="32"/>
          <w:lang w:eastAsia="zh-CN"/>
        </w:rPr>
        <w:t>提供</w:t>
      </w:r>
      <w:r>
        <w:rPr>
          <w:rFonts w:hint="eastAsia" w:ascii="仿宋" w:hAnsi="仿宋" w:eastAsia="仿宋" w:cs="仿宋"/>
          <w:sz w:val="32"/>
          <w:szCs w:val="32"/>
        </w:rPr>
        <w:t>先进</w:t>
      </w:r>
      <w:r>
        <w:rPr>
          <w:rFonts w:hint="eastAsia" w:ascii="仿宋" w:hAnsi="仿宋" w:eastAsia="仿宋" w:cs="仿宋"/>
          <w:sz w:val="32"/>
          <w:szCs w:val="32"/>
          <w:lang w:eastAsia="zh-CN"/>
        </w:rPr>
        <w:t>实用</w:t>
      </w:r>
      <w:r>
        <w:rPr>
          <w:rFonts w:hint="eastAsia" w:ascii="仿宋" w:hAnsi="仿宋" w:eastAsia="仿宋" w:cs="仿宋"/>
          <w:sz w:val="32"/>
          <w:szCs w:val="32"/>
        </w:rPr>
        <w:t>品种、技术</w:t>
      </w:r>
      <w:r>
        <w:rPr>
          <w:rFonts w:hint="eastAsia" w:ascii="仿宋" w:hAnsi="仿宋" w:eastAsia="仿宋" w:cs="仿宋"/>
          <w:sz w:val="32"/>
          <w:szCs w:val="32"/>
          <w:lang w:eastAsia="zh-CN"/>
        </w:rPr>
        <w:t>和装备</w:t>
      </w:r>
      <w:r>
        <w:rPr>
          <w:rFonts w:hint="eastAsia" w:ascii="仿宋" w:hAnsi="仿宋" w:eastAsia="仿宋" w:cs="仿宋"/>
          <w:sz w:val="32"/>
          <w:szCs w:val="32"/>
        </w:rPr>
        <w:t>，</w:t>
      </w:r>
      <w:r>
        <w:rPr>
          <w:rFonts w:hint="eastAsia" w:ascii="仿宋" w:hAnsi="仿宋" w:eastAsia="仿宋" w:cs="仿宋"/>
          <w:sz w:val="32"/>
          <w:szCs w:val="32"/>
          <w:lang w:eastAsia="zh-CN"/>
        </w:rPr>
        <w:t>强化社会化服务组织的</w:t>
      </w:r>
      <w:r>
        <w:rPr>
          <w:rFonts w:hint="eastAsia" w:ascii="仿宋" w:hAnsi="仿宋" w:eastAsia="仿宋" w:cs="仿宋"/>
          <w:sz w:val="32"/>
          <w:szCs w:val="32"/>
        </w:rPr>
        <w:t>带动</w:t>
      </w:r>
      <w:r>
        <w:rPr>
          <w:rFonts w:hint="eastAsia" w:ascii="仿宋" w:hAnsi="仿宋" w:eastAsia="仿宋" w:cs="仿宋"/>
          <w:sz w:val="32"/>
          <w:szCs w:val="32"/>
          <w:lang w:eastAsia="zh-CN"/>
        </w:rPr>
        <w:t>促进作用</w:t>
      </w:r>
      <w:r>
        <w:rPr>
          <w:rFonts w:hint="eastAsia" w:ascii="仿宋" w:hAnsi="仿宋" w:eastAsia="仿宋" w:cs="仿宋"/>
          <w:sz w:val="32"/>
          <w:szCs w:val="32"/>
        </w:rPr>
        <w:t>，</w:t>
      </w:r>
      <w:r>
        <w:rPr>
          <w:rFonts w:hint="eastAsia" w:ascii="仿宋" w:hAnsi="仿宋" w:eastAsia="仿宋" w:cs="仿宋"/>
          <w:sz w:val="32"/>
          <w:szCs w:val="32"/>
          <w:lang w:eastAsia="zh-CN"/>
        </w:rPr>
        <w:t>推动</w:t>
      </w:r>
      <w:r>
        <w:rPr>
          <w:rFonts w:hint="eastAsia" w:ascii="仿宋" w:hAnsi="仿宋" w:eastAsia="仿宋" w:cs="仿宋"/>
          <w:sz w:val="32"/>
          <w:szCs w:val="32"/>
        </w:rPr>
        <w:t>农牧户</w:t>
      </w:r>
      <w:r>
        <w:rPr>
          <w:rFonts w:hint="eastAsia" w:ascii="仿宋" w:hAnsi="仿宋" w:eastAsia="仿宋" w:cs="仿宋"/>
          <w:sz w:val="32"/>
          <w:szCs w:val="32"/>
          <w:lang w:eastAsia="zh-CN"/>
        </w:rPr>
        <w:t>生产</w:t>
      </w:r>
      <w:r>
        <w:rPr>
          <w:rFonts w:hint="eastAsia" w:ascii="仿宋" w:hAnsi="仿宋" w:eastAsia="仿宋" w:cs="仿宋"/>
          <w:sz w:val="32"/>
          <w:szCs w:val="32"/>
        </w:rPr>
        <w:t>与现代农牧</w:t>
      </w:r>
      <w:r>
        <w:rPr>
          <w:rFonts w:hint="eastAsia" w:ascii="仿宋" w:hAnsi="仿宋" w:eastAsia="仿宋" w:cs="仿宋"/>
          <w:sz w:val="32"/>
          <w:szCs w:val="32"/>
          <w:lang w:eastAsia="zh-CN"/>
        </w:rPr>
        <w:t>产</w:t>
      </w:r>
      <w:r>
        <w:rPr>
          <w:rFonts w:hint="eastAsia" w:ascii="仿宋" w:hAnsi="仿宋" w:eastAsia="仿宋" w:cs="仿宋"/>
          <w:sz w:val="32"/>
          <w:szCs w:val="32"/>
        </w:rPr>
        <w:t>业</w:t>
      </w:r>
      <w:r>
        <w:rPr>
          <w:rFonts w:hint="eastAsia" w:ascii="仿宋" w:hAnsi="仿宋" w:eastAsia="仿宋" w:cs="仿宋"/>
          <w:sz w:val="32"/>
          <w:szCs w:val="32"/>
          <w:lang w:eastAsia="zh-CN"/>
        </w:rPr>
        <w:t>发展</w:t>
      </w:r>
      <w:r>
        <w:rPr>
          <w:rFonts w:hint="eastAsia" w:ascii="仿宋" w:hAnsi="仿宋" w:eastAsia="仿宋" w:cs="仿宋"/>
          <w:sz w:val="32"/>
          <w:szCs w:val="32"/>
        </w:rPr>
        <w:t>有机衔接。到2025年，</w:t>
      </w:r>
      <w:r>
        <w:rPr>
          <w:rFonts w:hint="eastAsia" w:ascii="仿宋" w:hAnsi="仿宋" w:eastAsia="仿宋" w:cs="仿宋"/>
          <w:sz w:val="32"/>
          <w:szCs w:val="32"/>
          <w:lang w:eastAsia="zh-CN"/>
        </w:rPr>
        <w:t>力争</w:t>
      </w:r>
      <w:r>
        <w:rPr>
          <w:rFonts w:hint="eastAsia" w:ascii="仿宋" w:hAnsi="仿宋" w:eastAsia="仿宋" w:cs="仿宋"/>
          <w:sz w:val="32"/>
          <w:szCs w:val="32"/>
        </w:rPr>
        <w:t>全面实行政府购买兽医社会化服务，农业生产托管社会化面积达到</w:t>
      </w:r>
      <w:r>
        <w:rPr>
          <w:rFonts w:hint="eastAsia" w:ascii="仿宋" w:hAnsi="仿宋" w:eastAsia="仿宋" w:cs="仿宋"/>
          <w:sz w:val="32"/>
          <w:szCs w:val="32"/>
          <w:lang w:val="en-US" w:eastAsia="zh-CN"/>
        </w:rPr>
        <w:t>30</w:t>
      </w:r>
      <w:r>
        <w:rPr>
          <w:rFonts w:hint="eastAsia" w:ascii="仿宋" w:hAnsi="仿宋" w:eastAsia="仿宋" w:cs="仿宋"/>
          <w:sz w:val="32"/>
          <w:szCs w:val="32"/>
        </w:rPr>
        <w:t>万亩以上，从事农牧业生产、畜牧兽医、饲草料储备及农牧业信息化等</w:t>
      </w:r>
      <w:r>
        <w:rPr>
          <w:rFonts w:hint="eastAsia" w:ascii="仿宋" w:hAnsi="仿宋" w:eastAsia="仿宋" w:cs="仿宋"/>
          <w:sz w:val="32"/>
          <w:szCs w:val="32"/>
          <w:lang w:eastAsia="zh-CN"/>
        </w:rPr>
        <w:t>方面</w:t>
      </w:r>
      <w:r>
        <w:rPr>
          <w:rFonts w:hint="eastAsia" w:ascii="仿宋" w:hAnsi="仿宋" w:eastAsia="仿宋" w:cs="仿宋"/>
          <w:sz w:val="32"/>
          <w:szCs w:val="32"/>
        </w:rPr>
        <w:t>社会化服务主体达到200个以上。</w:t>
      </w:r>
    </w:p>
    <w:p>
      <w:pPr>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sz w:val="32"/>
          <w:szCs w:val="32"/>
        </w:rPr>
      </w:pPr>
      <w:r>
        <w:rPr>
          <w:rFonts w:hint="eastAsia" w:ascii="仿宋" w:hAnsi="仿宋" w:eastAsia="仿宋" w:cs="仿宋"/>
          <w:b/>
          <w:sz w:val="32"/>
          <w:szCs w:val="32"/>
        </w:rPr>
        <w:t>1.完善社会化服务组织。</w:t>
      </w:r>
      <w:r>
        <w:rPr>
          <w:rFonts w:hint="eastAsia" w:ascii="仿宋" w:hAnsi="仿宋" w:eastAsia="仿宋" w:cs="仿宋"/>
          <w:sz w:val="32"/>
          <w:szCs w:val="32"/>
        </w:rPr>
        <w:t>发展农牧业生产性服务业，鼓励苏木乡镇农技推广、动植物防疫、农畜产品质量安全监管等公共服务机构，围绕农牧业适度规模经营拓展服务范围。探索发展多种形式的农牧业社会化服务组织，通过政府购买、定向委托、奖励补助等措施，引进和培育一批由企业、专业合作社、行业协会牵头</w:t>
      </w:r>
      <w:r>
        <w:rPr>
          <w:rFonts w:hint="eastAsia" w:ascii="仿宋" w:hAnsi="仿宋" w:eastAsia="仿宋" w:cs="仿宋"/>
          <w:sz w:val="32"/>
          <w:szCs w:val="32"/>
          <w:lang w:eastAsia="zh-CN"/>
        </w:rPr>
        <w:t>组建</w:t>
      </w:r>
      <w:r>
        <w:rPr>
          <w:rFonts w:hint="eastAsia" w:ascii="仿宋" w:hAnsi="仿宋" w:eastAsia="仿宋" w:cs="仿宋"/>
          <w:sz w:val="32"/>
          <w:szCs w:val="32"/>
        </w:rPr>
        <w:t>的农牧业服务组织，逐步构建专业化分工、服务体系充足、供需匹配的新型农牧业社会化服务体系。坚持因地制宜、市场运作、试点先行原则，重点抓好疫病防治、饲草料保障、羊毛</w:t>
      </w:r>
      <w:r>
        <w:rPr>
          <w:rFonts w:hint="eastAsia" w:ascii="仿宋" w:hAnsi="仿宋" w:eastAsia="仿宋" w:cs="仿宋"/>
          <w:sz w:val="32"/>
          <w:szCs w:val="32"/>
          <w:lang w:eastAsia="zh-CN"/>
        </w:rPr>
        <w:t>修剪</w:t>
      </w:r>
      <w:r>
        <w:rPr>
          <w:rFonts w:hint="eastAsia" w:ascii="仿宋" w:hAnsi="仿宋" w:eastAsia="仿宋" w:cs="仿宋"/>
          <w:sz w:val="32"/>
          <w:szCs w:val="32"/>
        </w:rPr>
        <w:t>、畜禽粪污处理、兽医服务、农业生产等方面的社会化服务试点工作。开展示范创建活动、培育一批“专业技术高</w:t>
      </w:r>
      <w:r>
        <w:rPr>
          <w:rFonts w:hint="eastAsia" w:ascii="仿宋" w:hAnsi="仿宋" w:eastAsia="仿宋" w:cs="仿宋"/>
          <w:sz w:val="32"/>
          <w:szCs w:val="32"/>
          <w:lang w:eastAsia="zh-CN"/>
        </w:rPr>
        <w:t>、</w:t>
      </w:r>
      <w:r>
        <w:rPr>
          <w:rFonts w:hint="eastAsia" w:ascii="仿宋" w:hAnsi="仿宋" w:eastAsia="仿宋" w:cs="仿宋"/>
          <w:sz w:val="32"/>
          <w:szCs w:val="32"/>
        </w:rPr>
        <w:t>服务能力强</w:t>
      </w:r>
      <w:r>
        <w:rPr>
          <w:rFonts w:hint="eastAsia" w:ascii="仿宋" w:hAnsi="仿宋" w:eastAsia="仿宋" w:cs="仿宋"/>
          <w:sz w:val="32"/>
          <w:szCs w:val="32"/>
          <w:lang w:eastAsia="zh-CN"/>
        </w:rPr>
        <w:t>、</w:t>
      </w:r>
      <w:r>
        <w:rPr>
          <w:rFonts w:hint="eastAsia" w:ascii="仿宋" w:hAnsi="仿宋" w:eastAsia="仿宋" w:cs="仿宋"/>
          <w:sz w:val="32"/>
          <w:szCs w:val="32"/>
        </w:rPr>
        <w:t>社会反映好”的示范服务组织。</w:t>
      </w:r>
    </w:p>
    <w:p>
      <w:pPr>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sz w:val="32"/>
          <w:szCs w:val="32"/>
        </w:rPr>
      </w:pPr>
      <w:r>
        <w:rPr>
          <w:rFonts w:hint="eastAsia" w:ascii="仿宋" w:hAnsi="仿宋" w:eastAsia="仿宋" w:cs="仿宋"/>
          <w:b/>
          <w:sz w:val="32"/>
          <w:szCs w:val="32"/>
        </w:rPr>
        <w:t>2.提升农牧业生产性服务能力。</w:t>
      </w:r>
      <w:r>
        <w:rPr>
          <w:rFonts w:hint="eastAsia" w:ascii="仿宋" w:hAnsi="仿宋" w:eastAsia="仿宋" w:cs="仿宋"/>
          <w:sz w:val="32"/>
          <w:szCs w:val="32"/>
        </w:rPr>
        <w:t>结合标准化生产和高效节水行动计划，引导生产性服务组织与农牧户以合作、承包、托管、半托管、参股、互助联营等形式，带动农牧户参与高效节水建设和标准化生产。鼓励引导农机服务主体通过跨区作业、订单作业、生产托管等多种形式，开展高效便捷的农机作业服务，推广“全程机械化+综合农事服务”等服务模式，增强农机农艺融合和先进技术应用能力。抓好</w:t>
      </w:r>
      <w:r>
        <w:rPr>
          <w:rFonts w:hint="eastAsia" w:ascii="仿宋" w:hAnsi="仿宋" w:eastAsia="仿宋" w:cs="仿宋"/>
          <w:sz w:val="32"/>
          <w:szCs w:val="32"/>
          <w:lang w:eastAsia="zh-CN"/>
        </w:rPr>
        <w:t>太仆寺旗</w:t>
      </w:r>
      <w:r>
        <w:rPr>
          <w:rFonts w:hint="eastAsia" w:ascii="仿宋" w:hAnsi="仿宋" w:eastAsia="仿宋" w:cs="仿宋"/>
          <w:sz w:val="32"/>
          <w:szCs w:val="32"/>
        </w:rPr>
        <w:t>社会化服务</w:t>
      </w:r>
      <w:r>
        <w:rPr>
          <w:rFonts w:hint="eastAsia" w:ascii="仿宋" w:hAnsi="仿宋" w:eastAsia="仿宋" w:cs="仿宋"/>
          <w:sz w:val="32"/>
          <w:szCs w:val="32"/>
          <w:lang w:eastAsia="zh-CN"/>
        </w:rPr>
        <w:t>拓展延伸</w:t>
      </w:r>
      <w:r>
        <w:rPr>
          <w:rFonts w:hint="eastAsia" w:ascii="仿宋" w:hAnsi="仿宋" w:eastAsia="仿宋" w:cs="仿宋"/>
          <w:sz w:val="32"/>
          <w:szCs w:val="32"/>
        </w:rPr>
        <w:t>试点</w:t>
      </w:r>
      <w:r>
        <w:rPr>
          <w:rFonts w:hint="eastAsia" w:ascii="仿宋" w:hAnsi="仿宋" w:eastAsia="仿宋" w:cs="仿宋"/>
          <w:sz w:val="32"/>
          <w:szCs w:val="32"/>
          <w:lang w:eastAsia="zh-CN"/>
        </w:rPr>
        <w:t>工作</w:t>
      </w:r>
      <w:r>
        <w:rPr>
          <w:rFonts w:hint="eastAsia" w:ascii="仿宋" w:hAnsi="仿宋" w:eastAsia="仿宋" w:cs="仿宋"/>
          <w:sz w:val="32"/>
          <w:szCs w:val="32"/>
        </w:rPr>
        <w:t>，探索符合我盟实际的组织形式和经营模式。加强社会化服务</w:t>
      </w:r>
      <w:r>
        <w:rPr>
          <w:rFonts w:hint="eastAsia" w:ascii="仿宋" w:hAnsi="仿宋" w:eastAsia="仿宋" w:cs="仿宋"/>
          <w:sz w:val="32"/>
          <w:szCs w:val="32"/>
          <w:lang w:eastAsia="zh-CN"/>
        </w:rPr>
        <w:t>工作</w:t>
      </w:r>
      <w:r>
        <w:rPr>
          <w:rFonts w:hint="eastAsia" w:ascii="仿宋" w:hAnsi="仿宋" w:eastAsia="仿宋" w:cs="仿宋"/>
          <w:sz w:val="32"/>
          <w:szCs w:val="32"/>
        </w:rPr>
        <w:t>调查研究，总结典型经验，推广创新做法，发挥典型示范引领作用。</w:t>
      </w:r>
    </w:p>
    <w:p>
      <w:pPr>
        <w:pageBreakBefore w:val="0"/>
        <w:widowControl w:val="0"/>
        <w:kinsoku/>
        <w:wordWrap/>
        <w:overflowPunct/>
        <w:topLinePunct w:val="0"/>
        <w:autoSpaceDE/>
        <w:autoSpaceDN/>
        <w:bidi w:val="0"/>
        <w:adjustRightInd/>
        <w:snapToGrid/>
        <w:spacing w:after="156" w:afterLines="50" w:line="600" w:lineRule="exact"/>
        <w:ind w:firstLine="643" w:firstLineChars="200"/>
        <w:textAlignment w:val="auto"/>
        <w:rPr>
          <w:sz w:val="32"/>
        </w:rPr>
      </w:pPr>
      <w:r>
        <w:rPr>
          <w:rFonts w:hint="eastAsia" w:ascii="仿宋" w:hAnsi="仿宋" w:eastAsia="仿宋" w:cs="仿宋"/>
          <w:b/>
          <w:sz w:val="32"/>
          <w:szCs w:val="32"/>
        </w:rPr>
        <w:t>3.推进智慧农牧业发展。</w:t>
      </w:r>
      <w:r>
        <w:rPr>
          <w:rFonts w:hint="eastAsia" w:ascii="仿宋" w:hAnsi="仿宋" w:eastAsia="仿宋" w:cs="仿宋"/>
          <w:sz w:val="32"/>
          <w:szCs w:val="32"/>
        </w:rPr>
        <w:t>鼓励互联网企业建立产加销衔接的农牧业服务平台，加强农牧业信息监测预警和发布。</w:t>
      </w:r>
      <w:r>
        <w:rPr>
          <w:rFonts w:hint="eastAsia" w:ascii="仿宋" w:hAnsi="仿宋" w:eastAsia="仿宋" w:cs="仿宋"/>
          <w:sz w:val="32"/>
          <w:szCs w:val="32"/>
          <w:lang w:eastAsia="zh-CN"/>
        </w:rPr>
        <w:t>发挥</w:t>
      </w:r>
      <w:r>
        <w:rPr>
          <w:rFonts w:hint="eastAsia" w:ascii="仿宋" w:hAnsi="仿宋" w:eastAsia="仿宋" w:cs="仿宋"/>
          <w:sz w:val="32"/>
          <w:szCs w:val="32"/>
        </w:rPr>
        <w:t>“12316”三农服务热线和“两微一端一门户”服务功能，提高农牧业综合信息化服务水平</w:t>
      </w:r>
      <w:r>
        <w:rPr>
          <w:rFonts w:hint="eastAsia" w:ascii="仿宋" w:hAnsi="仿宋" w:eastAsia="仿宋" w:cs="仿宋"/>
          <w:sz w:val="32"/>
          <w:szCs w:val="32"/>
          <w:lang w:eastAsia="zh-CN"/>
        </w:rPr>
        <w:t>。</w:t>
      </w:r>
      <w:r>
        <w:rPr>
          <w:rFonts w:hint="eastAsia" w:ascii="仿宋" w:hAnsi="仿宋" w:eastAsia="仿宋" w:cs="仿宋"/>
          <w:sz w:val="32"/>
          <w:szCs w:val="32"/>
        </w:rPr>
        <w:t>鼓励对农牧业生产进行数字化智能化改造，推广适合农村牧区特点的信息技术、产品、应用和服务。加强农牧业遥感和物联网应用，提高农牧业发展智能化水平。加快智慧牧场建设，推进肉羊、肉牛、奶牛养殖牧场的智能化改造，配套完善电子识别、智能监控、精准饲喂、粪污处理等数字化设备，带动全盟畜牧业生产</w:t>
      </w:r>
      <w:r>
        <w:rPr>
          <w:rFonts w:hint="eastAsia" w:ascii="仿宋" w:hAnsi="仿宋" w:eastAsia="仿宋" w:cs="仿宋"/>
          <w:sz w:val="32"/>
          <w:szCs w:val="32"/>
          <w:lang w:eastAsia="zh-CN"/>
        </w:rPr>
        <w:t>现代化</w:t>
      </w:r>
      <w:r>
        <w:rPr>
          <w:rFonts w:hint="eastAsia" w:ascii="仿宋" w:hAnsi="仿宋" w:eastAsia="仿宋" w:cs="仿宋"/>
          <w:sz w:val="32"/>
          <w:szCs w:val="32"/>
        </w:rPr>
        <w:t>发展。</w:t>
      </w:r>
    </w:p>
    <w:tbl>
      <w:tblPr>
        <w:tblStyle w:val="26"/>
        <w:tblW w:w="8520" w:type="dxa"/>
        <w:tblInd w:w="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FFFFFF" w:themeFill="background1"/>
        <w:tblLayout w:type="fixed"/>
        <w:tblCellMar>
          <w:top w:w="0" w:type="dxa"/>
          <w:left w:w="0" w:type="dxa"/>
          <w:bottom w:w="0" w:type="dxa"/>
          <w:right w:w="0" w:type="dxa"/>
        </w:tblCellMar>
      </w:tblPr>
      <w:tblGrid>
        <w:gridCol w:w="852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FFFFFF" w:themeFill="background1"/>
          <w:tblCellMar>
            <w:top w:w="0" w:type="dxa"/>
            <w:left w:w="0" w:type="dxa"/>
            <w:bottom w:w="0" w:type="dxa"/>
            <w:right w:w="0" w:type="dxa"/>
          </w:tblCellMar>
        </w:tblPrEx>
        <w:tc>
          <w:tcPr>
            <w:tcW w:w="8520" w:type="dxa"/>
            <w:shd w:val="clear" w:color="auto" w:fill="FFFFFF" w:themeFill="background1"/>
            <w:tcMar>
              <w:left w:w="108" w:type="dxa"/>
              <w:right w:w="108" w:type="dxa"/>
            </w:tcMar>
            <w:vAlign w:val="center"/>
          </w:tcPr>
          <w:p>
            <w:pPr>
              <w:pStyle w:val="22"/>
              <w:spacing w:before="0" w:beforeAutospacing="0" w:after="0" w:afterAutospacing="0" w:line="560" w:lineRule="exact"/>
              <w:jc w:val="center"/>
              <w:rPr>
                <w:rFonts w:ascii="Times New Roman" w:hAnsi="Times New Roman" w:eastAsia="仿宋_GB2312"/>
                <w:szCs w:val="28"/>
              </w:rPr>
            </w:pPr>
            <w:r>
              <w:rPr>
                <w:rFonts w:hint="eastAsia" w:ascii="黑体" w:hAnsi="黑体" w:eastAsia="黑体" w:cs="黑体"/>
                <w:b w:val="0"/>
                <w:bCs w:val="0"/>
                <w:sz w:val="28"/>
                <w:szCs w:val="28"/>
              </w:rPr>
              <w:t>专栏3</w:t>
            </w:r>
            <w:r>
              <w:rPr>
                <w:rFonts w:hint="eastAsia" w:ascii="黑体" w:hAnsi="黑体" w:eastAsia="黑体" w:cs="黑体"/>
                <w:b w:val="0"/>
                <w:bCs w:val="0"/>
                <w:sz w:val="28"/>
                <w:szCs w:val="28"/>
                <w:lang w:val="en-US" w:eastAsia="zh-CN"/>
              </w:rPr>
              <w:t xml:space="preserve">  </w:t>
            </w:r>
            <w:r>
              <w:rPr>
                <w:rFonts w:hint="eastAsia" w:ascii="黑体" w:hAnsi="黑体" w:eastAsia="黑体" w:cs="黑体"/>
                <w:b w:val="0"/>
                <w:bCs w:val="0"/>
                <w:sz w:val="28"/>
                <w:szCs w:val="28"/>
              </w:rPr>
              <w:t>农村牧区一二三产业融合发展工程</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FFFFFF" w:themeFill="background1"/>
          <w:tblCellMar>
            <w:top w:w="0" w:type="dxa"/>
            <w:left w:w="0" w:type="dxa"/>
            <w:bottom w:w="0" w:type="dxa"/>
            <w:right w:w="0" w:type="dxa"/>
          </w:tblCellMar>
        </w:tblPrEx>
        <w:tc>
          <w:tcPr>
            <w:tcW w:w="8520" w:type="dxa"/>
            <w:shd w:val="clear" w:color="auto" w:fill="FFFFFF" w:themeFill="background1"/>
            <w:tcMar>
              <w:left w:w="108" w:type="dxa"/>
              <w:right w:w="108" w:type="dxa"/>
            </w:tcMar>
            <w:vAlign w:val="center"/>
          </w:tcPr>
          <w:p>
            <w:pPr>
              <w:pStyle w:val="45"/>
              <w:keepNext w:val="0"/>
              <w:keepLines w:val="0"/>
              <w:pageBreakBefore w:val="0"/>
              <w:kinsoku/>
              <w:wordWrap/>
              <w:overflowPunct/>
              <w:topLinePunct w:val="0"/>
              <w:autoSpaceDE/>
              <w:autoSpaceDN/>
              <w:bidi w:val="0"/>
              <w:adjustRightInd/>
              <w:snapToGrid/>
              <w:spacing w:line="360" w:lineRule="exact"/>
              <w:ind w:left="210" w:right="210" w:firstLine="480"/>
              <w:textAlignment w:val="auto"/>
              <w:rPr>
                <w:rFonts w:ascii="仿宋" w:hAnsi="仿宋" w:eastAsia="仿宋" w:cstheme="minorBidi"/>
                <w:sz w:val="24"/>
              </w:rPr>
            </w:pPr>
            <w:r>
              <w:rPr>
                <w:rFonts w:hint="eastAsia" w:ascii="黑体" w:hAnsi="黑体" w:eastAsia="黑体" w:cstheme="minorBidi"/>
                <w:sz w:val="24"/>
              </w:rPr>
              <w:t>1</w:t>
            </w:r>
            <w:r>
              <w:rPr>
                <w:rFonts w:ascii="黑体" w:hAnsi="黑体" w:eastAsia="黑体" w:cstheme="minorBidi"/>
                <w:sz w:val="24"/>
              </w:rPr>
              <w:t>.优势产业集群建设</w:t>
            </w:r>
            <w:r>
              <w:rPr>
                <w:rFonts w:hint="eastAsia" w:ascii="黑体" w:hAnsi="黑体" w:eastAsia="黑体" w:cstheme="minorBidi"/>
                <w:sz w:val="24"/>
                <w:lang w:eastAsia="zh-CN"/>
              </w:rPr>
              <w:t>。</w:t>
            </w:r>
            <w:r>
              <w:rPr>
                <w:rFonts w:ascii="仿宋" w:hAnsi="仿宋" w:eastAsia="仿宋" w:cstheme="minorBidi"/>
                <w:sz w:val="24"/>
              </w:rPr>
              <w:t>围绕肉羊、肉牛等优势特色产业，重点支持规模生产基地标准化和商品化生产、农畜产品初加工、深加工和物流设施建设、农牧业全产业链数字化等新基建建设、市场品牌体系和公共服务平台建设以及经营主体和服务主体培育壮大等方面，打造具有</w:t>
            </w:r>
            <w:r>
              <w:rPr>
                <w:rFonts w:hint="eastAsia" w:ascii="仿宋" w:hAnsi="仿宋" w:eastAsia="仿宋" w:cstheme="minorBidi"/>
                <w:sz w:val="24"/>
                <w:lang w:eastAsia="zh-CN"/>
              </w:rPr>
              <w:t>较</w:t>
            </w:r>
            <w:r>
              <w:rPr>
                <w:rFonts w:ascii="仿宋" w:hAnsi="仿宋" w:eastAsia="仿宋" w:cstheme="minorBidi"/>
                <w:sz w:val="24"/>
              </w:rPr>
              <w:t>强综合竞争力的现代农牧业产业集群。</w:t>
            </w:r>
          </w:p>
          <w:p>
            <w:pPr>
              <w:pStyle w:val="45"/>
              <w:keepNext w:val="0"/>
              <w:keepLines w:val="0"/>
              <w:pageBreakBefore w:val="0"/>
              <w:kinsoku/>
              <w:wordWrap/>
              <w:overflowPunct/>
              <w:topLinePunct w:val="0"/>
              <w:autoSpaceDE/>
              <w:autoSpaceDN/>
              <w:bidi w:val="0"/>
              <w:adjustRightInd/>
              <w:snapToGrid/>
              <w:spacing w:line="360" w:lineRule="exact"/>
              <w:ind w:left="210" w:right="210" w:firstLine="480"/>
              <w:textAlignment w:val="auto"/>
              <w:rPr>
                <w:rFonts w:ascii="仿宋" w:hAnsi="仿宋" w:eastAsia="仿宋" w:cstheme="minorBidi"/>
                <w:sz w:val="24"/>
              </w:rPr>
            </w:pPr>
            <w:r>
              <w:rPr>
                <w:rFonts w:hint="eastAsia" w:ascii="黑体" w:hAnsi="黑体" w:eastAsia="黑体" w:cstheme="minorBidi"/>
                <w:sz w:val="24"/>
              </w:rPr>
              <w:t>2</w:t>
            </w:r>
            <w:r>
              <w:rPr>
                <w:rFonts w:ascii="黑体" w:hAnsi="黑体" w:eastAsia="黑体" w:cstheme="minorBidi"/>
                <w:sz w:val="24"/>
              </w:rPr>
              <w:t>.现代农牧业产业园</w:t>
            </w:r>
            <w:r>
              <w:rPr>
                <w:rFonts w:hint="eastAsia" w:ascii="黑体" w:hAnsi="黑体" w:eastAsia="黑体" w:cstheme="minorBidi"/>
                <w:sz w:val="24"/>
              </w:rPr>
              <w:t>创建</w:t>
            </w:r>
            <w:r>
              <w:rPr>
                <w:rFonts w:hint="eastAsia" w:ascii="黑体" w:hAnsi="黑体" w:eastAsia="黑体" w:cstheme="minorBidi"/>
                <w:sz w:val="24"/>
                <w:lang w:eastAsia="zh-CN"/>
              </w:rPr>
              <w:t>。</w:t>
            </w:r>
            <w:r>
              <w:rPr>
                <w:rFonts w:ascii="仿宋" w:hAnsi="仿宋" w:eastAsia="仿宋" w:cstheme="minorBidi"/>
                <w:sz w:val="24"/>
              </w:rPr>
              <w:t>以旗县为</w:t>
            </w:r>
            <w:r>
              <w:rPr>
                <w:rFonts w:hint="eastAsia" w:ascii="仿宋" w:hAnsi="仿宋" w:eastAsia="仿宋" w:cstheme="minorBidi"/>
                <w:sz w:val="24"/>
                <w:lang w:eastAsia="zh-CN"/>
              </w:rPr>
              <w:t>单位</w:t>
            </w:r>
            <w:r>
              <w:rPr>
                <w:rFonts w:ascii="仿宋" w:hAnsi="仿宋" w:eastAsia="仿宋" w:cstheme="minorBidi"/>
                <w:sz w:val="24"/>
              </w:rPr>
              <w:t>，按照“主导产业特色优势明显、规划布局科学合理、建设水平区域领先、绿色发展成效突出、带动农牧民作用显著、政策支持措施有力和组织管理健全完善”</w:t>
            </w:r>
            <w:r>
              <w:rPr>
                <w:rFonts w:hint="eastAsia" w:ascii="仿宋" w:hAnsi="仿宋" w:eastAsia="仿宋" w:cstheme="minorBidi"/>
                <w:sz w:val="24"/>
                <w:lang w:eastAsia="zh-CN"/>
              </w:rPr>
              <w:t>等</w:t>
            </w:r>
            <w:r>
              <w:rPr>
                <w:rFonts w:ascii="仿宋" w:hAnsi="仿宋" w:eastAsia="仿宋" w:cstheme="minorBidi"/>
                <w:sz w:val="24"/>
              </w:rPr>
              <w:t>创建条件和要求，大力开展现代农牧业产业园创建工作，推动县域优势特色产业发展壮大。</w:t>
            </w:r>
          </w:p>
          <w:p>
            <w:pPr>
              <w:pStyle w:val="45"/>
              <w:keepNext w:val="0"/>
              <w:keepLines w:val="0"/>
              <w:pageBreakBefore w:val="0"/>
              <w:kinsoku/>
              <w:wordWrap/>
              <w:overflowPunct/>
              <w:topLinePunct w:val="0"/>
              <w:autoSpaceDE/>
              <w:autoSpaceDN/>
              <w:bidi w:val="0"/>
              <w:adjustRightInd/>
              <w:snapToGrid/>
              <w:spacing w:line="360" w:lineRule="exact"/>
              <w:ind w:left="210" w:right="210" w:firstLine="480"/>
              <w:textAlignment w:val="auto"/>
              <w:rPr>
                <w:rFonts w:ascii="仿宋" w:hAnsi="仿宋" w:eastAsia="仿宋" w:cstheme="minorBidi"/>
                <w:sz w:val="24"/>
              </w:rPr>
            </w:pPr>
            <w:r>
              <w:rPr>
                <w:rFonts w:hint="eastAsia" w:ascii="黑体" w:hAnsi="黑体" w:eastAsia="黑体" w:cstheme="minorBidi"/>
                <w:sz w:val="24"/>
              </w:rPr>
              <w:t>3</w:t>
            </w:r>
            <w:r>
              <w:rPr>
                <w:rFonts w:ascii="黑体" w:hAnsi="黑体" w:eastAsia="黑体" w:cstheme="minorBidi"/>
                <w:sz w:val="24"/>
              </w:rPr>
              <w:t>.</w:t>
            </w:r>
            <w:r>
              <w:rPr>
                <w:rFonts w:hint="eastAsia" w:ascii="黑体" w:hAnsi="黑体" w:eastAsia="黑体" w:cstheme="minorBidi"/>
                <w:sz w:val="24"/>
              </w:rPr>
              <w:t>产</w:t>
            </w:r>
            <w:r>
              <w:rPr>
                <w:rFonts w:ascii="黑体" w:hAnsi="黑体" w:eastAsia="黑体" w:cstheme="minorBidi"/>
                <w:sz w:val="24"/>
              </w:rPr>
              <w:t>业强镇</w:t>
            </w:r>
            <w:r>
              <w:rPr>
                <w:rFonts w:hint="eastAsia" w:ascii="黑体" w:hAnsi="黑体" w:eastAsia="黑体" w:cstheme="minorBidi"/>
                <w:sz w:val="24"/>
              </w:rPr>
              <w:t>建设</w:t>
            </w:r>
            <w:r>
              <w:rPr>
                <w:rFonts w:hint="eastAsia" w:ascii="黑体" w:hAnsi="黑体" w:eastAsia="黑体" w:cstheme="minorBidi"/>
                <w:sz w:val="24"/>
                <w:lang w:eastAsia="zh-CN"/>
              </w:rPr>
              <w:t>。</w:t>
            </w:r>
            <w:r>
              <w:rPr>
                <w:rFonts w:hint="eastAsia" w:ascii="仿宋" w:hAnsi="仿宋" w:eastAsia="仿宋" w:cstheme="minorBidi"/>
                <w:sz w:val="24"/>
                <w:lang w:eastAsia="zh-CN"/>
              </w:rPr>
              <w:t>以苏木乡镇为单位，</w:t>
            </w:r>
            <w:r>
              <w:rPr>
                <w:rFonts w:ascii="仿宋" w:hAnsi="仿宋" w:eastAsia="仿宋" w:cstheme="minorBidi"/>
                <w:sz w:val="24"/>
              </w:rPr>
              <w:t>着眼产业发展，聚焦培育龙头企业和产业化联合体，支持主导产业关键领域和薄弱环节发展，促进产业转型升级、由大变强，推动产城融合、产村融合发展，打造综合服务功能强、宜居宜业的农村牧区产业融合综合体。</w:t>
            </w:r>
          </w:p>
          <w:p>
            <w:pPr>
              <w:pStyle w:val="45"/>
              <w:keepNext w:val="0"/>
              <w:keepLines w:val="0"/>
              <w:pageBreakBefore w:val="0"/>
              <w:kinsoku/>
              <w:wordWrap/>
              <w:overflowPunct/>
              <w:topLinePunct w:val="0"/>
              <w:autoSpaceDE/>
              <w:autoSpaceDN/>
              <w:bidi w:val="0"/>
              <w:adjustRightInd/>
              <w:snapToGrid/>
              <w:spacing w:line="360" w:lineRule="exact"/>
              <w:ind w:left="210" w:right="210" w:firstLine="355" w:firstLineChars="148"/>
              <w:textAlignment w:val="auto"/>
              <w:rPr>
                <w:rFonts w:ascii="仿宋" w:hAnsi="仿宋" w:eastAsia="仿宋" w:cstheme="minorBidi"/>
                <w:sz w:val="24"/>
              </w:rPr>
            </w:pPr>
            <w:r>
              <w:rPr>
                <w:rFonts w:ascii="黑体" w:hAnsi="黑体" w:eastAsia="黑体" w:cstheme="minorBidi"/>
                <w:sz w:val="24"/>
              </w:rPr>
              <w:t xml:space="preserve"> 4.农牧业现代化示范区建设</w:t>
            </w:r>
            <w:r>
              <w:rPr>
                <w:rFonts w:hint="eastAsia" w:ascii="黑体" w:hAnsi="黑体" w:eastAsia="黑体" w:cstheme="minorBidi"/>
                <w:sz w:val="24"/>
                <w:lang w:eastAsia="zh-CN"/>
              </w:rPr>
              <w:t>。</w:t>
            </w:r>
            <w:r>
              <w:rPr>
                <w:rFonts w:ascii="仿宋" w:hAnsi="仿宋" w:eastAsia="仿宋" w:cstheme="minorBidi"/>
                <w:sz w:val="24"/>
              </w:rPr>
              <w:t>加强资源整合、政策集成，改善物质装备技术条件，以旗县为创建单位，探索差异化、特色化的农牧业现代化发展模式。</w:t>
            </w:r>
          </w:p>
          <w:p>
            <w:pPr>
              <w:pStyle w:val="45"/>
              <w:keepNext w:val="0"/>
              <w:keepLines w:val="0"/>
              <w:pageBreakBefore w:val="0"/>
              <w:kinsoku/>
              <w:wordWrap/>
              <w:overflowPunct/>
              <w:topLinePunct w:val="0"/>
              <w:autoSpaceDE/>
              <w:autoSpaceDN/>
              <w:bidi w:val="0"/>
              <w:adjustRightInd/>
              <w:snapToGrid/>
              <w:spacing w:line="360" w:lineRule="exact"/>
              <w:ind w:left="210" w:right="210" w:firstLine="480"/>
              <w:textAlignment w:val="auto"/>
              <w:rPr>
                <w:rFonts w:ascii="仿宋" w:hAnsi="仿宋" w:eastAsia="仿宋" w:cstheme="minorBidi"/>
                <w:sz w:val="24"/>
              </w:rPr>
            </w:pPr>
            <w:r>
              <w:rPr>
                <w:rFonts w:ascii="黑体" w:hAnsi="黑体" w:eastAsia="黑体" w:cstheme="minorBidi"/>
                <w:sz w:val="24"/>
              </w:rPr>
              <w:t>5.“一村一品”示范村镇建设</w:t>
            </w:r>
            <w:r>
              <w:rPr>
                <w:rFonts w:hint="eastAsia" w:ascii="黑体" w:hAnsi="黑体" w:eastAsia="黑体" w:cstheme="minorBidi"/>
                <w:sz w:val="24"/>
                <w:lang w:eastAsia="zh-CN"/>
              </w:rPr>
              <w:t>。</w:t>
            </w:r>
            <w:r>
              <w:rPr>
                <w:rFonts w:ascii="仿宋" w:hAnsi="仿宋" w:eastAsia="仿宋" w:cstheme="minorBidi"/>
                <w:sz w:val="24"/>
              </w:rPr>
              <w:t>重点围绕主导产业、</w:t>
            </w:r>
            <w:r>
              <w:rPr>
                <w:rFonts w:hint="eastAsia" w:ascii="仿宋" w:hAnsi="仿宋" w:eastAsia="仿宋" w:cstheme="minorBidi"/>
                <w:sz w:val="24"/>
                <w:lang w:eastAsia="zh-CN"/>
              </w:rPr>
              <w:t>带动农牧户</w:t>
            </w:r>
            <w:r>
              <w:rPr>
                <w:rFonts w:ascii="仿宋" w:hAnsi="仿宋" w:eastAsia="仿宋" w:cstheme="minorBidi"/>
                <w:sz w:val="24"/>
              </w:rPr>
              <w:t>效果、品牌影响和组织化水平</w:t>
            </w:r>
            <w:r>
              <w:rPr>
                <w:rFonts w:hint="eastAsia" w:ascii="仿宋" w:hAnsi="仿宋" w:eastAsia="仿宋" w:cstheme="minorBidi"/>
                <w:sz w:val="24"/>
                <w:lang w:eastAsia="zh-CN"/>
              </w:rPr>
              <w:t>等</w:t>
            </w:r>
            <w:r>
              <w:rPr>
                <w:rFonts w:ascii="仿宋" w:hAnsi="仿宋" w:eastAsia="仿宋" w:cstheme="minorBidi"/>
                <w:sz w:val="24"/>
              </w:rPr>
              <w:t>方面，积极打造国家级</w:t>
            </w:r>
            <w:r>
              <w:rPr>
                <w:rFonts w:hint="eastAsia" w:ascii="仿宋" w:hAnsi="仿宋" w:eastAsia="仿宋" w:cstheme="minorBidi"/>
                <w:sz w:val="24"/>
                <w:lang w:eastAsia="zh-CN"/>
              </w:rPr>
              <w:t>和</w:t>
            </w:r>
            <w:r>
              <w:rPr>
                <w:rFonts w:ascii="仿宋" w:hAnsi="仿宋" w:eastAsia="仿宋" w:cstheme="minorBidi"/>
                <w:sz w:val="24"/>
              </w:rPr>
              <w:t>自治区级“一村一品”示范村镇，示范带动乡土特色产业发展。</w:t>
            </w:r>
          </w:p>
          <w:p>
            <w:pPr>
              <w:pStyle w:val="45"/>
              <w:keepNext w:val="0"/>
              <w:keepLines w:val="0"/>
              <w:pageBreakBefore w:val="0"/>
              <w:kinsoku/>
              <w:wordWrap/>
              <w:overflowPunct/>
              <w:topLinePunct w:val="0"/>
              <w:autoSpaceDE/>
              <w:autoSpaceDN/>
              <w:bidi w:val="0"/>
              <w:adjustRightInd/>
              <w:snapToGrid/>
              <w:spacing w:line="360" w:lineRule="exact"/>
              <w:ind w:left="210" w:right="210" w:firstLine="480"/>
              <w:textAlignment w:val="auto"/>
              <w:rPr>
                <w:rFonts w:ascii="仿宋" w:hAnsi="仿宋" w:eastAsia="仿宋" w:cstheme="minorBidi"/>
                <w:sz w:val="24"/>
                <w:szCs w:val="24"/>
              </w:rPr>
            </w:pPr>
            <w:r>
              <w:rPr>
                <w:rFonts w:ascii="黑体" w:hAnsi="黑体" w:eastAsia="黑体" w:cstheme="minorBidi"/>
                <w:sz w:val="24"/>
              </w:rPr>
              <w:t>6.重点产业全产业链建设</w:t>
            </w:r>
            <w:r>
              <w:rPr>
                <w:rFonts w:hint="eastAsia" w:ascii="黑体" w:hAnsi="黑体" w:eastAsia="黑体" w:cstheme="minorBidi"/>
                <w:sz w:val="24"/>
                <w:lang w:eastAsia="zh-CN"/>
              </w:rPr>
              <w:t>。</w:t>
            </w:r>
            <w:r>
              <w:rPr>
                <w:rFonts w:ascii="仿宋" w:hAnsi="仿宋" w:eastAsia="仿宋" w:cstheme="minorBidi"/>
                <w:b/>
                <w:sz w:val="24"/>
                <w:szCs w:val="24"/>
              </w:rPr>
              <w:t>肉羊产业，</w:t>
            </w:r>
            <w:r>
              <w:rPr>
                <w:rFonts w:ascii="仿宋" w:hAnsi="仿宋" w:eastAsia="仿宋" w:cstheme="minorBidi"/>
                <w:sz w:val="24"/>
                <w:szCs w:val="24"/>
              </w:rPr>
              <w:t>依托“锡林郭勒羊”品牌优势，重点围绕养殖能力与加工能力匹配问题，分区域、分品种推进标准化规模养殖，适度发展肉羊</w:t>
            </w:r>
            <w:r>
              <w:rPr>
                <w:rFonts w:hint="eastAsia" w:ascii="仿宋" w:hAnsi="仿宋" w:eastAsia="仿宋" w:cstheme="minorBidi"/>
                <w:sz w:val="24"/>
                <w:szCs w:val="24"/>
                <w:lang w:eastAsia="zh-CN"/>
              </w:rPr>
              <w:t>谷饲育肥</w:t>
            </w:r>
            <w:r>
              <w:rPr>
                <w:rFonts w:ascii="仿宋" w:hAnsi="仿宋" w:eastAsia="仿宋" w:cstheme="minorBidi"/>
                <w:sz w:val="24"/>
                <w:szCs w:val="24"/>
              </w:rPr>
              <w:t>产业，推动肉羊全产业一体化发展。</w:t>
            </w:r>
            <w:r>
              <w:rPr>
                <w:rFonts w:ascii="仿宋" w:hAnsi="仿宋" w:eastAsia="仿宋" w:cstheme="minorBidi"/>
                <w:b/>
                <w:sz w:val="24"/>
                <w:szCs w:val="24"/>
              </w:rPr>
              <w:t>肉牛产业，</w:t>
            </w:r>
            <w:r>
              <w:rPr>
                <w:rFonts w:ascii="仿宋" w:hAnsi="仿宋" w:eastAsia="仿宋" w:cstheme="minorBidi"/>
                <w:sz w:val="24"/>
                <w:szCs w:val="24"/>
              </w:rPr>
              <w:t>聚焦育种、饲草供给、屠宰加工、养殖育肥、精深加工、品牌塑造等重点方面，持续加强政策扶持力度，</w:t>
            </w:r>
            <w:r>
              <w:rPr>
                <w:rFonts w:hint="eastAsia" w:ascii="仿宋" w:hAnsi="仿宋" w:eastAsia="仿宋" w:cstheme="minorBidi"/>
                <w:sz w:val="24"/>
                <w:szCs w:val="24"/>
                <w:lang w:eastAsia="zh-CN"/>
              </w:rPr>
              <w:t>推进“锡林郭勒牛”品牌建设，</w:t>
            </w:r>
            <w:r>
              <w:rPr>
                <w:rFonts w:ascii="仿宋" w:hAnsi="仿宋" w:eastAsia="仿宋" w:cstheme="minorBidi"/>
                <w:sz w:val="24"/>
                <w:szCs w:val="24"/>
              </w:rPr>
              <w:t>统筹布局打造优质良种肉牛全产业发展链条。</w:t>
            </w:r>
            <w:r>
              <w:rPr>
                <w:rFonts w:ascii="仿宋" w:hAnsi="仿宋" w:eastAsia="仿宋" w:cstheme="minorBidi"/>
                <w:b/>
                <w:sz w:val="24"/>
                <w:szCs w:val="24"/>
              </w:rPr>
              <w:t>奶产业，</w:t>
            </w:r>
            <w:r>
              <w:rPr>
                <w:rFonts w:ascii="仿宋" w:hAnsi="仿宋" w:eastAsia="仿宋" w:cstheme="minorBidi"/>
                <w:sz w:val="24"/>
                <w:szCs w:val="24"/>
              </w:rPr>
              <w:t>突出“锡林郭勒奶酪”品牌优势，提升优质饲草料供给保障能力，加强中小养殖场和民族奶制品加工坊改造升级，密切农企利益联结机制，在秉承传统生产加工技艺的基础上，向市场化、精细化、现代化和国际化等多元化方向发展，稳步提高民族传统奶制品全产业链发展效益。</w:t>
            </w:r>
            <w:r>
              <w:rPr>
                <w:rFonts w:ascii="仿宋" w:hAnsi="仿宋" w:eastAsia="仿宋" w:cstheme="minorBidi"/>
                <w:b/>
                <w:sz w:val="24"/>
                <w:szCs w:val="24"/>
              </w:rPr>
              <w:t>马铃薯产业，</w:t>
            </w:r>
            <w:r>
              <w:rPr>
                <w:rFonts w:ascii="仿宋" w:hAnsi="仿宋" w:eastAsia="仿宋" w:cstheme="minorBidi"/>
                <w:sz w:val="24"/>
                <w:szCs w:val="24"/>
              </w:rPr>
              <w:t>突出龙头企业引领带动，大力发展马铃薯标准化原料基地建设和精深加工，夯实马铃薯全产业链条发展基础。</w:t>
            </w:r>
          </w:p>
          <w:p>
            <w:pPr>
              <w:pStyle w:val="22"/>
              <w:keepNext w:val="0"/>
              <w:keepLines w:val="0"/>
              <w:pageBreakBefore w:val="0"/>
              <w:kinsoku/>
              <w:wordWrap/>
              <w:overflowPunct/>
              <w:topLinePunct w:val="0"/>
              <w:autoSpaceDE/>
              <w:autoSpaceDN/>
              <w:bidi w:val="0"/>
              <w:adjustRightInd/>
              <w:snapToGrid/>
              <w:spacing w:before="0" w:beforeAutospacing="0" w:after="0" w:afterAutospacing="0" w:line="360" w:lineRule="exact"/>
              <w:ind w:left="210" w:right="210" w:firstLine="480" w:firstLineChars="200"/>
              <w:jc w:val="both"/>
              <w:textAlignment w:val="auto"/>
              <w:rPr>
                <w:rFonts w:ascii="仿宋" w:hAnsi="仿宋" w:eastAsia="仿宋" w:cs="Times New Roman"/>
              </w:rPr>
            </w:pPr>
            <w:r>
              <w:rPr>
                <w:rFonts w:ascii="黑体" w:hAnsi="黑体" w:eastAsia="黑体" w:cs="黑体"/>
                <w:kern w:val="2"/>
              </w:rPr>
              <w:t>7.</w:t>
            </w:r>
            <w:r>
              <w:rPr>
                <w:rFonts w:hint="eastAsia" w:ascii="黑体" w:hAnsi="黑体" w:eastAsia="黑体" w:cs="黑体"/>
                <w:kern w:val="2"/>
              </w:rPr>
              <w:t>农畜产品加工提升</w:t>
            </w:r>
            <w:r>
              <w:rPr>
                <w:rFonts w:hint="eastAsia" w:ascii="黑体" w:hAnsi="黑体" w:eastAsia="黑体" w:cs="黑体"/>
                <w:kern w:val="2"/>
                <w:lang w:eastAsia="zh-CN"/>
              </w:rPr>
              <w:t>。</w:t>
            </w:r>
            <w:r>
              <w:rPr>
                <w:rFonts w:ascii="仿宋" w:hAnsi="仿宋" w:eastAsia="仿宋" w:cs="Times New Roman"/>
              </w:rPr>
              <w:t>加快推进农畜产品加工业发展，重点围绕加工转化率偏低和发展潜力较大的加工产业和地区，支持农畜产品加工龙头企业扩能改造、研发创新和精深加工，稳步提高农畜产品加工转化率和增值水平。</w:t>
            </w:r>
          </w:p>
          <w:p>
            <w:pPr>
              <w:pStyle w:val="22"/>
              <w:keepNext w:val="0"/>
              <w:keepLines w:val="0"/>
              <w:pageBreakBefore w:val="0"/>
              <w:kinsoku/>
              <w:wordWrap/>
              <w:overflowPunct/>
              <w:topLinePunct w:val="0"/>
              <w:autoSpaceDE/>
              <w:autoSpaceDN/>
              <w:bidi w:val="0"/>
              <w:adjustRightInd/>
              <w:snapToGrid/>
              <w:spacing w:before="0" w:beforeAutospacing="0" w:after="0" w:afterAutospacing="0" w:line="360" w:lineRule="exact"/>
              <w:ind w:left="210" w:right="210" w:firstLine="480" w:firstLineChars="200"/>
              <w:jc w:val="both"/>
              <w:textAlignment w:val="auto"/>
              <w:rPr>
                <w:rFonts w:ascii="仿宋" w:hAnsi="仿宋" w:eastAsia="仿宋" w:cs="Times New Roman"/>
              </w:rPr>
            </w:pPr>
            <w:r>
              <w:rPr>
                <w:rFonts w:hint="eastAsia" w:ascii="黑体" w:hAnsi="黑体" w:eastAsia="黑体" w:cs="黑体"/>
                <w:kern w:val="2"/>
              </w:rPr>
              <w:t>8</w:t>
            </w:r>
            <w:r>
              <w:rPr>
                <w:rFonts w:ascii="黑体" w:hAnsi="黑体" w:eastAsia="黑体" w:cs="黑体"/>
                <w:kern w:val="2"/>
              </w:rPr>
              <w:t>.</w:t>
            </w:r>
            <w:r>
              <w:rPr>
                <w:rFonts w:hint="eastAsia" w:ascii="黑体" w:hAnsi="黑体" w:eastAsia="黑体" w:cs="黑体"/>
                <w:kern w:val="2"/>
              </w:rPr>
              <w:t>农畜产品仓储保鲜冷链设施建设</w:t>
            </w:r>
            <w:r>
              <w:rPr>
                <w:rFonts w:hint="eastAsia" w:ascii="黑体" w:hAnsi="黑体" w:eastAsia="黑体" w:cs="黑体"/>
                <w:kern w:val="2"/>
                <w:lang w:eastAsia="zh-CN"/>
              </w:rPr>
              <w:t>。</w:t>
            </w:r>
            <w:r>
              <w:rPr>
                <w:rFonts w:hint="eastAsia" w:ascii="仿宋" w:hAnsi="仿宋" w:eastAsia="仿宋" w:cs="Times New Roman"/>
                <w:lang w:eastAsia="zh-CN"/>
              </w:rPr>
              <w:t>重点在</w:t>
            </w:r>
            <w:r>
              <w:rPr>
                <w:rFonts w:ascii="仿宋" w:hAnsi="仿宋" w:eastAsia="仿宋" w:cs="Times New Roman"/>
              </w:rPr>
              <w:t>特色农畜产品优势区和鲜活农畜产品主产区，</w:t>
            </w:r>
            <w:r>
              <w:rPr>
                <w:rFonts w:hint="eastAsia" w:ascii="仿宋" w:hAnsi="仿宋" w:eastAsia="仿宋" w:cs="Times New Roman"/>
              </w:rPr>
              <w:t>支持家庭农牧场、农牧民合作社等新型经营主体结合实际需要，建设产地小型冷藏保鲜设施，</w:t>
            </w:r>
            <w:r>
              <w:rPr>
                <w:rFonts w:ascii="仿宋" w:hAnsi="仿宋" w:eastAsia="仿宋" w:cs="Times New Roman"/>
              </w:rPr>
              <w:t>提升农畜产品仓储保鲜能力和冷链流通率，减少产后损失，保障产品质量。</w:t>
            </w:r>
          </w:p>
          <w:p>
            <w:pPr>
              <w:pStyle w:val="22"/>
              <w:keepNext w:val="0"/>
              <w:keepLines w:val="0"/>
              <w:pageBreakBefore w:val="0"/>
              <w:kinsoku/>
              <w:wordWrap/>
              <w:overflowPunct/>
              <w:topLinePunct w:val="0"/>
              <w:autoSpaceDE/>
              <w:autoSpaceDN/>
              <w:bidi w:val="0"/>
              <w:adjustRightInd/>
              <w:snapToGrid/>
              <w:spacing w:before="0" w:beforeAutospacing="0" w:after="0" w:afterAutospacing="0" w:line="360" w:lineRule="exact"/>
              <w:ind w:left="210" w:right="210" w:firstLine="480" w:firstLineChars="200"/>
              <w:jc w:val="both"/>
              <w:textAlignment w:val="auto"/>
              <w:rPr>
                <w:rFonts w:ascii="仿宋" w:hAnsi="仿宋" w:eastAsia="仿宋" w:cs="Times New Roman"/>
              </w:rPr>
            </w:pPr>
            <w:r>
              <w:rPr>
                <w:rFonts w:ascii="黑体" w:hAnsi="黑体" w:eastAsia="黑体" w:cs="黑体"/>
                <w:kern w:val="2"/>
              </w:rPr>
              <w:t>9.</w:t>
            </w:r>
            <w:r>
              <w:rPr>
                <w:rFonts w:hint="eastAsia" w:ascii="黑体" w:hAnsi="黑体" w:eastAsia="黑体" w:cs="黑体"/>
                <w:kern w:val="2"/>
              </w:rPr>
              <w:t>农村牧区休闲旅游</w:t>
            </w:r>
            <w:r>
              <w:rPr>
                <w:rFonts w:hint="eastAsia" w:ascii="黑体" w:hAnsi="黑体" w:eastAsia="黑体" w:cs="黑体"/>
                <w:kern w:val="2"/>
                <w:lang w:eastAsia="zh-CN"/>
              </w:rPr>
              <w:t>。</w:t>
            </w:r>
            <w:r>
              <w:rPr>
                <w:rFonts w:ascii="仿宋" w:hAnsi="仿宋" w:eastAsia="仿宋" w:cs="Times New Roman"/>
              </w:rPr>
              <w:t>按照“核心突破、多点提升、配套发展、全域旅游”思路，以资源组合、景区联合、线路整合、产业聚合为牵引，建设高品质旅游线路和景区、度假区，拓展自驾探险游、冰雪体验游、健康养生游、摄影采风游、边境跨境游等旅游形态，着力构建全域、全季、全业态的农村牧区休闲旅游发展新格局。</w:t>
            </w:r>
          </w:p>
          <w:p>
            <w:pPr>
              <w:pStyle w:val="22"/>
              <w:keepNext w:val="0"/>
              <w:keepLines w:val="0"/>
              <w:pageBreakBefore w:val="0"/>
              <w:kinsoku/>
              <w:wordWrap/>
              <w:overflowPunct/>
              <w:topLinePunct w:val="0"/>
              <w:autoSpaceDE/>
              <w:autoSpaceDN/>
              <w:bidi w:val="0"/>
              <w:adjustRightInd/>
              <w:snapToGrid/>
              <w:spacing w:before="0" w:beforeAutospacing="0" w:after="0" w:afterAutospacing="0" w:line="360" w:lineRule="exact"/>
              <w:ind w:left="210" w:right="210" w:firstLine="480" w:firstLineChars="200"/>
              <w:jc w:val="both"/>
              <w:textAlignment w:val="auto"/>
              <w:rPr>
                <w:rFonts w:ascii="仿宋" w:hAnsi="仿宋" w:eastAsia="仿宋" w:cs="仿宋"/>
                <w:color w:val="000000" w:themeColor="text1"/>
                <w:kern w:val="2"/>
              </w:rPr>
            </w:pPr>
            <w:r>
              <w:rPr>
                <w:rFonts w:hint="eastAsia" w:ascii="黑体" w:hAnsi="黑体" w:eastAsia="黑体" w:cs="黑体"/>
                <w:kern w:val="2"/>
              </w:rPr>
              <w:t>1</w:t>
            </w:r>
            <w:r>
              <w:rPr>
                <w:rFonts w:ascii="黑体" w:hAnsi="黑体" w:eastAsia="黑体" w:cs="黑体"/>
                <w:kern w:val="2"/>
              </w:rPr>
              <w:t>0.</w:t>
            </w:r>
            <w:r>
              <w:rPr>
                <w:rFonts w:hint="eastAsia" w:ascii="黑体" w:hAnsi="黑体" w:eastAsia="黑体" w:cs="黑体"/>
                <w:kern w:val="2"/>
              </w:rPr>
              <w:t>现代农牧业经营主体培育</w:t>
            </w:r>
            <w:r>
              <w:rPr>
                <w:rFonts w:hint="eastAsia" w:ascii="黑体" w:hAnsi="黑体" w:eastAsia="黑体" w:cs="黑体"/>
                <w:kern w:val="2"/>
                <w:lang w:eastAsia="zh-CN"/>
              </w:rPr>
              <w:t>。</w:t>
            </w:r>
            <w:r>
              <w:rPr>
                <w:rFonts w:ascii="仿宋" w:hAnsi="仿宋" w:eastAsia="仿宋" w:cs="仿宋"/>
                <w:color w:val="000000" w:themeColor="text1"/>
                <w:kern w:val="2"/>
              </w:rPr>
              <w:t>落实各级扶持政策，大力培育新型农牧业经营主体，全面促进农牧户和现代农牧业发展有机衔接。到2025年，全盟农企利益联结机制比例达到88%，紧密型比例达到60%以上。</w:t>
            </w:r>
          </w:p>
          <w:p>
            <w:pPr>
              <w:pStyle w:val="22"/>
              <w:keepNext w:val="0"/>
              <w:keepLines w:val="0"/>
              <w:pageBreakBefore w:val="0"/>
              <w:kinsoku/>
              <w:wordWrap/>
              <w:overflowPunct/>
              <w:topLinePunct w:val="0"/>
              <w:autoSpaceDE/>
              <w:autoSpaceDN/>
              <w:bidi w:val="0"/>
              <w:adjustRightInd/>
              <w:snapToGrid/>
              <w:spacing w:before="0" w:beforeAutospacing="0" w:after="0" w:afterAutospacing="0" w:line="360" w:lineRule="exact"/>
              <w:ind w:left="210" w:right="210" w:firstLine="480" w:firstLineChars="200"/>
              <w:jc w:val="both"/>
              <w:textAlignment w:val="auto"/>
            </w:pPr>
            <w:r>
              <w:rPr>
                <w:rFonts w:hint="eastAsia" w:ascii="黑体" w:hAnsi="黑体" w:eastAsia="黑体" w:cs="黑体"/>
                <w:kern w:val="2"/>
                <w:lang w:val="en-US" w:eastAsia="zh-CN"/>
              </w:rPr>
              <w:t>11</w:t>
            </w:r>
            <w:r>
              <w:rPr>
                <w:rFonts w:ascii="黑体" w:hAnsi="黑体" w:eastAsia="黑体" w:cs="黑体"/>
                <w:kern w:val="2"/>
              </w:rPr>
              <w:t>.</w:t>
            </w:r>
            <w:r>
              <w:rPr>
                <w:rFonts w:hint="eastAsia" w:ascii="黑体" w:hAnsi="黑体" w:eastAsia="黑体" w:cs="黑体"/>
                <w:kern w:val="2"/>
              </w:rPr>
              <w:t>产业化联合体培育</w:t>
            </w:r>
            <w:r>
              <w:rPr>
                <w:rFonts w:hint="eastAsia" w:ascii="黑体" w:hAnsi="黑体" w:eastAsia="黑体" w:cs="黑体"/>
                <w:kern w:val="2"/>
                <w:lang w:eastAsia="zh-CN"/>
              </w:rPr>
              <w:t>。</w:t>
            </w:r>
            <w:r>
              <w:rPr>
                <w:rFonts w:hint="eastAsia" w:ascii="仿宋" w:hAnsi="仿宋" w:eastAsia="仿宋" w:cs="仿宋"/>
                <w:lang w:eastAsia="zh-CN"/>
              </w:rPr>
              <w:t>加强</w:t>
            </w:r>
            <w:r>
              <w:rPr>
                <w:rFonts w:ascii="仿宋" w:hAnsi="仿宋" w:eastAsia="仿宋" w:cs="仿宋"/>
              </w:rPr>
              <w:t>农牧业产业化联合体培育工作，稳步实现联合体</w:t>
            </w:r>
            <w:r>
              <w:rPr>
                <w:rFonts w:hint="eastAsia" w:ascii="仿宋" w:hAnsi="仿宋" w:eastAsia="仿宋" w:cs="仿宋"/>
                <w:lang w:eastAsia="zh-CN"/>
              </w:rPr>
              <w:t>中</w:t>
            </w:r>
            <w:r>
              <w:rPr>
                <w:rFonts w:ascii="仿宋" w:hAnsi="仿宋" w:eastAsia="仿宋" w:cs="仿宋"/>
              </w:rPr>
              <w:t>各类经营主体联结紧密、分工明确、链条完整、优势互补、利益共享的目标，引领全盟农牧业产业化发展。</w:t>
            </w:r>
          </w:p>
        </w:tc>
      </w:tr>
    </w:tbl>
    <w:p>
      <w:pPr>
        <w:pStyle w:val="3"/>
        <w:snapToGrid w:val="0"/>
        <w:spacing w:before="312" w:beforeLines="100" w:after="312" w:afterLines="100" w:line="540" w:lineRule="exact"/>
        <w:jc w:val="center"/>
        <w:rPr>
          <w:rFonts w:hint="eastAsia" w:ascii="方正小标宋简体" w:hAnsi="仿宋" w:eastAsia="方正小标宋简体" w:cs="黑体"/>
          <w:b w:val="0"/>
          <w:color w:val="000000" w:themeColor="text1"/>
          <w:sz w:val="32"/>
          <w:szCs w:val="32"/>
        </w:rPr>
      </w:pPr>
      <w:bookmarkStart w:id="285" w:name="_Toc15408"/>
      <w:bookmarkStart w:id="286" w:name="_Toc28501"/>
      <w:bookmarkStart w:id="287" w:name="_Toc26177"/>
      <w:bookmarkStart w:id="288" w:name="_Toc21767"/>
    </w:p>
    <w:p>
      <w:pPr>
        <w:pStyle w:val="3"/>
        <w:snapToGrid w:val="0"/>
        <w:spacing w:before="312" w:beforeLines="100" w:after="312" w:afterLines="100" w:line="540" w:lineRule="exact"/>
        <w:jc w:val="center"/>
        <w:rPr>
          <w:rFonts w:ascii="方正小标宋简体" w:hAnsi="仿宋" w:eastAsia="方正小标宋简体" w:cs="黑体"/>
          <w:b w:val="0"/>
          <w:color w:val="000000" w:themeColor="text1"/>
          <w:sz w:val="44"/>
          <w:szCs w:val="44"/>
        </w:rPr>
      </w:pPr>
      <w:bookmarkStart w:id="289" w:name="_Toc513815349_WPSOffice_Level1"/>
      <w:r>
        <w:rPr>
          <w:rFonts w:hint="eastAsia" w:ascii="方正小标宋简体" w:hAnsi="仿宋" w:eastAsia="方正小标宋简体" w:cs="黑体"/>
          <w:b w:val="0"/>
          <w:color w:val="000000" w:themeColor="text1"/>
          <w:sz w:val="44"/>
          <w:szCs w:val="44"/>
        </w:rPr>
        <w:t xml:space="preserve">第五章 </w:t>
      </w:r>
      <w:bookmarkEnd w:id="284"/>
      <w:r>
        <w:rPr>
          <w:rFonts w:hint="eastAsia" w:ascii="方正小标宋简体" w:hAnsi="仿宋" w:eastAsia="方正小标宋简体" w:cs="黑体"/>
          <w:b w:val="0"/>
          <w:color w:val="000000" w:themeColor="text1"/>
          <w:sz w:val="44"/>
          <w:szCs w:val="44"/>
        </w:rPr>
        <w:t>科学统筹发展和安全</w:t>
      </w:r>
      <w:bookmarkEnd w:id="285"/>
      <w:bookmarkEnd w:id="286"/>
      <w:bookmarkEnd w:id="287"/>
      <w:bookmarkEnd w:id="288"/>
      <w:bookmarkEnd w:id="289"/>
    </w:p>
    <w:p>
      <w:pPr>
        <w:pageBreakBefore w:val="0"/>
        <w:widowControl w:val="0"/>
        <w:numPr>
          <w:ilvl w:val="255"/>
          <w:numId w:val="0"/>
        </w:numPr>
        <w:kinsoku/>
        <w:wordWrap/>
        <w:overflowPunct/>
        <w:topLinePunct w:val="0"/>
        <w:autoSpaceDE/>
        <w:autoSpaceDN/>
        <w:bidi w:val="0"/>
        <w:adjustRightInd/>
        <w:snapToGrid/>
        <w:spacing w:line="600" w:lineRule="exact"/>
        <w:ind w:firstLine="640" w:firstLineChars="200"/>
        <w:textAlignment w:val="auto"/>
        <w:rPr>
          <w:rFonts w:ascii="仿宋" w:hAnsi="仿宋" w:eastAsia="仿宋" w:cstheme="minorBidi"/>
          <w:sz w:val="32"/>
          <w:szCs w:val="32"/>
        </w:rPr>
      </w:pPr>
      <w:r>
        <w:rPr>
          <w:rFonts w:hint="eastAsia" w:ascii="仿宋" w:hAnsi="仿宋" w:eastAsia="仿宋" w:cstheme="minorBidi"/>
          <w:sz w:val="32"/>
          <w:szCs w:val="32"/>
        </w:rPr>
        <w:t>统筹好发展与安全两件大事，重点构建粮食生产、种业</w:t>
      </w:r>
      <w:r>
        <w:rPr>
          <w:rFonts w:hint="eastAsia" w:ascii="仿宋" w:hAnsi="仿宋" w:eastAsia="仿宋" w:cstheme="minorBidi"/>
          <w:sz w:val="32"/>
          <w:szCs w:val="32"/>
          <w:lang w:eastAsia="zh-CN"/>
        </w:rPr>
        <w:t>振兴</w:t>
      </w:r>
      <w:r>
        <w:rPr>
          <w:rFonts w:hint="eastAsia" w:ascii="仿宋" w:hAnsi="仿宋" w:eastAsia="仿宋" w:cstheme="minorBidi"/>
          <w:sz w:val="32"/>
          <w:szCs w:val="32"/>
        </w:rPr>
        <w:t>、科技支撑、人才建设、质量保障、动物疫病和植物病虫害防控等农牧业发展综合保障体系，</w:t>
      </w:r>
      <w:r>
        <w:rPr>
          <w:rFonts w:ascii="仿宋" w:hAnsi="仿宋" w:eastAsia="仿宋" w:cstheme="minorBidi"/>
          <w:sz w:val="32"/>
          <w:szCs w:val="32"/>
        </w:rPr>
        <w:t>有效防范化解各类风险挑战，</w:t>
      </w:r>
      <w:r>
        <w:rPr>
          <w:rFonts w:hint="eastAsia" w:ascii="仿宋" w:hAnsi="仿宋" w:eastAsia="仿宋" w:cstheme="minorBidi"/>
          <w:sz w:val="32"/>
          <w:szCs w:val="32"/>
          <w:lang w:eastAsia="zh-CN"/>
        </w:rPr>
        <w:t>稳步</w:t>
      </w:r>
      <w:r>
        <w:rPr>
          <w:rFonts w:hint="eastAsia" w:ascii="仿宋" w:hAnsi="仿宋" w:eastAsia="仿宋" w:cstheme="minorBidi"/>
          <w:sz w:val="32"/>
          <w:szCs w:val="32"/>
        </w:rPr>
        <w:t>推动农牧业与农村牧区</w:t>
      </w:r>
      <w:r>
        <w:rPr>
          <w:rFonts w:ascii="仿宋" w:hAnsi="仿宋" w:eastAsia="仿宋" w:cstheme="minorBidi"/>
          <w:sz w:val="32"/>
          <w:szCs w:val="32"/>
        </w:rPr>
        <w:t>现代化</w:t>
      </w:r>
      <w:r>
        <w:rPr>
          <w:rFonts w:hint="eastAsia" w:ascii="仿宋" w:hAnsi="仿宋" w:eastAsia="仿宋" w:cstheme="minorBidi"/>
          <w:sz w:val="32"/>
          <w:szCs w:val="32"/>
        </w:rPr>
        <w:t>事业融入新发展格局</w:t>
      </w:r>
      <w:r>
        <w:rPr>
          <w:rFonts w:ascii="仿宋" w:hAnsi="仿宋" w:eastAsia="仿宋" w:cstheme="minorBidi"/>
          <w:sz w:val="32"/>
          <w:szCs w:val="32"/>
        </w:rPr>
        <w:t>。</w:t>
      </w:r>
    </w:p>
    <w:p>
      <w:pPr>
        <w:pStyle w:val="4"/>
        <w:pageBreakBefore w:val="0"/>
        <w:widowControl w:val="0"/>
        <w:kinsoku/>
        <w:wordWrap/>
        <w:overflowPunct/>
        <w:topLinePunct w:val="0"/>
        <w:autoSpaceDE/>
        <w:autoSpaceDN/>
        <w:bidi w:val="0"/>
        <w:adjustRightInd/>
        <w:snapToGrid/>
        <w:spacing w:before="156" w:beforeLines="50" w:after="156" w:afterLines="50" w:line="600" w:lineRule="exact"/>
        <w:textAlignment w:val="auto"/>
        <w:rPr>
          <w:rFonts w:ascii="Calibri Light" w:hAnsi="Calibri Light" w:cs="Times New Roman"/>
          <w:b w:val="0"/>
          <w:bCs w:val="0"/>
          <w:sz w:val="32"/>
          <w:szCs w:val="32"/>
        </w:rPr>
      </w:pPr>
      <w:bookmarkStart w:id="290" w:name="_Toc22768"/>
      <w:bookmarkStart w:id="291" w:name="_Toc19880"/>
      <w:bookmarkStart w:id="292" w:name="_Toc18064"/>
      <w:bookmarkStart w:id="293" w:name="_Toc1129464945_WPSOffice_Level2"/>
      <w:bookmarkStart w:id="294" w:name="_Toc16926"/>
      <w:r>
        <w:rPr>
          <w:rFonts w:hint="eastAsia" w:ascii="Calibri Light" w:hAnsi="Calibri Light" w:cs="Times New Roman"/>
          <w:b w:val="0"/>
          <w:bCs w:val="0"/>
          <w:sz w:val="32"/>
          <w:szCs w:val="32"/>
        </w:rPr>
        <w:t>第一节 提高粮食安全保障能力</w:t>
      </w:r>
      <w:bookmarkEnd w:id="290"/>
      <w:bookmarkEnd w:id="291"/>
      <w:bookmarkEnd w:id="292"/>
      <w:bookmarkEnd w:id="293"/>
      <w:bookmarkEnd w:id="294"/>
    </w:p>
    <w:p>
      <w:pPr>
        <w:pStyle w:val="2"/>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sz w:val="32"/>
          <w:szCs w:val="32"/>
        </w:rPr>
      </w:pPr>
      <w:r>
        <w:rPr>
          <w:rFonts w:hint="eastAsia" w:ascii="仿宋" w:hAnsi="仿宋" w:eastAsia="仿宋" w:cs="仿宋"/>
          <w:b/>
          <w:bCs/>
          <w:sz w:val="32"/>
          <w:szCs w:val="32"/>
        </w:rPr>
        <w:t>稳定粮食播种面积和产量。</w:t>
      </w:r>
      <w:r>
        <w:rPr>
          <w:rFonts w:hint="eastAsia" w:ascii="仿宋" w:hAnsi="仿宋" w:eastAsia="仿宋" w:cs="仿宋"/>
          <w:sz w:val="32"/>
          <w:szCs w:val="32"/>
        </w:rPr>
        <w:t>党政同责扛起保障粮食安全的政治责任，夯实“藏粮于地、藏粮于技”物质基础，严格落实粮食安全分级责任制和“菜篮子”盟</w:t>
      </w:r>
      <w:r>
        <w:rPr>
          <w:rFonts w:hint="eastAsia" w:ascii="仿宋" w:hAnsi="仿宋" w:eastAsia="仿宋" w:cs="仿宋"/>
          <w:sz w:val="32"/>
          <w:szCs w:val="32"/>
          <w:lang w:eastAsia="zh-CN"/>
        </w:rPr>
        <w:t>（市）</w:t>
      </w:r>
      <w:r>
        <w:rPr>
          <w:rFonts w:hint="eastAsia" w:ascii="仿宋" w:hAnsi="仿宋" w:eastAsia="仿宋" w:cs="仿宋"/>
          <w:sz w:val="32"/>
          <w:szCs w:val="32"/>
        </w:rPr>
        <w:t>长负责制，落实种粮补贴政策，</w:t>
      </w:r>
      <w:r>
        <w:rPr>
          <w:rFonts w:hint="eastAsia" w:ascii="仿宋" w:hAnsi="仿宋" w:eastAsia="仿宋" w:cs="仿宋"/>
          <w:sz w:val="32"/>
          <w:szCs w:val="32"/>
          <w:lang w:eastAsia="zh-CN"/>
        </w:rPr>
        <w:t>实施</w:t>
      </w:r>
      <w:r>
        <w:rPr>
          <w:rFonts w:hint="eastAsia" w:ascii="仿宋" w:hAnsi="仿宋" w:eastAsia="仿宋" w:cs="仿宋"/>
          <w:sz w:val="32"/>
          <w:szCs w:val="32"/>
        </w:rPr>
        <w:t>高效增粮示范行动</w:t>
      </w:r>
      <w:r>
        <w:rPr>
          <w:rFonts w:hint="eastAsia" w:ascii="仿宋" w:hAnsi="仿宋" w:eastAsia="仿宋" w:cs="仿宋"/>
          <w:sz w:val="32"/>
          <w:szCs w:val="32"/>
          <w:lang w:eastAsia="zh-CN"/>
        </w:rPr>
        <w:t>，切实</w:t>
      </w:r>
      <w:r>
        <w:rPr>
          <w:rFonts w:hint="eastAsia" w:ascii="仿宋" w:hAnsi="仿宋" w:eastAsia="仿宋" w:cs="仿宋"/>
          <w:sz w:val="32"/>
          <w:szCs w:val="32"/>
        </w:rPr>
        <w:t>稳定粮食播种面积和产量。推广增施有机肥、秸秆还田和种植绿肥等技术措施，推进耕地轮作常态化，提高耕地质量和粮食产能。加强粮食生产功能区管护，突出政策项目导向，充分调动和保护重农抓粮、务农种粮积极性，有</w:t>
      </w:r>
      <w:r>
        <w:rPr>
          <w:rFonts w:hint="eastAsia" w:ascii="仿宋" w:hAnsi="仿宋" w:eastAsia="仿宋" w:cs="仿宋"/>
          <w:sz w:val="32"/>
          <w:szCs w:val="32"/>
          <w:lang w:eastAsia="zh-CN"/>
        </w:rPr>
        <w:t>力</w:t>
      </w:r>
      <w:r>
        <w:rPr>
          <w:rFonts w:hint="eastAsia" w:ascii="仿宋" w:hAnsi="仿宋" w:eastAsia="仿宋" w:cs="仿宋"/>
          <w:sz w:val="32"/>
          <w:szCs w:val="32"/>
        </w:rPr>
        <w:t>保障粮食</w:t>
      </w:r>
      <w:r>
        <w:rPr>
          <w:rFonts w:hint="eastAsia" w:ascii="仿宋" w:hAnsi="仿宋" w:eastAsia="仿宋" w:cs="仿宋"/>
          <w:sz w:val="32"/>
          <w:szCs w:val="32"/>
          <w:lang w:eastAsia="zh-CN"/>
        </w:rPr>
        <w:t>等</w:t>
      </w:r>
      <w:r>
        <w:rPr>
          <w:rFonts w:hint="eastAsia" w:ascii="仿宋" w:hAnsi="仿宋" w:eastAsia="仿宋" w:cs="仿宋"/>
          <w:sz w:val="32"/>
          <w:szCs w:val="32"/>
        </w:rPr>
        <w:t>重要农副产品供给。到2025年，全盟粮食播种面积达到230万亩，产量达到50万吨。</w:t>
      </w:r>
    </w:p>
    <w:p>
      <w:pPr>
        <w:pStyle w:val="2"/>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sz w:val="32"/>
          <w:szCs w:val="32"/>
        </w:rPr>
      </w:pPr>
      <w:r>
        <w:rPr>
          <w:rFonts w:hint="eastAsia" w:ascii="仿宋" w:hAnsi="仿宋" w:eastAsia="仿宋" w:cs="仿宋"/>
          <w:b/>
          <w:bCs/>
          <w:sz w:val="32"/>
          <w:szCs w:val="32"/>
        </w:rPr>
        <w:t>坚决守住耕地红线。</w:t>
      </w:r>
      <w:r>
        <w:rPr>
          <w:rFonts w:hint="eastAsia" w:ascii="仿宋" w:hAnsi="仿宋" w:eastAsia="仿宋" w:cs="仿宋"/>
          <w:sz w:val="32"/>
          <w:szCs w:val="32"/>
        </w:rPr>
        <w:t>落实最严格的耕地保护和节约用地制度，加强占用耕地占补平衡管理，坚决守住耕地保有量、永久基本农田保护面积和粮食生产功能区三项指标。落实最严格的耕地保护和节约用地制度，严格实行土地用途管制，稳定永久基本农田面积，严禁违规占用耕地和违背自然规律绿化造林、挖湖造景</w:t>
      </w:r>
      <w:r>
        <w:rPr>
          <w:rFonts w:hint="eastAsia" w:ascii="仿宋" w:hAnsi="仿宋" w:eastAsia="仿宋" w:cs="仿宋"/>
          <w:sz w:val="32"/>
          <w:szCs w:val="32"/>
          <w:lang w:eastAsia="zh-CN"/>
        </w:rPr>
        <w:t>等</w:t>
      </w:r>
      <w:r>
        <w:rPr>
          <w:rFonts w:hint="eastAsia" w:ascii="仿宋" w:hAnsi="仿宋" w:eastAsia="仿宋" w:cs="仿宋"/>
          <w:sz w:val="32"/>
          <w:szCs w:val="32"/>
        </w:rPr>
        <w:t>，严格控制非农建设占用耕地。明确耕地利用优先序，永久基本农田重点用于粮食生产，一般耕地主要用于粮食、油、糖、蔬菜等农产品及饲草</w:t>
      </w:r>
      <w:r>
        <w:rPr>
          <w:rFonts w:hint="eastAsia" w:ascii="仿宋" w:hAnsi="仿宋" w:eastAsia="仿宋" w:cs="仿宋"/>
          <w:sz w:val="32"/>
          <w:szCs w:val="32"/>
          <w:lang w:eastAsia="zh-CN"/>
        </w:rPr>
        <w:t>料</w:t>
      </w:r>
      <w:r>
        <w:rPr>
          <w:rFonts w:hint="eastAsia" w:ascii="仿宋" w:hAnsi="仿宋" w:eastAsia="仿宋" w:cs="仿宋"/>
          <w:sz w:val="32"/>
          <w:szCs w:val="32"/>
        </w:rPr>
        <w:t>生产。明确耕地和永久基本农田不同的管制目标和管制强度，强化土地流转用途监管</w:t>
      </w:r>
      <w:r>
        <w:rPr>
          <w:rFonts w:hint="eastAsia" w:ascii="仿宋" w:hAnsi="仿宋" w:eastAsia="仿宋" w:cs="仿宋"/>
          <w:sz w:val="32"/>
          <w:szCs w:val="32"/>
          <w:lang w:eastAsia="zh-CN"/>
        </w:rPr>
        <w:t>和</w:t>
      </w:r>
      <w:r>
        <w:rPr>
          <w:rFonts w:hint="eastAsia" w:ascii="仿宋" w:hAnsi="仿宋" w:eastAsia="仿宋" w:cs="仿宋"/>
          <w:sz w:val="32"/>
          <w:szCs w:val="32"/>
        </w:rPr>
        <w:t xml:space="preserve">耕地种粮情况监测评价，坚决遏制耕地“非农化”、严格管控“非粮化”，统筹利用撂荒地发展农牧业生产。  </w:t>
      </w:r>
    </w:p>
    <w:p>
      <w:pPr>
        <w:pageBreakBefore w:val="0"/>
        <w:widowControl w:val="0"/>
        <w:kinsoku/>
        <w:wordWrap/>
        <w:overflowPunct/>
        <w:topLinePunct w:val="0"/>
        <w:autoSpaceDE/>
        <w:autoSpaceDN/>
        <w:bidi w:val="0"/>
        <w:adjustRightInd/>
        <w:snapToGrid/>
        <w:spacing w:after="156" w:afterLines="50" w:line="600" w:lineRule="exact"/>
        <w:ind w:firstLine="643" w:firstLineChars="200"/>
        <w:textAlignment w:val="auto"/>
        <w:rPr>
          <w:rFonts w:hint="eastAsia" w:ascii="仿宋" w:hAnsi="仿宋" w:eastAsia="仿宋" w:cs="仿宋"/>
          <w:sz w:val="32"/>
          <w:szCs w:val="32"/>
        </w:rPr>
      </w:pPr>
      <w:r>
        <w:rPr>
          <w:rFonts w:hint="eastAsia" w:ascii="仿宋" w:hAnsi="仿宋" w:eastAsia="仿宋" w:cs="仿宋"/>
          <w:b/>
          <w:bCs/>
          <w:sz w:val="32"/>
          <w:szCs w:val="32"/>
        </w:rPr>
        <w:t>推进高标准农田建设。</w:t>
      </w:r>
      <w:r>
        <w:rPr>
          <w:rFonts w:hint="eastAsia" w:ascii="仿宋" w:hAnsi="仿宋" w:eastAsia="仿宋" w:cs="仿宋"/>
          <w:sz w:val="32"/>
          <w:szCs w:val="32"/>
        </w:rPr>
        <w:t>实施以“节水”为中心的高标准农田建设，按照“填平补齐、扬长避短”的原则，采取土地平整、土壤改良、灌溉排水、田间道路、农田防护与生态环境保持、农田输配电、科技服务和建后管护等综合配套措施，夯实生态高效农业可持续发展基础。到2025年，</w:t>
      </w:r>
      <w:r>
        <w:rPr>
          <w:rFonts w:hint="eastAsia" w:ascii="仿宋" w:hAnsi="仿宋" w:eastAsia="仿宋" w:cs="仿宋"/>
          <w:sz w:val="32"/>
          <w:szCs w:val="32"/>
          <w:lang w:eastAsia="zh-CN"/>
        </w:rPr>
        <w:t>力争</w:t>
      </w:r>
      <w:r>
        <w:rPr>
          <w:rFonts w:hint="eastAsia" w:ascii="仿宋" w:hAnsi="仿宋" w:eastAsia="仿宋" w:cs="仿宋"/>
          <w:sz w:val="32"/>
          <w:szCs w:val="32"/>
        </w:rPr>
        <w:t>新建高标准农田</w:t>
      </w:r>
      <w:r>
        <w:rPr>
          <w:rFonts w:hint="eastAsia" w:ascii="仿宋" w:hAnsi="仿宋" w:eastAsia="仿宋" w:cs="仿宋"/>
          <w:sz w:val="32"/>
          <w:szCs w:val="32"/>
          <w:lang w:val="en-US" w:eastAsia="zh-CN"/>
        </w:rPr>
        <w:t>22</w:t>
      </w:r>
      <w:r>
        <w:rPr>
          <w:rFonts w:hint="eastAsia" w:ascii="仿宋" w:hAnsi="仿宋" w:eastAsia="仿宋" w:cs="仿宋"/>
          <w:sz w:val="32"/>
          <w:szCs w:val="32"/>
        </w:rPr>
        <w:t>万亩。</w:t>
      </w:r>
    </w:p>
    <w:p>
      <w:pPr>
        <w:pStyle w:val="4"/>
        <w:pageBreakBefore w:val="0"/>
        <w:widowControl w:val="0"/>
        <w:kinsoku/>
        <w:wordWrap/>
        <w:overflowPunct/>
        <w:topLinePunct w:val="0"/>
        <w:autoSpaceDE/>
        <w:autoSpaceDN/>
        <w:bidi w:val="0"/>
        <w:adjustRightInd/>
        <w:snapToGrid/>
        <w:spacing w:before="156" w:beforeLines="50" w:after="156" w:afterLines="50" w:line="600" w:lineRule="exact"/>
        <w:textAlignment w:val="auto"/>
        <w:rPr>
          <w:rFonts w:hint="eastAsia" w:ascii="Calibri Light" w:hAnsi="Calibri Light" w:eastAsia="黑体" w:cs="Times New Roman"/>
          <w:b w:val="0"/>
          <w:bCs w:val="0"/>
          <w:sz w:val="32"/>
          <w:szCs w:val="32"/>
          <w:lang w:eastAsia="zh-CN"/>
        </w:rPr>
      </w:pPr>
      <w:bookmarkStart w:id="295" w:name="_Toc19612"/>
      <w:bookmarkStart w:id="296" w:name="_Toc21679"/>
      <w:bookmarkStart w:id="297" w:name="_Toc25348"/>
      <w:bookmarkStart w:id="298" w:name="_Toc7343"/>
      <w:bookmarkStart w:id="299" w:name="_Toc150721879_WPSOffice_Level2"/>
      <w:bookmarkStart w:id="300" w:name="_Toc58870199"/>
      <w:bookmarkStart w:id="301" w:name="_Toc60561669"/>
      <w:bookmarkStart w:id="302" w:name="_Toc8596"/>
      <w:bookmarkStart w:id="303" w:name="_Toc59000572"/>
      <w:r>
        <w:rPr>
          <w:rFonts w:hint="eastAsia" w:ascii="Calibri Light" w:hAnsi="Calibri Light" w:cs="Times New Roman"/>
          <w:b w:val="0"/>
          <w:bCs w:val="0"/>
          <w:sz w:val="32"/>
          <w:szCs w:val="32"/>
        </w:rPr>
        <w:t xml:space="preserve">第二节 </w:t>
      </w:r>
      <w:bookmarkEnd w:id="295"/>
      <w:bookmarkEnd w:id="296"/>
      <w:bookmarkEnd w:id="297"/>
      <w:bookmarkEnd w:id="298"/>
      <w:r>
        <w:rPr>
          <w:rFonts w:hint="eastAsia" w:ascii="Calibri Light" w:hAnsi="Calibri Light" w:cs="Times New Roman"/>
          <w:b w:val="0"/>
          <w:bCs w:val="0"/>
          <w:sz w:val="32"/>
          <w:szCs w:val="32"/>
          <w:lang w:eastAsia="zh-CN"/>
        </w:rPr>
        <w:t>实施种业振兴行动</w:t>
      </w:r>
      <w:bookmarkEnd w:id="299"/>
    </w:p>
    <w:p>
      <w:pPr>
        <w:pageBreakBefore w:val="0"/>
        <w:widowControl w:val="0"/>
        <w:numPr>
          <w:ilvl w:val="255"/>
          <w:numId w:val="0"/>
        </w:numPr>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sz w:val="32"/>
          <w:szCs w:val="32"/>
        </w:rPr>
      </w:pPr>
      <w:r>
        <w:rPr>
          <w:rFonts w:hint="eastAsia" w:ascii="仿宋" w:hAnsi="仿宋" w:eastAsia="仿宋" w:cs="仿宋"/>
          <w:b/>
          <w:bCs/>
          <w:sz w:val="32"/>
          <w:szCs w:val="32"/>
        </w:rPr>
        <w:t>加强种质资源保护利用。</w:t>
      </w:r>
      <w:r>
        <w:rPr>
          <w:rFonts w:hint="eastAsia" w:ascii="仿宋" w:hAnsi="仿宋" w:eastAsia="仿宋" w:cs="仿宋"/>
          <w:sz w:val="32"/>
          <w:szCs w:val="32"/>
        </w:rPr>
        <w:t>全面开展农牧业种质资源普查与收集，对全盟农作物</w:t>
      </w:r>
      <w:r>
        <w:rPr>
          <w:rFonts w:hint="eastAsia" w:ascii="仿宋" w:hAnsi="仿宋" w:eastAsia="仿宋" w:cs="仿宋"/>
          <w:sz w:val="32"/>
          <w:szCs w:val="32"/>
          <w:lang w:eastAsia="zh-CN"/>
        </w:rPr>
        <w:t>、</w:t>
      </w:r>
      <w:r>
        <w:rPr>
          <w:rFonts w:hint="eastAsia" w:ascii="仿宋" w:hAnsi="仿宋" w:eastAsia="仿宋" w:cs="仿宋"/>
          <w:sz w:val="32"/>
          <w:szCs w:val="32"/>
        </w:rPr>
        <w:t>畜禽</w:t>
      </w:r>
      <w:r>
        <w:rPr>
          <w:rFonts w:hint="eastAsia" w:ascii="仿宋" w:hAnsi="仿宋" w:eastAsia="仿宋" w:cs="仿宋"/>
          <w:sz w:val="32"/>
          <w:szCs w:val="32"/>
          <w:lang w:eastAsia="zh-CN"/>
        </w:rPr>
        <w:t>和</w:t>
      </w:r>
      <w:r>
        <w:rPr>
          <w:rFonts w:hint="eastAsia" w:ascii="仿宋" w:hAnsi="仿宋" w:eastAsia="仿宋" w:cs="仿宋"/>
          <w:sz w:val="32"/>
          <w:szCs w:val="32"/>
        </w:rPr>
        <w:t>牧草种质资源开展系统性</w:t>
      </w:r>
      <w:r>
        <w:rPr>
          <w:rFonts w:hint="eastAsia" w:ascii="仿宋" w:hAnsi="仿宋" w:eastAsia="仿宋" w:cs="仿宋"/>
          <w:sz w:val="32"/>
          <w:szCs w:val="32"/>
          <w:lang w:eastAsia="zh-CN"/>
        </w:rPr>
        <w:t>普查</w:t>
      </w:r>
      <w:r>
        <w:rPr>
          <w:rFonts w:hint="eastAsia" w:ascii="仿宋" w:hAnsi="仿宋" w:eastAsia="仿宋" w:cs="仿宋"/>
          <w:sz w:val="32"/>
          <w:szCs w:val="32"/>
        </w:rPr>
        <w:t>收集，开展良种登记、生产性能测定和遗传评估等工作，完善系谱档案。</w:t>
      </w:r>
      <w:r>
        <w:rPr>
          <w:rFonts w:hint="eastAsia" w:ascii="仿宋" w:hAnsi="仿宋" w:eastAsia="仿宋" w:cs="仿宋"/>
          <w:color w:val="000000" w:themeColor="text1"/>
          <w:sz w:val="32"/>
          <w:szCs w:val="32"/>
        </w:rPr>
        <w:t>按照地方品种资源“应保尽保”原则，</w:t>
      </w:r>
      <w:r>
        <w:rPr>
          <w:rFonts w:hint="eastAsia" w:ascii="仿宋" w:hAnsi="仿宋" w:eastAsia="仿宋" w:cs="仿宋"/>
          <w:sz w:val="32"/>
          <w:szCs w:val="32"/>
        </w:rPr>
        <w:t>实施畜禽保种工程项目，</w:t>
      </w:r>
      <w:r>
        <w:rPr>
          <w:rFonts w:hint="eastAsia" w:ascii="仿宋" w:hAnsi="仿宋" w:eastAsia="仿宋" w:cs="仿宋"/>
          <w:sz w:val="32"/>
          <w:szCs w:val="32"/>
          <w:lang w:eastAsia="zh-CN"/>
        </w:rPr>
        <w:t>对纳入畜禽资源保护名录的品种</w:t>
      </w:r>
      <w:r>
        <w:rPr>
          <w:rFonts w:hint="eastAsia" w:ascii="仿宋" w:hAnsi="仿宋" w:eastAsia="仿宋" w:cs="仿宋"/>
          <w:sz w:val="32"/>
          <w:szCs w:val="32"/>
        </w:rPr>
        <w:t>划定保护区，建立保种场，</w:t>
      </w:r>
      <w:r>
        <w:rPr>
          <w:rFonts w:hint="eastAsia" w:ascii="仿宋" w:hAnsi="仿宋" w:eastAsia="仿宋" w:cs="仿宋"/>
          <w:sz w:val="32"/>
          <w:szCs w:val="32"/>
          <w:lang w:eastAsia="zh-CN"/>
        </w:rPr>
        <w:t>落实保护主体，</w:t>
      </w:r>
      <w:r>
        <w:rPr>
          <w:rFonts w:hint="eastAsia" w:ascii="仿宋" w:hAnsi="仿宋" w:eastAsia="仿宋" w:cs="仿宋"/>
          <w:sz w:val="32"/>
          <w:szCs w:val="32"/>
        </w:rPr>
        <w:t>通过选育提高，</w:t>
      </w:r>
      <w:r>
        <w:rPr>
          <w:rFonts w:hint="eastAsia" w:ascii="仿宋" w:hAnsi="仿宋" w:eastAsia="仿宋" w:cs="仿宋"/>
          <w:sz w:val="32"/>
          <w:szCs w:val="32"/>
          <w:lang w:eastAsia="zh-CN"/>
        </w:rPr>
        <w:t>加大</w:t>
      </w:r>
      <w:r>
        <w:rPr>
          <w:rFonts w:hint="eastAsia" w:ascii="仿宋" w:hAnsi="仿宋" w:eastAsia="仿宋" w:cs="仿宋"/>
          <w:sz w:val="32"/>
          <w:szCs w:val="32"/>
        </w:rPr>
        <w:t>优良地方家畜品种保护</w:t>
      </w:r>
      <w:r>
        <w:rPr>
          <w:rFonts w:hint="eastAsia" w:ascii="仿宋" w:hAnsi="仿宋" w:eastAsia="仿宋" w:cs="仿宋"/>
          <w:sz w:val="32"/>
          <w:szCs w:val="32"/>
          <w:lang w:eastAsia="zh-CN"/>
        </w:rPr>
        <w:t>力度。积极申请将</w:t>
      </w:r>
      <w:r>
        <w:rPr>
          <w:rFonts w:hint="eastAsia" w:ascii="仿宋" w:hAnsi="仿宋" w:eastAsia="仿宋" w:cs="仿宋"/>
          <w:sz w:val="32"/>
          <w:szCs w:val="32"/>
        </w:rPr>
        <w:t>苏尼特</w:t>
      </w:r>
      <w:r>
        <w:rPr>
          <w:rFonts w:hint="eastAsia" w:ascii="仿宋" w:hAnsi="仿宋" w:eastAsia="仿宋" w:cs="仿宋"/>
          <w:sz w:val="32"/>
          <w:szCs w:val="32"/>
          <w:lang w:eastAsia="zh-CN"/>
        </w:rPr>
        <w:t>双峰驼、乌珠穆沁白山羊纳入畜禽资源保护名录。</w:t>
      </w:r>
      <w:r>
        <w:rPr>
          <w:rFonts w:hint="eastAsia" w:ascii="仿宋" w:hAnsi="仿宋" w:eastAsia="仿宋" w:cs="仿宋"/>
          <w:sz w:val="32"/>
          <w:szCs w:val="32"/>
        </w:rPr>
        <w:t>落实种畜禽市场日常监管责任，加大种畜禽市场行政执法力度和监督管理，严厉打击假冒伪劣及无许可证生产经营等违法行为，实现种畜禽市场监管制度化、常态化，切实维护优良种畜禽正常生产经营秩序。</w:t>
      </w:r>
    </w:p>
    <w:p>
      <w:pPr>
        <w:pageBreakBefore w:val="0"/>
        <w:widowControl w:val="0"/>
        <w:numPr>
          <w:ilvl w:val="255"/>
          <w:numId w:val="0"/>
        </w:numPr>
        <w:kinsoku/>
        <w:wordWrap/>
        <w:overflowPunct/>
        <w:topLinePunct w:val="0"/>
        <w:autoSpaceDE/>
        <w:autoSpaceDN/>
        <w:bidi w:val="0"/>
        <w:adjustRightInd/>
        <w:snapToGrid/>
        <w:spacing w:line="600" w:lineRule="exact"/>
        <w:ind w:firstLine="643" w:firstLineChars="200"/>
        <w:textAlignment w:val="auto"/>
        <w:rPr>
          <w:rFonts w:ascii="仿宋" w:hAnsi="仿宋" w:eastAsia="仿宋" w:cstheme="minorBidi"/>
          <w:sz w:val="32"/>
          <w:szCs w:val="32"/>
        </w:rPr>
      </w:pPr>
      <w:r>
        <w:rPr>
          <w:rFonts w:hint="eastAsia" w:ascii="仿宋" w:hAnsi="仿宋" w:eastAsia="仿宋" w:cs="仿宋"/>
          <w:b/>
          <w:bCs/>
          <w:sz w:val="32"/>
          <w:szCs w:val="32"/>
        </w:rPr>
        <w:t>支持种业基地建设。</w:t>
      </w:r>
      <w:r>
        <w:rPr>
          <w:rFonts w:ascii="仿宋" w:hAnsi="仿宋" w:eastAsia="仿宋" w:cstheme="minorBidi"/>
          <w:sz w:val="32"/>
          <w:szCs w:val="32"/>
        </w:rPr>
        <w:t>加强畜禽良种选育，加快推进乌珠穆沁羊、苏尼特羊、察哈尔羊纯种扩繁，重点抓好优质西门塔尔牛、安格斯牛、华西牛培育扩繁。支持育种企业与科研院所、技术推广部门联合育种推广，扩大优势品种核心群规模，增强</w:t>
      </w:r>
      <w:r>
        <w:rPr>
          <w:rFonts w:hint="eastAsia" w:ascii="仿宋" w:hAnsi="仿宋" w:eastAsia="仿宋" w:cstheme="minorBidi"/>
          <w:sz w:val="32"/>
          <w:szCs w:val="32"/>
          <w:lang w:eastAsia="zh-CN"/>
        </w:rPr>
        <w:t>制种</w:t>
      </w:r>
      <w:r>
        <w:rPr>
          <w:rFonts w:ascii="仿宋" w:hAnsi="仿宋" w:eastAsia="仿宋" w:cstheme="minorBidi"/>
          <w:sz w:val="32"/>
          <w:szCs w:val="32"/>
        </w:rPr>
        <w:t>能力。</w:t>
      </w:r>
      <w:r>
        <w:rPr>
          <w:rFonts w:hint="eastAsia" w:ascii="仿宋" w:hAnsi="仿宋" w:eastAsia="仿宋" w:cstheme="minorBidi"/>
          <w:sz w:val="32"/>
          <w:szCs w:val="32"/>
          <w:lang w:eastAsia="zh-CN"/>
        </w:rPr>
        <w:t>推进</w:t>
      </w:r>
      <w:r>
        <w:rPr>
          <w:rFonts w:ascii="仿宋" w:hAnsi="仿宋" w:eastAsia="仿宋" w:cstheme="minorBidi"/>
          <w:sz w:val="32"/>
          <w:szCs w:val="32"/>
        </w:rPr>
        <w:t>马铃薯种薯基地建设，以多伦县、太仆寺旗、正蓝旗为重点，发挥马铃薯良种繁育基地和马铃薯育繁推一体化企业引领带动作用，</w:t>
      </w:r>
      <w:r>
        <w:rPr>
          <w:rFonts w:hint="eastAsia" w:ascii="仿宋" w:hAnsi="仿宋" w:eastAsia="仿宋" w:cstheme="minorBidi"/>
          <w:sz w:val="32"/>
          <w:szCs w:val="32"/>
          <w:lang w:eastAsia="zh-CN"/>
        </w:rPr>
        <w:t>构建完善的</w:t>
      </w:r>
      <w:r>
        <w:rPr>
          <w:rFonts w:ascii="仿宋" w:hAnsi="仿宋" w:eastAsia="仿宋" w:cstheme="minorBidi"/>
          <w:sz w:val="32"/>
          <w:szCs w:val="32"/>
        </w:rPr>
        <w:t>标准化生产技术体系和管理体系，建成一批标准化马铃薯种子生产基地。到2025年，全盟种业发展取得突出成效，主要农作物良种覆盖率力争达到98%以上，畜禽良种化率稳定在9</w:t>
      </w:r>
      <w:r>
        <w:rPr>
          <w:rFonts w:hint="eastAsia" w:ascii="仿宋" w:hAnsi="仿宋" w:eastAsia="仿宋" w:cstheme="minorBidi"/>
          <w:sz w:val="32"/>
          <w:szCs w:val="32"/>
          <w:lang w:val="en-US" w:eastAsia="zh-CN"/>
        </w:rPr>
        <w:t>7</w:t>
      </w:r>
      <w:r>
        <w:rPr>
          <w:rFonts w:ascii="仿宋" w:hAnsi="仿宋" w:eastAsia="仿宋" w:cstheme="minorBidi"/>
          <w:sz w:val="32"/>
          <w:szCs w:val="32"/>
        </w:rPr>
        <w:t>％以上，培育扶持2家以上市场竞争力、创新力、引领力较强的育繁推一体化现代种业龙头企业，力争国家肉羊肉牛核心育种场达到6处。</w:t>
      </w:r>
    </w:p>
    <w:bookmarkEnd w:id="300"/>
    <w:bookmarkEnd w:id="301"/>
    <w:bookmarkEnd w:id="302"/>
    <w:bookmarkEnd w:id="303"/>
    <w:p>
      <w:pPr>
        <w:pStyle w:val="4"/>
        <w:pageBreakBefore w:val="0"/>
        <w:widowControl w:val="0"/>
        <w:kinsoku/>
        <w:wordWrap/>
        <w:overflowPunct/>
        <w:topLinePunct w:val="0"/>
        <w:autoSpaceDE/>
        <w:autoSpaceDN/>
        <w:bidi w:val="0"/>
        <w:adjustRightInd/>
        <w:snapToGrid/>
        <w:spacing w:before="156" w:beforeLines="50" w:after="156" w:afterLines="50" w:line="600" w:lineRule="exact"/>
        <w:textAlignment w:val="auto"/>
        <w:rPr>
          <w:rFonts w:ascii="Calibri Light" w:hAnsi="Calibri Light" w:cs="Times New Roman"/>
          <w:b w:val="0"/>
          <w:bCs w:val="0"/>
          <w:sz w:val="32"/>
          <w:szCs w:val="32"/>
        </w:rPr>
      </w:pPr>
      <w:bookmarkStart w:id="304" w:name="_Toc21900"/>
      <w:bookmarkStart w:id="305" w:name="_Toc29335"/>
      <w:bookmarkStart w:id="306" w:name="_Toc20958"/>
      <w:bookmarkStart w:id="307" w:name="_Toc557"/>
      <w:bookmarkStart w:id="308" w:name="_Toc773067800_WPSOffice_Level2"/>
      <w:bookmarkStart w:id="309" w:name="_Toc59000576"/>
      <w:bookmarkStart w:id="310" w:name="_Toc60561670"/>
      <w:bookmarkStart w:id="311" w:name="_Toc58870203"/>
      <w:bookmarkStart w:id="312" w:name="_Toc18176"/>
      <w:r>
        <w:rPr>
          <w:rFonts w:hint="eastAsia" w:ascii="Calibri Light" w:hAnsi="Calibri Light" w:cs="Times New Roman"/>
          <w:b w:val="0"/>
          <w:bCs w:val="0"/>
          <w:sz w:val="32"/>
          <w:szCs w:val="32"/>
        </w:rPr>
        <w:t xml:space="preserve">第三节 </w:t>
      </w:r>
      <w:r>
        <w:rPr>
          <w:rFonts w:hint="eastAsia" w:ascii="Calibri Light" w:hAnsi="Calibri Light" w:cs="Times New Roman"/>
          <w:b w:val="0"/>
          <w:bCs w:val="0"/>
          <w:sz w:val="32"/>
          <w:szCs w:val="32"/>
          <w:lang w:eastAsia="zh-CN"/>
        </w:rPr>
        <w:t>加强</w:t>
      </w:r>
      <w:r>
        <w:rPr>
          <w:rFonts w:hint="eastAsia" w:ascii="Calibri Light" w:hAnsi="Calibri Light" w:cs="Times New Roman"/>
          <w:b w:val="0"/>
          <w:bCs w:val="0"/>
          <w:sz w:val="32"/>
          <w:szCs w:val="32"/>
        </w:rPr>
        <w:t>农牧业科技支撑能力建设</w:t>
      </w:r>
      <w:bookmarkEnd w:id="304"/>
      <w:bookmarkEnd w:id="305"/>
      <w:bookmarkEnd w:id="306"/>
      <w:bookmarkEnd w:id="307"/>
      <w:bookmarkEnd w:id="308"/>
    </w:p>
    <w:p>
      <w:pPr>
        <w:pageBreakBefore w:val="0"/>
        <w:widowControl w:val="0"/>
        <w:numPr>
          <w:ilvl w:val="255"/>
          <w:numId w:val="0"/>
        </w:numPr>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sz w:val="32"/>
          <w:szCs w:val="32"/>
        </w:rPr>
      </w:pPr>
      <w:r>
        <w:rPr>
          <w:rFonts w:hint="eastAsia" w:ascii="仿宋" w:hAnsi="仿宋" w:eastAsia="仿宋" w:cs="仿宋"/>
          <w:b/>
          <w:bCs/>
          <w:sz w:val="32"/>
          <w:szCs w:val="32"/>
        </w:rPr>
        <w:t>加强农牧业关键技术攻坚。</w:t>
      </w:r>
      <w:r>
        <w:rPr>
          <w:rFonts w:hint="eastAsia" w:ascii="仿宋" w:hAnsi="仿宋" w:eastAsia="仿宋" w:cs="仿宋"/>
          <w:sz w:val="32"/>
          <w:szCs w:val="32"/>
          <w:lang w:eastAsia="zh-CN"/>
        </w:rPr>
        <w:t>加强与企业、高校、科研院所等专业机构合作，</w:t>
      </w:r>
      <w:r>
        <w:rPr>
          <w:rFonts w:hint="eastAsia" w:ascii="仿宋" w:hAnsi="仿宋" w:eastAsia="仿宋" w:cs="仿宋"/>
          <w:sz w:val="32"/>
          <w:szCs w:val="32"/>
        </w:rPr>
        <w:t>聚焦生物育种、高效种养殖、耕地保护和质量提升、草畜一体化、农作物病虫害绿色防控、动物重大疫病防控、农作物病虫疫情监测防控、农田土壤墒情监测、农牧业废弃物综合利用、智慧农牧业、农牧业机械装备、农牧业绿色投入品等关键领域，着力突破制约农牧业发展的关键技术问题，加快研发</w:t>
      </w:r>
      <w:r>
        <w:rPr>
          <w:rFonts w:hint="eastAsia" w:ascii="仿宋" w:hAnsi="仿宋" w:eastAsia="仿宋" w:cs="仿宋"/>
          <w:sz w:val="32"/>
          <w:szCs w:val="32"/>
          <w:lang w:eastAsia="zh-CN"/>
        </w:rPr>
        <w:t>和</w:t>
      </w:r>
      <w:r>
        <w:rPr>
          <w:rFonts w:hint="eastAsia" w:ascii="仿宋" w:hAnsi="仿宋" w:eastAsia="仿宋" w:cs="仿宋"/>
          <w:sz w:val="32"/>
          <w:szCs w:val="32"/>
        </w:rPr>
        <w:t>创新一批关键核心技术及产品，加速农牧科技应用成果转化应用。到2025年，农牧业科技进步贡献率达到55%。</w:t>
      </w:r>
    </w:p>
    <w:p>
      <w:pPr>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sz w:val="32"/>
          <w:szCs w:val="32"/>
          <w:lang w:val="en-US" w:eastAsia="zh-CN"/>
        </w:rPr>
      </w:pPr>
      <w:r>
        <w:rPr>
          <w:rFonts w:hint="eastAsia" w:ascii="仿宋" w:hAnsi="仿宋" w:eastAsia="仿宋" w:cs="仿宋"/>
          <w:b/>
          <w:bCs/>
          <w:sz w:val="32"/>
          <w:szCs w:val="32"/>
          <w:lang w:eastAsia="zh-CN"/>
        </w:rPr>
        <w:t>提高</w:t>
      </w:r>
      <w:r>
        <w:rPr>
          <w:rFonts w:hint="eastAsia" w:ascii="仿宋" w:hAnsi="仿宋" w:eastAsia="仿宋" w:cs="仿宋"/>
          <w:b/>
          <w:bCs/>
          <w:sz w:val="32"/>
          <w:szCs w:val="32"/>
        </w:rPr>
        <w:t>农技推广服务</w:t>
      </w:r>
      <w:r>
        <w:rPr>
          <w:rFonts w:hint="eastAsia" w:ascii="仿宋" w:hAnsi="仿宋" w:eastAsia="仿宋" w:cs="仿宋"/>
          <w:b/>
          <w:bCs/>
          <w:sz w:val="32"/>
          <w:szCs w:val="32"/>
          <w:lang w:eastAsia="zh-CN"/>
        </w:rPr>
        <w:t>供给能力</w:t>
      </w:r>
      <w:r>
        <w:rPr>
          <w:rFonts w:hint="eastAsia" w:ascii="仿宋" w:hAnsi="仿宋" w:eastAsia="仿宋" w:cs="仿宋"/>
          <w:b/>
          <w:bCs/>
          <w:sz w:val="32"/>
          <w:szCs w:val="32"/>
        </w:rPr>
        <w:t>。</w:t>
      </w:r>
      <w:r>
        <w:rPr>
          <w:rFonts w:hint="eastAsia" w:ascii="仿宋" w:hAnsi="仿宋" w:eastAsia="仿宋" w:cs="仿宋"/>
          <w:sz w:val="32"/>
          <w:szCs w:val="32"/>
        </w:rPr>
        <w:t>按照</w:t>
      </w:r>
      <w:r>
        <w:rPr>
          <w:rFonts w:hint="eastAsia" w:ascii="仿宋" w:hAnsi="仿宋" w:eastAsia="仿宋" w:cs="仿宋"/>
          <w:sz w:val="32"/>
          <w:szCs w:val="32"/>
          <w:lang w:eastAsia="zh-CN"/>
        </w:rPr>
        <w:t>“</w:t>
      </w:r>
      <w:r>
        <w:rPr>
          <w:rFonts w:hint="eastAsia" w:ascii="仿宋" w:hAnsi="仿宋" w:eastAsia="仿宋" w:cs="仿宋"/>
          <w:sz w:val="32"/>
          <w:szCs w:val="32"/>
        </w:rPr>
        <w:t>示范推广到位、培训指导到位、产业引领到位</w:t>
      </w:r>
      <w:r>
        <w:rPr>
          <w:rFonts w:hint="eastAsia" w:ascii="仿宋" w:hAnsi="仿宋" w:eastAsia="仿宋" w:cs="仿宋"/>
          <w:sz w:val="32"/>
          <w:szCs w:val="32"/>
          <w:lang w:eastAsia="zh-CN"/>
        </w:rPr>
        <w:t>”</w:t>
      </w:r>
      <w:r>
        <w:rPr>
          <w:rFonts w:hint="eastAsia" w:ascii="仿宋" w:hAnsi="仿宋" w:eastAsia="仿宋" w:cs="仿宋"/>
          <w:sz w:val="32"/>
          <w:szCs w:val="32"/>
        </w:rPr>
        <w:t>要求，</w:t>
      </w:r>
      <w:r>
        <w:rPr>
          <w:rFonts w:hint="eastAsia" w:ascii="仿宋" w:hAnsi="仿宋" w:eastAsia="仿宋" w:cs="仿宋"/>
          <w:sz w:val="32"/>
          <w:szCs w:val="32"/>
          <w:lang w:eastAsia="zh-CN"/>
        </w:rPr>
        <w:t>加强试验示范基地、农牧业科技园区、科技特派员工作站、科技专家大（小）院、星创天地、众创空间、“</w:t>
      </w:r>
      <w:r>
        <w:rPr>
          <w:rFonts w:hint="eastAsia" w:ascii="仿宋" w:hAnsi="仿宋" w:eastAsia="仿宋" w:cs="仿宋"/>
          <w:sz w:val="32"/>
          <w:szCs w:val="32"/>
          <w:lang w:val="en-US" w:eastAsia="zh-CN"/>
        </w:rPr>
        <w:t>12396”服务</w:t>
      </w:r>
      <w:r>
        <w:rPr>
          <w:rFonts w:hint="eastAsia" w:ascii="仿宋" w:hAnsi="仿宋" w:eastAsia="仿宋" w:cs="仿宋"/>
          <w:sz w:val="32"/>
          <w:szCs w:val="32"/>
          <w:lang w:eastAsia="zh-CN"/>
        </w:rPr>
        <w:t>等基地和平台建设力度，引进</w:t>
      </w:r>
      <w:r>
        <w:rPr>
          <w:rFonts w:hint="eastAsia" w:ascii="仿宋" w:hAnsi="仿宋" w:eastAsia="仿宋" w:cs="仿宋"/>
          <w:sz w:val="32"/>
          <w:szCs w:val="32"/>
        </w:rPr>
        <w:t>推广</w:t>
      </w:r>
      <w:r>
        <w:rPr>
          <w:rFonts w:hint="eastAsia" w:ascii="仿宋" w:hAnsi="仿宋" w:eastAsia="仿宋" w:cs="仿宋"/>
          <w:sz w:val="32"/>
          <w:szCs w:val="32"/>
          <w:lang w:eastAsia="zh-CN"/>
        </w:rPr>
        <w:t>“</w:t>
      </w:r>
      <w:r>
        <w:rPr>
          <w:rFonts w:hint="eastAsia" w:ascii="仿宋" w:hAnsi="仿宋" w:eastAsia="仿宋" w:cs="仿宋"/>
          <w:sz w:val="32"/>
          <w:szCs w:val="32"/>
        </w:rPr>
        <w:t>资源节约、增产增效、生态环保、质量安全</w:t>
      </w:r>
      <w:r>
        <w:rPr>
          <w:rFonts w:hint="eastAsia" w:ascii="仿宋" w:hAnsi="仿宋" w:eastAsia="仿宋" w:cs="仿宋"/>
          <w:sz w:val="32"/>
          <w:szCs w:val="32"/>
          <w:lang w:eastAsia="zh-CN"/>
        </w:rPr>
        <w:t>”</w:t>
      </w:r>
      <w:r>
        <w:rPr>
          <w:rFonts w:hint="eastAsia" w:ascii="仿宋" w:hAnsi="仿宋" w:eastAsia="仿宋" w:cs="仿宋"/>
          <w:sz w:val="32"/>
          <w:szCs w:val="32"/>
        </w:rPr>
        <w:t>的优质绿色高效技术模式</w:t>
      </w:r>
      <w:r>
        <w:rPr>
          <w:rFonts w:hint="eastAsia" w:ascii="仿宋" w:hAnsi="仿宋" w:eastAsia="仿宋" w:cs="仿宋"/>
          <w:sz w:val="32"/>
          <w:szCs w:val="32"/>
          <w:lang w:eastAsia="zh-CN"/>
        </w:rPr>
        <w:t>，推进产学研、农科教相结合，提升基层农技推广服务效能</w:t>
      </w:r>
      <w:r>
        <w:rPr>
          <w:rFonts w:hint="eastAsia" w:ascii="仿宋" w:hAnsi="仿宋" w:eastAsia="仿宋" w:cs="仿宋"/>
          <w:sz w:val="32"/>
          <w:szCs w:val="32"/>
        </w:rPr>
        <w:t>。</w:t>
      </w:r>
      <w:r>
        <w:rPr>
          <w:rFonts w:hint="eastAsia" w:ascii="仿宋" w:hAnsi="仿宋" w:eastAsia="仿宋" w:cs="仿宋"/>
          <w:sz w:val="32"/>
          <w:szCs w:val="32"/>
          <w:lang w:eastAsia="zh-CN"/>
        </w:rPr>
        <w:t>发挥专业技术人员引领指导作用</w:t>
      </w:r>
      <w:r>
        <w:rPr>
          <w:rFonts w:hint="eastAsia" w:ascii="仿宋" w:hAnsi="仿宋" w:eastAsia="仿宋" w:cs="仿宋"/>
          <w:sz w:val="32"/>
          <w:szCs w:val="32"/>
        </w:rPr>
        <w:t>，完善以“专家+农技人员+科技示范主体+辐射带动户”的技术服务模式，</w:t>
      </w:r>
      <w:r>
        <w:rPr>
          <w:rFonts w:hint="eastAsia" w:ascii="仿宋" w:hAnsi="仿宋" w:eastAsia="仿宋" w:cs="仿宋"/>
          <w:sz w:val="32"/>
          <w:szCs w:val="32"/>
          <w:lang w:eastAsia="zh-CN"/>
        </w:rPr>
        <w:t>广泛组织开展实操实训工作，畅通农技服务最后一公里</w:t>
      </w:r>
      <w:r>
        <w:rPr>
          <w:rFonts w:hint="eastAsia" w:ascii="仿宋" w:hAnsi="仿宋" w:eastAsia="仿宋" w:cs="仿宋"/>
          <w:sz w:val="32"/>
          <w:szCs w:val="32"/>
        </w:rPr>
        <w:t>。全面实施农技推广服务特聘计划，采取政府购买服务</w:t>
      </w:r>
      <w:r>
        <w:rPr>
          <w:rFonts w:hint="eastAsia" w:ascii="仿宋" w:hAnsi="仿宋" w:eastAsia="仿宋" w:cs="仿宋"/>
          <w:sz w:val="32"/>
          <w:szCs w:val="32"/>
          <w:lang w:eastAsia="zh-CN"/>
        </w:rPr>
        <w:t>等</w:t>
      </w:r>
      <w:r>
        <w:rPr>
          <w:rFonts w:hint="eastAsia" w:ascii="仿宋" w:hAnsi="仿宋" w:eastAsia="仿宋" w:cs="仿宋"/>
          <w:sz w:val="32"/>
          <w:szCs w:val="32"/>
        </w:rPr>
        <w:t>方式，将符合岗位要求的大学毕业生、乡土专家等充实到基层农技服务队伍中，点对点为农牧民提供技术服务。</w:t>
      </w:r>
      <w:r>
        <w:rPr>
          <w:rFonts w:hint="eastAsia" w:ascii="仿宋" w:hAnsi="仿宋" w:eastAsia="仿宋" w:cs="仿宋"/>
          <w:sz w:val="32"/>
          <w:szCs w:val="32"/>
          <w:lang w:eastAsia="zh-CN"/>
        </w:rPr>
        <w:t>推进公益性服务与经营性服务互补和深度融合，建设“一主多元”的农技推广服务体系</w:t>
      </w:r>
      <w:r>
        <w:rPr>
          <w:rFonts w:hint="eastAsia" w:ascii="仿宋" w:hAnsi="仿宋" w:eastAsia="仿宋" w:cs="仿宋"/>
          <w:sz w:val="32"/>
          <w:szCs w:val="32"/>
        </w:rPr>
        <w:t>。</w:t>
      </w:r>
      <w:r>
        <w:rPr>
          <w:rFonts w:hint="eastAsia" w:ascii="仿宋" w:hAnsi="仿宋" w:eastAsia="仿宋" w:cs="仿宋"/>
          <w:sz w:val="32"/>
          <w:szCs w:val="32"/>
          <w:lang w:eastAsia="zh-CN"/>
        </w:rPr>
        <w:t>到</w:t>
      </w:r>
      <w:r>
        <w:rPr>
          <w:rFonts w:hint="eastAsia" w:ascii="仿宋" w:hAnsi="仿宋" w:eastAsia="仿宋" w:cs="仿宋"/>
          <w:sz w:val="32"/>
          <w:szCs w:val="32"/>
          <w:lang w:val="en-US" w:eastAsia="zh-CN"/>
        </w:rPr>
        <w:t>2025年，培育盟级以上农牧业科技园区7家，建设科技专家大（小）院30个，新增科技特派员工作站10家，向农村牧区和企业转化推广科技成果和先进适用技术100项以上。</w:t>
      </w:r>
    </w:p>
    <w:p>
      <w:pPr>
        <w:pStyle w:val="2"/>
        <w:pageBreakBefore w:val="0"/>
        <w:widowControl w:val="0"/>
        <w:kinsoku/>
        <w:wordWrap/>
        <w:overflowPunct/>
        <w:topLinePunct w:val="0"/>
        <w:autoSpaceDE/>
        <w:autoSpaceDN/>
        <w:bidi w:val="0"/>
        <w:adjustRightInd/>
        <w:snapToGrid/>
        <w:spacing w:after="156" w:afterLines="50" w:line="600" w:lineRule="exact"/>
        <w:ind w:firstLine="643" w:firstLineChars="200"/>
        <w:textAlignment w:val="auto"/>
        <w:rPr>
          <w:rFonts w:hint="eastAsia" w:ascii="仿宋" w:hAnsi="仿宋" w:eastAsia="仿宋" w:cs="仿宋"/>
          <w:sz w:val="32"/>
          <w:szCs w:val="32"/>
        </w:rPr>
      </w:pPr>
      <w:r>
        <w:rPr>
          <w:rFonts w:hint="eastAsia" w:ascii="仿宋" w:hAnsi="仿宋" w:eastAsia="仿宋" w:cs="仿宋"/>
          <w:b/>
          <w:bCs/>
          <w:sz w:val="32"/>
          <w:szCs w:val="32"/>
        </w:rPr>
        <w:t>提</w:t>
      </w:r>
      <w:r>
        <w:rPr>
          <w:rFonts w:hint="eastAsia" w:ascii="仿宋" w:hAnsi="仿宋" w:eastAsia="仿宋" w:cs="仿宋"/>
          <w:b/>
          <w:bCs/>
          <w:sz w:val="32"/>
          <w:szCs w:val="32"/>
          <w:lang w:eastAsia="zh-CN"/>
        </w:rPr>
        <w:t>升</w:t>
      </w:r>
      <w:r>
        <w:rPr>
          <w:rFonts w:hint="eastAsia" w:ascii="仿宋" w:hAnsi="仿宋" w:eastAsia="仿宋" w:cs="仿宋"/>
          <w:b/>
          <w:bCs/>
          <w:sz w:val="32"/>
          <w:szCs w:val="32"/>
        </w:rPr>
        <w:t>农牧业机械化水平。</w:t>
      </w:r>
      <w:r>
        <w:rPr>
          <w:rFonts w:ascii="Times New Roman" w:hAnsi="Times New Roman" w:eastAsia="仿宋" w:cs="Times New Roman"/>
          <w:sz w:val="32"/>
          <w:szCs w:val="32"/>
        </w:rPr>
        <w:t>依托天然草场、人工草场、</w:t>
      </w:r>
      <w:r>
        <w:rPr>
          <w:rFonts w:hint="eastAsia" w:ascii="仿宋" w:hAnsi="仿宋" w:eastAsia="仿宋" w:cs="仿宋"/>
          <w:sz w:val="32"/>
          <w:szCs w:val="32"/>
        </w:rPr>
        <w:t>“粮改饲”</w:t>
      </w:r>
      <w:r>
        <w:rPr>
          <w:rFonts w:ascii="Times New Roman" w:hAnsi="Times New Roman" w:eastAsia="仿宋" w:cs="Times New Roman"/>
          <w:sz w:val="32"/>
          <w:szCs w:val="32"/>
        </w:rPr>
        <w:t>优质高产饲料规模化种植区，大力发展畜牧业生产机械化，重点推广大型高端饲草料生产加工机械化技术与装备，推动饲草料生产机械化转型升级。聚焦草原生态保护和修复机械化薄弱环节，大力推广牧草补播、切根改良、野生草种采集、牧草种子清选加工、草原生物灾害防治</w:t>
      </w:r>
      <w:r>
        <w:rPr>
          <w:rFonts w:hint="eastAsia" w:ascii="Times New Roman" w:hAnsi="Times New Roman" w:eastAsia="仿宋" w:cs="Times New Roman"/>
          <w:sz w:val="32"/>
          <w:szCs w:val="32"/>
        </w:rPr>
        <w:t>、</w:t>
      </w:r>
      <w:r>
        <w:rPr>
          <w:rFonts w:ascii="Times New Roman" w:hAnsi="Times New Roman" w:eastAsia="仿宋" w:cs="Times New Roman"/>
          <w:sz w:val="32"/>
          <w:szCs w:val="32"/>
        </w:rPr>
        <w:t>精准施药和绿色防控等机械化技术。</w:t>
      </w:r>
      <w:r>
        <w:rPr>
          <w:rFonts w:hint="eastAsia" w:ascii="Times New Roman" w:hAnsi="Times New Roman" w:eastAsia="仿宋" w:cs="Times New Roman"/>
          <w:sz w:val="32"/>
          <w:szCs w:val="32"/>
        </w:rPr>
        <w:t>推进粮食作物和战略性经济作物育、耕、种、管、收、运、贮、初加工等薄弱环节先进农机装备应用。</w:t>
      </w:r>
      <w:r>
        <w:rPr>
          <w:rFonts w:ascii="Times New Roman" w:hAnsi="Times New Roman" w:eastAsia="仿宋" w:cs="Times New Roman"/>
          <w:sz w:val="32"/>
          <w:szCs w:val="32"/>
        </w:rPr>
        <w:t>加快</w:t>
      </w:r>
      <w:r>
        <w:rPr>
          <w:rFonts w:hint="eastAsia" w:ascii="Times New Roman" w:hAnsi="Times New Roman" w:eastAsia="仿宋" w:cs="Times New Roman"/>
          <w:sz w:val="32"/>
          <w:szCs w:val="32"/>
        </w:rPr>
        <w:t>发展“全程机械化</w:t>
      </w:r>
      <w:r>
        <w:rPr>
          <w:rFonts w:hint="eastAsia" w:ascii="仿宋" w:hAnsi="仿宋" w:eastAsia="仿宋" w:cs="仿宋"/>
          <w:sz w:val="32"/>
          <w:szCs w:val="32"/>
        </w:rPr>
        <w:t>+</w:t>
      </w:r>
      <w:r>
        <w:rPr>
          <w:rFonts w:hint="eastAsia" w:ascii="Times New Roman" w:hAnsi="Times New Roman" w:eastAsia="仿宋" w:cs="Times New Roman"/>
          <w:sz w:val="32"/>
          <w:szCs w:val="32"/>
        </w:rPr>
        <w:t>综合农事”等农机服务新模式，</w:t>
      </w:r>
      <w:r>
        <w:rPr>
          <w:rFonts w:ascii="Times New Roman" w:hAnsi="Times New Roman" w:eastAsia="仿宋" w:cs="Times New Roman"/>
          <w:sz w:val="32"/>
          <w:szCs w:val="32"/>
        </w:rPr>
        <w:t>推进主要农作物全程机械化示范旗县建设。以实施农机购置</w:t>
      </w:r>
      <w:r>
        <w:rPr>
          <w:rFonts w:hint="eastAsia" w:ascii="Times New Roman" w:hAnsi="Times New Roman" w:eastAsia="仿宋" w:cs="Times New Roman"/>
          <w:sz w:val="32"/>
          <w:szCs w:val="32"/>
          <w:lang w:eastAsia="zh-CN"/>
        </w:rPr>
        <w:t>与应用</w:t>
      </w:r>
      <w:r>
        <w:rPr>
          <w:rFonts w:ascii="Times New Roman" w:hAnsi="Times New Roman" w:eastAsia="仿宋" w:cs="Times New Roman"/>
          <w:sz w:val="32"/>
          <w:szCs w:val="32"/>
        </w:rPr>
        <w:t>补贴政策为推手，</w:t>
      </w:r>
      <w:r>
        <w:rPr>
          <w:rFonts w:hint="eastAsia" w:ascii="Times New Roman" w:hAnsi="Times New Roman" w:eastAsia="仿宋" w:cs="Times New Roman"/>
          <w:sz w:val="32"/>
          <w:szCs w:val="32"/>
        </w:rPr>
        <w:t>面向保护性耕作、秸秆还田、畜禽粪污综合利用等领域和环节，大力推</w:t>
      </w:r>
      <w:r>
        <w:rPr>
          <w:rFonts w:hint="eastAsia" w:ascii="仿宋" w:hAnsi="仿宋" w:eastAsia="仿宋" w:cs="仿宋"/>
          <w:sz w:val="32"/>
          <w:szCs w:val="32"/>
        </w:rPr>
        <w:t>广绿色高效机械化技术。鼓励农牧业生产与大数据、物联网、空间信息、智能装备深度融合，</w:t>
      </w:r>
      <w:r>
        <w:rPr>
          <w:rFonts w:hint="eastAsia" w:ascii="仿宋" w:hAnsi="仿宋" w:eastAsia="仿宋" w:cs="仿宋"/>
          <w:sz w:val="32"/>
          <w:szCs w:val="32"/>
          <w:lang w:eastAsia="zh-CN"/>
        </w:rPr>
        <w:t>提升</w:t>
      </w:r>
      <w:r>
        <w:rPr>
          <w:rFonts w:hint="eastAsia" w:ascii="仿宋" w:hAnsi="仿宋" w:eastAsia="仿宋" w:cs="仿宋"/>
          <w:sz w:val="32"/>
          <w:szCs w:val="32"/>
        </w:rPr>
        <w:t>农牧业机械数字化水平。到2025年，全盟农作物耕种收综合机械化率</w:t>
      </w:r>
      <w:r>
        <w:rPr>
          <w:rFonts w:hint="eastAsia" w:ascii="仿宋" w:hAnsi="仿宋" w:eastAsia="仿宋" w:cs="仿宋"/>
          <w:sz w:val="32"/>
          <w:szCs w:val="32"/>
          <w:lang w:eastAsia="zh-CN"/>
        </w:rPr>
        <w:t>达到</w:t>
      </w:r>
      <w:r>
        <w:rPr>
          <w:rFonts w:hint="eastAsia" w:ascii="仿宋" w:hAnsi="仿宋" w:eastAsia="仿宋" w:cs="仿宋"/>
          <w:sz w:val="32"/>
          <w:szCs w:val="32"/>
        </w:rPr>
        <w:t>92%，经济特色作物生产基本实现全程机械化，设施农业、畜牧养殖和农畜产品初加工机械化率达到50%以上。</w:t>
      </w:r>
    </w:p>
    <w:p>
      <w:pPr>
        <w:pStyle w:val="4"/>
        <w:pageBreakBefore w:val="0"/>
        <w:widowControl w:val="0"/>
        <w:kinsoku/>
        <w:wordWrap/>
        <w:overflowPunct/>
        <w:topLinePunct w:val="0"/>
        <w:autoSpaceDE/>
        <w:autoSpaceDN/>
        <w:bidi w:val="0"/>
        <w:adjustRightInd/>
        <w:snapToGrid/>
        <w:spacing w:before="156" w:beforeLines="50" w:after="156" w:afterLines="50" w:line="600" w:lineRule="exact"/>
        <w:textAlignment w:val="auto"/>
        <w:rPr>
          <w:rFonts w:ascii="Calibri Light" w:hAnsi="Calibri Light" w:cs="Times New Roman"/>
          <w:b w:val="0"/>
          <w:bCs w:val="0"/>
          <w:sz w:val="32"/>
          <w:szCs w:val="32"/>
        </w:rPr>
      </w:pPr>
      <w:bookmarkStart w:id="313" w:name="_Toc12305"/>
      <w:bookmarkStart w:id="314" w:name="_Toc28305"/>
      <w:bookmarkStart w:id="315" w:name="_Toc1498"/>
      <w:bookmarkStart w:id="316" w:name="_Toc1193121066_WPSOffice_Level2"/>
      <w:r>
        <w:rPr>
          <w:rFonts w:hint="eastAsia" w:ascii="Calibri Light" w:hAnsi="Calibri Light" w:cs="Times New Roman"/>
          <w:b w:val="0"/>
          <w:bCs w:val="0"/>
          <w:sz w:val="32"/>
          <w:szCs w:val="32"/>
        </w:rPr>
        <w:t>第四节</w:t>
      </w:r>
      <w:r>
        <w:rPr>
          <w:rFonts w:ascii="Calibri Light" w:hAnsi="Calibri Light" w:cs="Times New Roman"/>
          <w:b w:val="0"/>
          <w:bCs w:val="0"/>
          <w:sz w:val="32"/>
          <w:szCs w:val="32"/>
        </w:rPr>
        <w:t xml:space="preserve"> </w:t>
      </w:r>
      <w:r>
        <w:rPr>
          <w:rFonts w:hint="eastAsia" w:ascii="Calibri Light" w:hAnsi="Calibri Light" w:cs="Times New Roman"/>
          <w:b w:val="0"/>
          <w:bCs w:val="0"/>
          <w:sz w:val="32"/>
          <w:szCs w:val="32"/>
        </w:rPr>
        <w:t>加强农村牧区人才队伍建设</w:t>
      </w:r>
      <w:bookmarkEnd w:id="313"/>
      <w:bookmarkEnd w:id="314"/>
      <w:bookmarkEnd w:id="315"/>
      <w:bookmarkEnd w:id="316"/>
    </w:p>
    <w:p>
      <w:pPr>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color w:val="FF0000"/>
          <w:sz w:val="32"/>
          <w:szCs w:val="32"/>
        </w:rPr>
      </w:pPr>
      <w:r>
        <w:rPr>
          <w:rFonts w:hint="eastAsia" w:ascii="仿宋" w:hAnsi="仿宋" w:eastAsia="仿宋" w:cs="仿宋"/>
          <w:b/>
          <w:bCs/>
          <w:sz w:val="32"/>
          <w:szCs w:val="32"/>
          <w:lang w:eastAsia="zh-CN"/>
        </w:rPr>
        <w:t>大力</w:t>
      </w:r>
      <w:r>
        <w:rPr>
          <w:rFonts w:hint="eastAsia" w:ascii="仿宋" w:hAnsi="仿宋" w:eastAsia="仿宋" w:cs="仿宋"/>
          <w:b/>
          <w:bCs/>
          <w:sz w:val="32"/>
          <w:szCs w:val="32"/>
        </w:rPr>
        <w:t>加强科技人才队伍建设。</w:t>
      </w:r>
      <w:r>
        <w:rPr>
          <w:rFonts w:hint="eastAsia" w:ascii="仿宋" w:hAnsi="仿宋" w:eastAsia="仿宋" w:cs="仿宋"/>
          <w:sz w:val="32"/>
          <w:szCs w:val="32"/>
          <w:lang w:eastAsia="zh-CN"/>
        </w:rPr>
        <w:t>各级</w:t>
      </w:r>
      <w:r>
        <w:rPr>
          <w:rFonts w:hint="eastAsia" w:ascii="仿宋" w:hAnsi="仿宋" w:eastAsia="仿宋" w:cs="仿宋"/>
          <w:color w:val="000000" w:themeColor="text1"/>
          <w:sz w:val="32"/>
          <w:szCs w:val="32"/>
        </w:rPr>
        <w:t>重大人才工程、人才专项优先支持农牧</w:t>
      </w:r>
      <w:r>
        <w:rPr>
          <w:rFonts w:hint="eastAsia" w:ascii="仿宋" w:hAnsi="仿宋" w:eastAsia="仿宋" w:cs="仿宋"/>
          <w:color w:val="000000" w:themeColor="text1"/>
          <w:sz w:val="32"/>
          <w:szCs w:val="32"/>
          <w:lang w:eastAsia="zh-CN"/>
        </w:rPr>
        <w:t>发展</w:t>
      </w:r>
      <w:r>
        <w:rPr>
          <w:rFonts w:hint="eastAsia" w:ascii="仿宋" w:hAnsi="仿宋" w:eastAsia="仿宋" w:cs="仿宋"/>
          <w:color w:val="000000" w:themeColor="text1"/>
          <w:sz w:val="32"/>
          <w:szCs w:val="32"/>
        </w:rPr>
        <w:t>领域</w:t>
      </w:r>
      <w:r>
        <w:rPr>
          <w:rFonts w:hint="eastAsia" w:ascii="仿宋" w:hAnsi="仿宋" w:eastAsia="仿宋" w:cs="仿宋"/>
          <w:color w:val="000000" w:themeColor="text1"/>
          <w:sz w:val="32"/>
          <w:szCs w:val="32"/>
          <w:lang w:eastAsia="zh-CN"/>
        </w:rPr>
        <w:t>，加强</w:t>
      </w:r>
      <w:r>
        <w:rPr>
          <w:rFonts w:hint="eastAsia" w:ascii="仿宋" w:hAnsi="仿宋" w:eastAsia="仿宋" w:cs="仿宋"/>
          <w:color w:val="000000" w:themeColor="text1"/>
          <w:sz w:val="32"/>
          <w:szCs w:val="32"/>
        </w:rPr>
        <w:t>科研杰出人才培养</w:t>
      </w:r>
      <w:r>
        <w:rPr>
          <w:rFonts w:hint="eastAsia" w:ascii="仿宋" w:hAnsi="仿宋" w:eastAsia="仿宋" w:cs="仿宋"/>
          <w:color w:val="000000" w:themeColor="text1"/>
          <w:sz w:val="32"/>
          <w:szCs w:val="32"/>
          <w:lang w:eastAsia="zh-CN"/>
        </w:rPr>
        <w:t>，</w:t>
      </w:r>
      <w:r>
        <w:rPr>
          <w:rFonts w:hint="eastAsia" w:ascii="仿宋" w:hAnsi="仿宋" w:eastAsia="仿宋" w:cs="仿宋"/>
          <w:color w:val="000000" w:themeColor="text1"/>
          <w:sz w:val="32"/>
          <w:szCs w:val="32"/>
        </w:rPr>
        <w:t>加快培育一批科技领军人才和团队。推广科技特派员创业、科技专家咨询、“三区”科技人员服务等模式，构建“科技特派员+项目+农牧户”的创新服务体系，推动科技人才和团队向农村牧区集聚。实施基层农技人员能力提升</w:t>
      </w:r>
      <w:r>
        <w:rPr>
          <w:rFonts w:hint="eastAsia" w:ascii="仿宋" w:hAnsi="仿宋" w:eastAsia="仿宋" w:cs="仿宋"/>
          <w:color w:val="000000" w:themeColor="text1"/>
          <w:sz w:val="32"/>
          <w:szCs w:val="32"/>
          <w:lang w:eastAsia="zh-CN"/>
        </w:rPr>
        <w:t>工程</w:t>
      </w:r>
      <w:r>
        <w:rPr>
          <w:rFonts w:hint="eastAsia" w:ascii="仿宋" w:hAnsi="仿宋" w:eastAsia="仿宋" w:cs="仿宋"/>
          <w:color w:val="000000" w:themeColor="text1"/>
          <w:sz w:val="32"/>
          <w:szCs w:val="32"/>
        </w:rPr>
        <w:t>，依托基层农技推广体系改革与补助项目建设，分层次组织农技人员参加农技推广骨干人才培养、异地研修、集中培训和现场实训，提高专业素质和</w:t>
      </w:r>
      <w:r>
        <w:rPr>
          <w:rFonts w:hint="eastAsia" w:ascii="仿宋" w:hAnsi="仿宋" w:eastAsia="仿宋" w:cs="仿宋"/>
          <w:color w:val="000000" w:themeColor="text1"/>
          <w:sz w:val="32"/>
          <w:szCs w:val="32"/>
          <w:lang w:eastAsia="zh-CN"/>
        </w:rPr>
        <w:t>技术</w:t>
      </w:r>
      <w:r>
        <w:rPr>
          <w:rFonts w:hint="eastAsia" w:ascii="仿宋" w:hAnsi="仿宋" w:eastAsia="仿宋" w:cs="仿宋"/>
          <w:color w:val="000000" w:themeColor="text1"/>
          <w:sz w:val="32"/>
          <w:szCs w:val="32"/>
        </w:rPr>
        <w:t>能力。支持基层农技推广队伍中非专业和低学历人员，通过在职研修等方式进行学历提升教育。以提升农牧民科技文化素质为重点，全面提高农牧民科学生产和科学经营能力。</w:t>
      </w:r>
    </w:p>
    <w:p>
      <w:pPr>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sz w:val="32"/>
          <w:szCs w:val="32"/>
        </w:rPr>
      </w:pPr>
      <w:r>
        <w:rPr>
          <w:rFonts w:hint="eastAsia" w:ascii="仿宋" w:hAnsi="仿宋" w:eastAsia="仿宋" w:cs="仿宋"/>
          <w:b/>
          <w:bCs/>
          <w:sz w:val="32"/>
          <w:szCs w:val="32"/>
          <w:lang w:eastAsia="zh-CN"/>
        </w:rPr>
        <w:t>加快</w:t>
      </w:r>
      <w:r>
        <w:rPr>
          <w:rFonts w:hint="eastAsia" w:ascii="仿宋" w:hAnsi="仿宋" w:eastAsia="仿宋" w:cs="仿宋"/>
          <w:b/>
          <w:bCs/>
          <w:sz w:val="32"/>
          <w:szCs w:val="32"/>
        </w:rPr>
        <w:t>培养农牧业生产经营人才。</w:t>
      </w:r>
      <w:r>
        <w:rPr>
          <w:rFonts w:hint="eastAsia" w:ascii="仿宋" w:hAnsi="仿宋" w:eastAsia="仿宋" w:cs="仿宋"/>
          <w:sz w:val="32"/>
          <w:szCs w:val="32"/>
        </w:rPr>
        <w:t>依托国家高素质农民培育工程，重点培育农牧业经理人、种养殖大户管理者和专业性服务人才等高素质农牧民</w:t>
      </w:r>
      <w:r>
        <w:rPr>
          <w:rFonts w:hint="eastAsia" w:ascii="仿宋" w:hAnsi="仿宋" w:eastAsia="仿宋" w:cs="仿宋"/>
          <w:sz w:val="32"/>
          <w:szCs w:val="32"/>
          <w:lang w:eastAsia="zh-CN"/>
        </w:rPr>
        <w:t>。聚焦项目支持、生产指导、质量管理和对接市场等方面，突出抓好家庭农牧场经营者、农牧民合作社带头人培育工作</w:t>
      </w:r>
      <w:r>
        <w:rPr>
          <w:rFonts w:hint="eastAsia" w:ascii="仿宋" w:hAnsi="仿宋" w:eastAsia="仿宋" w:cs="仿宋"/>
          <w:sz w:val="32"/>
          <w:szCs w:val="32"/>
        </w:rPr>
        <w:t>。实施农村牧区实用人才培养计划，加强培训基地建设，培养造就一批能够引领一方、带动一片的农村牧区实用人才带头人。充分利用现有网络教育资源，加强农牧民在线教育培训。</w:t>
      </w:r>
    </w:p>
    <w:p>
      <w:pPr>
        <w:pStyle w:val="2"/>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sz w:val="32"/>
          <w:szCs w:val="32"/>
          <w:lang w:eastAsia="zh-CN"/>
        </w:rPr>
      </w:pPr>
      <w:r>
        <w:rPr>
          <w:rFonts w:hint="eastAsia" w:ascii="仿宋" w:hAnsi="仿宋" w:eastAsia="仿宋" w:cs="仿宋"/>
          <w:b/>
          <w:bCs/>
          <w:sz w:val="32"/>
          <w:szCs w:val="32"/>
          <w:lang w:eastAsia="zh-CN"/>
        </w:rPr>
        <w:t>积极培育</w:t>
      </w:r>
      <w:r>
        <w:rPr>
          <w:rFonts w:hint="eastAsia" w:ascii="仿宋" w:hAnsi="仿宋" w:eastAsia="仿宋" w:cs="仿宋"/>
          <w:b/>
          <w:bCs/>
          <w:sz w:val="32"/>
          <w:szCs w:val="32"/>
        </w:rPr>
        <w:t>农村牧区二三产业人才。</w:t>
      </w:r>
      <w:r>
        <w:rPr>
          <w:rFonts w:hint="eastAsia" w:ascii="仿宋" w:hAnsi="仿宋" w:eastAsia="仿宋" w:cs="仿宋"/>
          <w:sz w:val="32"/>
          <w:szCs w:val="32"/>
        </w:rPr>
        <w:t>深入实施农村牧区创业创新带头人培育行动</w:t>
      </w:r>
      <w:r>
        <w:rPr>
          <w:rFonts w:hint="eastAsia" w:ascii="仿宋" w:hAnsi="仿宋" w:eastAsia="仿宋" w:cs="仿宋"/>
          <w:sz w:val="32"/>
          <w:szCs w:val="32"/>
          <w:lang w:eastAsia="zh-CN"/>
        </w:rPr>
        <w:t>，</w:t>
      </w:r>
      <w:r>
        <w:rPr>
          <w:rFonts w:hint="eastAsia" w:ascii="仿宋" w:hAnsi="仿宋" w:eastAsia="仿宋" w:cs="仿宋"/>
          <w:sz w:val="32"/>
          <w:szCs w:val="32"/>
        </w:rPr>
        <w:t>加大扶持和培育一批扎根</w:t>
      </w:r>
      <w:r>
        <w:rPr>
          <w:rFonts w:hint="eastAsia" w:ascii="仿宋" w:hAnsi="仿宋" w:eastAsia="仿宋" w:cs="仿宋"/>
          <w:sz w:val="32"/>
          <w:szCs w:val="32"/>
          <w:lang w:eastAsia="zh-CN"/>
        </w:rPr>
        <w:t>基层</w:t>
      </w:r>
      <w:r>
        <w:rPr>
          <w:rFonts w:hint="eastAsia" w:ascii="仿宋" w:hAnsi="仿宋" w:eastAsia="仿宋" w:cs="仿宋"/>
          <w:sz w:val="32"/>
          <w:szCs w:val="32"/>
        </w:rPr>
        <w:t>、服务农牧业、带动农牧民的创业</w:t>
      </w:r>
      <w:r>
        <w:rPr>
          <w:rFonts w:hint="eastAsia" w:ascii="仿宋" w:hAnsi="仿宋" w:eastAsia="仿宋" w:cs="仿宋"/>
          <w:sz w:val="32"/>
          <w:szCs w:val="32"/>
          <w:lang w:eastAsia="zh-CN"/>
        </w:rPr>
        <w:t>创</w:t>
      </w:r>
      <w:r>
        <w:rPr>
          <w:rFonts w:hint="eastAsia" w:ascii="仿宋" w:hAnsi="仿宋" w:eastAsia="仿宋" w:cs="仿宋"/>
          <w:sz w:val="32"/>
          <w:szCs w:val="32"/>
        </w:rPr>
        <w:t>新群体</w:t>
      </w:r>
      <w:r>
        <w:rPr>
          <w:rFonts w:hint="eastAsia" w:ascii="仿宋" w:hAnsi="仿宋" w:eastAsia="仿宋" w:cs="仿宋"/>
          <w:sz w:val="32"/>
          <w:szCs w:val="32"/>
          <w:lang w:eastAsia="zh-CN"/>
        </w:rPr>
        <w:t>，</w:t>
      </w:r>
      <w:r>
        <w:rPr>
          <w:rFonts w:hint="eastAsia" w:ascii="仿宋" w:hAnsi="仿宋" w:eastAsia="仿宋" w:cs="仿宋"/>
          <w:sz w:val="32"/>
          <w:szCs w:val="32"/>
        </w:rPr>
        <w:t>不断改善农村牧区创业创新生态</w:t>
      </w:r>
      <w:r>
        <w:rPr>
          <w:rFonts w:hint="eastAsia" w:ascii="仿宋" w:hAnsi="仿宋" w:eastAsia="仿宋" w:cs="仿宋"/>
          <w:sz w:val="32"/>
          <w:szCs w:val="32"/>
          <w:lang w:eastAsia="zh-CN"/>
        </w:rPr>
        <w:t>，</w:t>
      </w:r>
      <w:r>
        <w:rPr>
          <w:rFonts w:hint="eastAsia" w:ascii="仿宋" w:hAnsi="仿宋" w:eastAsia="仿宋" w:cs="仿宋"/>
          <w:sz w:val="32"/>
          <w:szCs w:val="32"/>
        </w:rPr>
        <w:t>加快建设农村牧区创业实训基地。壮大新一代农村牧区企业家队伍，通过专题培训、实践锻炼、学习交流等方式</w:t>
      </w:r>
      <w:r>
        <w:rPr>
          <w:rFonts w:hint="eastAsia" w:ascii="仿宋" w:hAnsi="仿宋" w:eastAsia="仿宋" w:cs="仿宋"/>
          <w:sz w:val="32"/>
          <w:szCs w:val="32"/>
          <w:lang w:eastAsia="zh-CN"/>
        </w:rPr>
        <w:t>，</w:t>
      </w:r>
      <w:r>
        <w:rPr>
          <w:rFonts w:hint="eastAsia" w:ascii="仿宋" w:hAnsi="仿宋" w:eastAsia="仿宋" w:cs="仿宋"/>
          <w:sz w:val="32"/>
          <w:szCs w:val="32"/>
        </w:rPr>
        <w:t>完善农村牧区企业家培训体系</w:t>
      </w:r>
      <w:r>
        <w:rPr>
          <w:rFonts w:hint="eastAsia" w:ascii="仿宋" w:hAnsi="仿宋" w:eastAsia="仿宋" w:cs="仿宋"/>
          <w:sz w:val="32"/>
          <w:szCs w:val="32"/>
          <w:lang w:eastAsia="zh-CN"/>
        </w:rPr>
        <w:t>和激励机制</w:t>
      </w:r>
      <w:r>
        <w:rPr>
          <w:rFonts w:hint="eastAsia" w:ascii="仿宋" w:hAnsi="仿宋" w:eastAsia="仿宋" w:cs="仿宋"/>
          <w:sz w:val="32"/>
          <w:szCs w:val="32"/>
        </w:rPr>
        <w:t>。加强农村牧区电商人才培育，</w:t>
      </w:r>
      <w:r>
        <w:rPr>
          <w:rFonts w:hint="eastAsia" w:ascii="仿宋" w:hAnsi="仿宋" w:eastAsia="仿宋" w:cs="仿宋"/>
          <w:sz w:val="32"/>
          <w:szCs w:val="32"/>
          <w:lang w:eastAsia="zh-CN"/>
        </w:rPr>
        <w:t>打造一支高素质的电商创业、电商服务人才队伍</w:t>
      </w:r>
      <w:r>
        <w:rPr>
          <w:rFonts w:hint="eastAsia" w:ascii="仿宋" w:hAnsi="仿宋" w:eastAsia="仿宋" w:cs="仿宋"/>
          <w:sz w:val="32"/>
          <w:szCs w:val="32"/>
        </w:rPr>
        <w:t>。</w:t>
      </w:r>
      <w:r>
        <w:rPr>
          <w:rFonts w:hint="eastAsia" w:ascii="仿宋" w:hAnsi="仿宋" w:eastAsia="仿宋" w:cs="仿宋"/>
          <w:sz w:val="32"/>
          <w:szCs w:val="32"/>
          <w:lang w:eastAsia="zh-CN"/>
        </w:rPr>
        <w:t>挖掘培养手工业者、传统艺人，传承发展传统工艺。</w:t>
      </w:r>
    </w:p>
    <w:p>
      <w:pPr>
        <w:pStyle w:val="2"/>
        <w:keepNext w:val="0"/>
        <w:keepLines w:val="0"/>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sz w:val="32"/>
          <w:szCs w:val="32"/>
        </w:rPr>
      </w:pPr>
      <w:r>
        <w:rPr>
          <w:rFonts w:hint="eastAsia" w:ascii="仿宋" w:hAnsi="仿宋" w:eastAsia="仿宋" w:cs="仿宋"/>
          <w:b/>
          <w:bCs/>
          <w:sz w:val="32"/>
          <w:szCs w:val="32"/>
          <w:lang w:eastAsia="zh-CN"/>
        </w:rPr>
        <w:t>统筹</w:t>
      </w:r>
      <w:r>
        <w:rPr>
          <w:rFonts w:hint="eastAsia" w:ascii="仿宋" w:hAnsi="仿宋" w:eastAsia="仿宋" w:cs="仿宋"/>
          <w:b/>
          <w:bCs/>
          <w:sz w:val="32"/>
          <w:szCs w:val="32"/>
        </w:rPr>
        <w:t>培养农村牧区公共服务人才。</w:t>
      </w:r>
      <w:r>
        <w:rPr>
          <w:rFonts w:hint="eastAsia" w:ascii="仿宋" w:hAnsi="仿宋" w:eastAsia="仿宋" w:cs="仿宋"/>
          <w:sz w:val="32"/>
          <w:szCs w:val="32"/>
        </w:rPr>
        <w:t>加强教师</w:t>
      </w:r>
      <w:r>
        <w:rPr>
          <w:rFonts w:hint="eastAsia" w:ascii="仿宋" w:hAnsi="仿宋" w:eastAsia="仿宋" w:cs="仿宋"/>
          <w:sz w:val="32"/>
          <w:szCs w:val="32"/>
          <w:lang w:eastAsia="zh-CN"/>
        </w:rPr>
        <w:t>队伍建设，通过公开招聘、校园招聘、特岗招聘等方式，补充乡村教师队伍，加大骨干教师培养力度，健全乡村教师发展体系。加强</w:t>
      </w:r>
      <w:r>
        <w:rPr>
          <w:rFonts w:hint="eastAsia" w:ascii="仿宋" w:hAnsi="仿宋" w:eastAsia="仿宋" w:cs="仿宋"/>
          <w:sz w:val="32"/>
          <w:szCs w:val="32"/>
        </w:rPr>
        <w:t>卫生健康人才队伍建设，</w:t>
      </w:r>
      <w:r>
        <w:rPr>
          <w:rFonts w:hint="eastAsia" w:ascii="仿宋" w:hAnsi="仿宋" w:eastAsia="仿宋" w:cs="仿宋"/>
          <w:sz w:val="32"/>
          <w:szCs w:val="32"/>
          <w:lang w:eastAsia="zh-CN"/>
        </w:rPr>
        <w:t>深入实施全科医生特岗计划、农村牧区订单定向医学生免费培养和助理全科医生培训工作，优化岗位设置，强化待遇补助和继续教育，改善农村牧区卫生服务和治理水平</w:t>
      </w:r>
      <w:r>
        <w:rPr>
          <w:rFonts w:hint="eastAsia" w:ascii="仿宋" w:hAnsi="仿宋" w:eastAsia="仿宋" w:cs="仿宋"/>
          <w:sz w:val="32"/>
          <w:szCs w:val="32"/>
        </w:rPr>
        <w:t>。加强农村牧区文化旅游人才和规划建设人才队伍建设，</w:t>
      </w:r>
      <w:r>
        <w:rPr>
          <w:rFonts w:hint="eastAsia" w:ascii="仿宋" w:hAnsi="仿宋" w:eastAsia="仿宋" w:cs="仿宋"/>
          <w:sz w:val="32"/>
          <w:szCs w:val="32"/>
          <w:lang w:eastAsia="zh-CN"/>
        </w:rPr>
        <w:t>重点培养一批乡村文艺社团、创作团队、文化志愿者、非遗传承人和乡村旅游示范者，着力</w:t>
      </w:r>
      <w:r>
        <w:rPr>
          <w:rFonts w:hint="eastAsia" w:ascii="仿宋" w:hAnsi="仿宋" w:eastAsia="仿宋" w:cs="仿宋"/>
          <w:sz w:val="32"/>
          <w:szCs w:val="32"/>
        </w:rPr>
        <w:t>培育</w:t>
      </w:r>
      <w:r>
        <w:rPr>
          <w:rFonts w:hint="eastAsia" w:ascii="仿宋" w:hAnsi="仿宋" w:eastAsia="仿宋" w:cs="仿宋"/>
          <w:sz w:val="32"/>
          <w:szCs w:val="32"/>
          <w:lang w:eastAsia="zh-CN"/>
        </w:rPr>
        <w:t>一批</w:t>
      </w:r>
      <w:r>
        <w:rPr>
          <w:rFonts w:hint="eastAsia" w:ascii="仿宋" w:hAnsi="仿宋" w:eastAsia="仿宋" w:cs="仿宋"/>
          <w:sz w:val="32"/>
          <w:szCs w:val="32"/>
        </w:rPr>
        <w:t>修路工、水利员、改厕专家、农村牧区住房建设辅导员等专业人员。</w:t>
      </w:r>
    </w:p>
    <w:p>
      <w:pPr>
        <w:pageBreakBefore w:val="0"/>
        <w:widowControl w:val="0"/>
        <w:kinsoku/>
        <w:wordWrap/>
        <w:overflowPunct/>
        <w:topLinePunct w:val="0"/>
        <w:autoSpaceDE/>
        <w:autoSpaceDN/>
        <w:bidi w:val="0"/>
        <w:adjustRightInd/>
        <w:snapToGrid/>
        <w:spacing w:after="156" w:afterLines="50" w:line="600" w:lineRule="exact"/>
        <w:ind w:firstLine="643" w:firstLineChars="200"/>
        <w:textAlignment w:val="auto"/>
        <w:rPr>
          <w:rFonts w:ascii="仿宋" w:hAnsi="仿宋" w:eastAsia="仿宋" w:cstheme="minorBidi"/>
          <w:sz w:val="32"/>
          <w:szCs w:val="32"/>
        </w:rPr>
      </w:pPr>
      <w:r>
        <w:rPr>
          <w:rFonts w:hint="eastAsia" w:ascii="仿宋" w:hAnsi="仿宋" w:eastAsia="仿宋" w:cs="仿宋"/>
          <w:b/>
          <w:bCs/>
          <w:sz w:val="32"/>
          <w:szCs w:val="32"/>
        </w:rPr>
        <w:t>全面落实人才返乡留乡政策。</w:t>
      </w:r>
      <w:r>
        <w:rPr>
          <w:rFonts w:hint="eastAsia" w:ascii="仿宋" w:hAnsi="仿宋" w:eastAsia="仿宋" w:cs="仿宋"/>
          <w:sz w:val="32"/>
          <w:szCs w:val="32"/>
          <w:lang w:eastAsia="zh-CN"/>
        </w:rPr>
        <w:t>充分利用创业园（创业</w:t>
      </w:r>
      <w:r>
        <w:rPr>
          <w:rFonts w:hint="eastAsia" w:ascii="仿宋" w:hAnsi="仿宋" w:eastAsia="仿宋" w:cs="仿宋"/>
          <w:sz w:val="32"/>
          <w:szCs w:val="32"/>
        </w:rPr>
        <w:t>孵化</w:t>
      </w:r>
      <w:r>
        <w:rPr>
          <w:rFonts w:hint="eastAsia" w:ascii="仿宋" w:hAnsi="仿宋" w:eastAsia="仿宋" w:cs="仿宋"/>
          <w:sz w:val="32"/>
          <w:szCs w:val="32"/>
          <w:lang w:eastAsia="zh-CN"/>
        </w:rPr>
        <w:t>）</w:t>
      </w:r>
      <w:r>
        <w:rPr>
          <w:rFonts w:hint="eastAsia" w:ascii="仿宋" w:hAnsi="仿宋" w:eastAsia="仿宋" w:cs="仿宋"/>
          <w:sz w:val="32"/>
          <w:szCs w:val="32"/>
        </w:rPr>
        <w:t>基地，吸引农牧民工、大学生、退伍军</w:t>
      </w:r>
      <w:r>
        <w:rPr>
          <w:rFonts w:ascii="仿宋" w:hAnsi="仿宋" w:eastAsia="仿宋" w:cs="Times New Roman"/>
          <w:sz w:val="32"/>
          <w:szCs w:val="32"/>
        </w:rPr>
        <w:t>人和科技人员返乡下乡创业创新。加强对返乡入乡创新创业者培养，</w:t>
      </w:r>
      <w:r>
        <w:rPr>
          <w:rFonts w:hint="eastAsia" w:ascii="仿宋" w:hAnsi="仿宋" w:eastAsia="仿宋" w:cs="Times New Roman"/>
          <w:sz w:val="32"/>
          <w:szCs w:val="32"/>
          <w:lang w:eastAsia="zh-CN"/>
        </w:rPr>
        <w:t>强化</w:t>
      </w:r>
      <w:r>
        <w:rPr>
          <w:rFonts w:ascii="仿宋" w:hAnsi="仿宋" w:eastAsia="仿宋" w:cs="Times New Roman"/>
          <w:sz w:val="32"/>
          <w:szCs w:val="32"/>
        </w:rPr>
        <w:t>创业创新群体</w:t>
      </w:r>
      <w:r>
        <w:rPr>
          <w:rFonts w:hint="eastAsia" w:ascii="仿宋" w:hAnsi="仿宋" w:eastAsia="仿宋" w:cs="Times New Roman"/>
          <w:sz w:val="32"/>
          <w:szCs w:val="32"/>
          <w:lang w:eastAsia="zh-CN"/>
        </w:rPr>
        <w:t>的</w:t>
      </w:r>
      <w:r>
        <w:rPr>
          <w:rFonts w:ascii="仿宋" w:hAnsi="仿宋" w:eastAsia="仿宋" w:cs="Times New Roman"/>
          <w:sz w:val="32"/>
          <w:szCs w:val="32"/>
        </w:rPr>
        <w:t>技能培训，提升就业创业能力</w:t>
      </w:r>
      <w:r>
        <w:rPr>
          <w:rFonts w:hint="eastAsia" w:ascii="仿宋" w:hAnsi="仿宋" w:eastAsia="仿宋" w:cs="Times New Roman"/>
          <w:sz w:val="32"/>
          <w:szCs w:val="32"/>
        </w:rPr>
        <w:t>。</w:t>
      </w:r>
      <w:r>
        <w:rPr>
          <w:rFonts w:ascii="仿宋" w:hAnsi="仿宋" w:eastAsia="仿宋" w:cs="Times New Roman"/>
          <w:sz w:val="32"/>
          <w:szCs w:val="32"/>
        </w:rPr>
        <w:t>引导返乡下乡人员通过承包、租赁、参股、合作等多种形式，领办创办家庭农牧场、农牧民专业合作社、农牧业企业</w:t>
      </w:r>
      <w:r>
        <w:rPr>
          <w:rFonts w:hint="eastAsia" w:ascii="仿宋" w:hAnsi="仿宋" w:eastAsia="仿宋" w:cs="Times New Roman"/>
          <w:sz w:val="32"/>
          <w:szCs w:val="32"/>
          <w:lang w:eastAsia="zh-CN"/>
        </w:rPr>
        <w:t>和</w:t>
      </w:r>
      <w:r>
        <w:rPr>
          <w:rFonts w:ascii="仿宋" w:hAnsi="仿宋" w:eastAsia="仿宋" w:cs="Times New Roman"/>
          <w:sz w:val="32"/>
          <w:szCs w:val="32"/>
        </w:rPr>
        <w:t>农牧业生产性服务组织，丰富创业创新方式。依托现有各类综合服务信息平台、公益性农畜产品市场和园区（基地），为返乡下乡人员创业创新提供政策咨询、市场信息等公共服务，做好返乡下乡人</w:t>
      </w:r>
      <w:r>
        <w:rPr>
          <w:rFonts w:hint="eastAsia" w:ascii="仿宋" w:hAnsi="仿宋" w:eastAsia="仿宋" w:cs="仿宋"/>
          <w:sz w:val="32"/>
          <w:szCs w:val="32"/>
        </w:rPr>
        <w:t>员在土地草原流转、项目选择、科技推广等方面的指导和服务</w:t>
      </w:r>
      <w:r>
        <w:rPr>
          <w:rFonts w:hint="eastAsia" w:ascii="仿宋" w:hAnsi="仿宋" w:eastAsia="仿宋" w:cs="仿宋"/>
          <w:sz w:val="32"/>
          <w:szCs w:val="32"/>
          <w:lang w:eastAsia="zh-CN"/>
        </w:rPr>
        <w:t>保障工作</w:t>
      </w:r>
      <w:r>
        <w:rPr>
          <w:rFonts w:hint="eastAsia" w:ascii="仿宋" w:hAnsi="仿宋" w:eastAsia="仿宋" w:cs="仿宋"/>
          <w:sz w:val="32"/>
          <w:szCs w:val="32"/>
        </w:rPr>
        <w:t>。</w:t>
      </w:r>
      <w:bookmarkStart w:id="317" w:name="_Toc2424"/>
      <w:bookmarkStart w:id="318" w:name="_Toc32722"/>
      <w:bookmarkStart w:id="319" w:name="_Toc10488"/>
      <w:bookmarkStart w:id="320" w:name="_Toc18624"/>
    </w:p>
    <w:p>
      <w:pPr>
        <w:pStyle w:val="4"/>
        <w:pageBreakBefore w:val="0"/>
        <w:widowControl w:val="0"/>
        <w:kinsoku/>
        <w:wordWrap/>
        <w:overflowPunct/>
        <w:topLinePunct w:val="0"/>
        <w:autoSpaceDE/>
        <w:autoSpaceDN/>
        <w:bidi w:val="0"/>
        <w:adjustRightInd/>
        <w:snapToGrid/>
        <w:spacing w:before="156" w:beforeLines="50" w:after="156" w:afterLines="50" w:line="600" w:lineRule="exact"/>
        <w:jc w:val="center"/>
        <w:textAlignment w:val="auto"/>
        <w:rPr>
          <w:rFonts w:ascii="Calibri Light" w:hAnsi="Calibri Light" w:cs="Times New Roman"/>
          <w:b w:val="0"/>
          <w:bCs w:val="0"/>
          <w:sz w:val="32"/>
          <w:szCs w:val="32"/>
        </w:rPr>
      </w:pPr>
      <w:r>
        <w:rPr>
          <w:rFonts w:hint="eastAsia" w:ascii="黑体" w:hAnsi="黑体" w:eastAsia="黑体" w:cs="黑体"/>
          <w:b w:val="0"/>
          <w:bCs w:val="0"/>
          <w:sz w:val="32"/>
          <w:szCs w:val="32"/>
        </w:rPr>
        <w:t>第五节 强化动植物疫病防控体系建设</w:t>
      </w:r>
    </w:p>
    <w:bookmarkEnd w:id="309"/>
    <w:bookmarkEnd w:id="310"/>
    <w:bookmarkEnd w:id="311"/>
    <w:bookmarkEnd w:id="312"/>
    <w:bookmarkEnd w:id="317"/>
    <w:bookmarkEnd w:id="318"/>
    <w:bookmarkEnd w:id="319"/>
    <w:bookmarkEnd w:id="320"/>
    <w:p>
      <w:pPr>
        <w:keepNext w:val="0"/>
        <w:keepLines w:val="0"/>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sz w:val="32"/>
          <w:szCs w:val="32"/>
        </w:rPr>
      </w:pPr>
      <w:bookmarkStart w:id="321" w:name="_Toc27122"/>
      <w:bookmarkStart w:id="322" w:name="_Toc59000578"/>
      <w:bookmarkStart w:id="323" w:name="_Toc58870205"/>
      <w:r>
        <w:rPr>
          <w:rFonts w:hint="eastAsia" w:ascii="仿宋" w:hAnsi="仿宋" w:eastAsia="仿宋" w:cs="仿宋"/>
          <w:b/>
          <w:bCs/>
          <w:sz w:val="32"/>
          <w:szCs w:val="32"/>
        </w:rPr>
        <w:t>提升动物疫病综合防控能力。</w:t>
      </w:r>
      <w:r>
        <w:rPr>
          <w:rFonts w:hint="eastAsia" w:ascii="仿宋" w:hAnsi="仿宋" w:eastAsia="仿宋" w:cs="仿宋"/>
          <w:sz w:val="32"/>
          <w:szCs w:val="32"/>
        </w:rPr>
        <w:t>坚持“预防为主</w:t>
      </w:r>
      <w:r>
        <w:rPr>
          <w:rFonts w:hint="eastAsia" w:ascii="仿宋" w:hAnsi="仿宋" w:eastAsia="仿宋" w:cs="仿宋"/>
          <w:sz w:val="32"/>
          <w:szCs w:val="32"/>
          <w:lang w:eastAsia="zh-CN"/>
        </w:rPr>
        <w:t>，</w:t>
      </w:r>
      <w:r>
        <w:rPr>
          <w:rFonts w:hint="eastAsia" w:ascii="仿宋" w:hAnsi="仿宋" w:eastAsia="仿宋" w:cs="仿宋"/>
          <w:sz w:val="32"/>
          <w:szCs w:val="32"/>
        </w:rPr>
        <w:t>预防与控制、净化、消灭相结合”的方针，扎实开展春秋两季集中免疫工作，做好口蹄疫、高致病性禽流感、小反刍兽疫等重大动物疫病防控，</w:t>
      </w:r>
      <w:r>
        <w:rPr>
          <w:rFonts w:hint="eastAsia" w:ascii="仿宋" w:hAnsi="仿宋" w:eastAsia="仿宋" w:cs="仿宋"/>
          <w:sz w:val="32"/>
          <w:szCs w:val="32"/>
          <w:lang w:eastAsia="zh-CN"/>
        </w:rPr>
        <w:t>稳步</w:t>
      </w:r>
      <w:r>
        <w:rPr>
          <w:rFonts w:hint="eastAsia" w:ascii="仿宋" w:hAnsi="仿宋" w:eastAsia="仿宋" w:cs="仿宋"/>
          <w:sz w:val="32"/>
          <w:szCs w:val="32"/>
        </w:rPr>
        <w:t>推进落实“先打后补”等防疫政策。加大布鲁氏菌病</w:t>
      </w:r>
      <w:r>
        <w:rPr>
          <w:rFonts w:hint="eastAsia" w:ascii="仿宋" w:hAnsi="仿宋" w:eastAsia="仿宋" w:cs="仿宋"/>
          <w:sz w:val="32"/>
          <w:szCs w:val="32"/>
          <w:lang w:eastAsia="zh-CN"/>
        </w:rPr>
        <w:t>等</w:t>
      </w:r>
      <w:r>
        <w:rPr>
          <w:rFonts w:hint="eastAsia" w:ascii="仿宋" w:hAnsi="仿宋" w:eastAsia="仿宋" w:cs="仿宋"/>
          <w:sz w:val="32"/>
          <w:szCs w:val="32"/>
        </w:rPr>
        <w:t>人畜共患病防治力度，采取“免疫、监测、检疫、扑杀、无害化处理、消毒”等综合性防控措施，巩固和扩大防控成效。提升动物疫情应急</w:t>
      </w:r>
      <w:r>
        <w:rPr>
          <w:rFonts w:hint="eastAsia" w:ascii="仿宋" w:hAnsi="仿宋" w:eastAsia="仿宋" w:cs="仿宋"/>
          <w:sz w:val="32"/>
          <w:szCs w:val="32"/>
          <w:lang w:eastAsia="zh-CN"/>
        </w:rPr>
        <w:t>保障</w:t>
      </w:r>
      <w:r>
        <w:rPr>
          <w:rFonts w:hint="eastAsia" w:ascii="仿宋" w:hAnsi="仿宋" w:eastAsia="仿宋" w:cs="仿宋"/>
          <w:sz w:val="32"/>
          <w:szCs w:val="32"/>
        </w:rPr>
        <w:t>能力，加强监测和流调，提高预警预报能力，严防外来疫病的传入和发生，确保不发生区域性重大动物疫情。完善盟、旗、苏木乡镇三级兽医实验室建设工作，通过仪器设备购入、实验室改扩建将盟级实验室打造成覆盖周边的区域型兽医实验室。加强兽医机构队伍和能力建设，强化嘎查村防疫员管理和培训，进一步完善嘎查村级动物防疫员队伍管理责任制和绩效考核制度。</w:t>
      </w:r>
    </w:p>
    <w:bookmarkEnd w:id="321"/>
    <w:bookmarkEnd w:id="322"/>
    <w:bookmarkEnd w:id="323"/>
    <w:p>
      <w:pPr>
        <w:keepNext w:val="0"/>
        <w:keepLines w:val="0"/>
        <w:pageBreakBefore w:val="0"/>
        <w:widowControl w:val="0"/>
        <w:numPr>
          <w:ilvl w:val="255"/>
          <w:numId w:val="0"/>
        </w:numPr>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sz w:val="32"/>
          <w:szCs w:val="32"/>
        </w:rPr>
      </w:pPr>
      <w:r>
        <w:rPr>
          <w:rFonts w:hint="eastAsia" w:ascii="仿宋" w:hAnsi="仿宋" w:eastAsia="仿宋" w:cs="仿宋"/>
          <w:b/>
          <w:bCs/>
          <w:sz w:val="32"/>
          <w:szCs w:val="32"/>
        </w:rPr>
        <w:t>建设绿色植物保护体系。</w:t>
      </w:r>
      <w:r>
        <w:rPr>
          <w:rFonts w:hint="eastAsia" w:ascii="仿宋" w:hAnsi="仿宋" w:eastAsia="仿宋" w:cs="仿宋"/>
          <w:sz w:val="32"/>
          <w:szCs w:val="32"/>
        </w:rPr>
        <w:t>全面落实“预防为主</w:t>
      </w:r>
      <w:r>
        <w:rPr>
          <w:rFonts w:hint="eastAsia" w:ascii="仿宋" w:hAnsi="仿宋" w:eastAsia="仿宋" w:cs="仿宋"/>
          <w:sz w:val="32"/>
          <w:szCs w:val="32"/>
          <w:lang w:eastAsia="zh-CN"/>
        </w:rPr>
        <w:t>、</w:t>
      </w:r>
      <w:r>
        <w:rPr>
          <w:rFonts w:hint="eastAsia" w:ascii="仿宋" w:hAnsi="仿宋" w:eastAsia="仿宋" w:cs="仿宋"/>
          <w:sz w:val="32"/>
          <w:szCs w:val="32"/>
        </w:rPr>
        <w:t>综合防治”植保方针</w:t>
      </w:r>
      <w:r>
        <w:rPr>
          <w:rFonts w:hint="eastAsia" w:ascii="仿宋" w:hAnsi="仿宋" w:eastAsia="仿宋" w:cs="仿宋"/>
          <w:sz w:val="32"/>
          <w:szCs w:val="32"/>
          <w:lang w:eastAsia="zh-CN"/>
        </w:rPr>
        <w:t>和“</w:t>
      </w:r>
      <w:r>
        <w:rPr>
          <w:rFonts w:hint="eastAsia" w:ascii="仿宋" w:hAnsi="仿宋" w:eastAsia="仿宋" w:cs="仿宋"/>
          <w:sz w:val="32"/>
          <w:szCs w:val="32"/>
        </w:rPr>
        <w:t>科学植保、公共植保、绿色植保</w:t>
      </w:r>
      <w:r>
        <w:rPr>
          <w:rFonts w:hint="eastAsia" w:ascii="仿宋" w:hAnsi="仿宋" w:eastAsia="仿宋" w:cs="仿宋"/>
          <w:sz w:val="32"/>
          <w:szCs w:val="32"/>
          <w:lang w:eastAsia="zh-CN"/>
        </w:rPr>
        <w:t>”</w:t>
      </w:r>
      <w:r>
        <w:rPr>
          <w:rFonts w:hint="eastAsia" w:ascii="仿宋" w:hAnsi="仿宋" w:eastAsia="仿宋" w:cs="仿宋"/>
          <w:sz w:val="32"/>
          <w:szCs w:val="32"/>
        </w:rPr>
        <w:t>理念</w:t>
      </w:r>
      <w:r>
        <w:rPr>
          <w:rFonts w:hint="eastAsia" w:ascii="仿宋" w:hAnsi="仿宋" w:eastAsia="仿宋" w:cs="仿宋"/>
          <w:sz w:val="32"/>
          <w:szCs w:val="32"/>
          <w:lang w:eastAsia="zh-CN"/>
        </w:rPr>
        <w:t>，</w:t>
      </w:r>
      <w:r>
        <w:rPr>
          <w:rFonts w:hint="eastAsia" w:ascii="仿宋" w:hAnsi="仿宋" w:eastAsia="仿宋" w:cs="仿宋"/>
          <w:sz w:val="32"/>
          <w:szCs w:val="32"/>
        </w:rPr>
        <w:t>加强重大病虫害和区域性突发病虫</w:t>
      </w:r>
      <w:r>
        <w:rPr>
          <w:rFonts w:hint="eastAsia" w:ascii="仿宋" w:hAnsi="仿宋" w:eastAsia="仿宋" w:cs="仿宋"/>
          <w:sz w:val="32"/>
          <w:szCs w:val="32"/>
          <w:lang w:eastAsia="zh-CN"/>
        </w:rPr>
        <w:t>害</w:t>
      </w:r>
      <w:r>
        <w:rPr>
          <w:rFonts w:hint="eastAsia" w:ascii="仿宋" w:hAnsi="仿宋" w:eastAsia="仿宋" w:cs="仿宋"/>
          <w:sz w:val="32"/>
          <w:szCs w:val="32"/>
        </w:rPr>
        <w:t>的监测预警，实现调查观测规范化、数据传递网络化、预报信息可视化、监测管理制度化。加强对农药生产、经营企业及农药产品的质量监管，杜绝销售使用国家禁限用的高剧毒农药。推进病虫害专业化统防统治和绿色防控，降低、控制病虫害的危害损失。加大生物防治、物理防治、生态调控和安全用药等技术的推广力度，科学、合理、安全使用农药，确保农作物生产安全、农产品质量安全和农业生态环境安全。</w:t>
      </w:r>
    </w:p>
    <w:p>
      <w:pPr>
        <w:pageBreakBefore w:val="0"/>
        <w:widowControl w:val="0"/>
        <w:kinsoku/>
        <w:wordWrap/>
        <w:overflowPunct/>
        <w:topLinePunct w:val="0"/>
        <w:autoSpaceDE/>
        <w:autoSpaceDN/>
        <w:bidi w:val="0"/>
        <w:adjustRightInd/>
        <w:snapToGrid/>
        <w:spacing w:after="156" w:afterLines="50" w:line="600" w:lineRule="exact"/>
        <w:ind w:firstLine="643" w:firstLineChars="200"/>
        <w:textAlignment w:val="auto"/>
        <w:rPr>
          <w:rFonts w:ascii="仿宋" w:hAnsi="仿宋" w:eastAsia="仿宋" w:cstheme="minorBidi"/>
          <w:sz w:val="32"/>
          <w:szCs w:val="32"/>
        </w:rPr>
      </w:pPr>
      <w:r>
        <w:rPr>
          <w:rFonts w:hint="eastAsia" w:ascii="仿宋" w:hAnsi="仿宋" w:eastAsia="仿宋" w:cs="仿宋"/>
          <w:b/>
          <w:bCs/>
          <w:sz w:val="32"/>
          <w:szCs w:val="32"/>
          <w:lang w:eastAsia="zh-CN"/>
        </w:rPr>
        <w:t>加强</w:t>
      </w:r>
      <w:r>
        <w:rPr>
          <w:rFonts w:hint="eastAsia" w:ascii="仿宋" w:hAnsi="仿宋" w:eastAsia="仿宋" w:cs="仿宋"/>
          <w:b/>
          <w:bCs/>
          <w:sz w:val="32"/>
          <w:szCs w:val="32"/>
        </w:rPr>
        <w:t>水生动物疫病防控。</w:t>
      </w:r>
      <w:r>
        <w:rPr>
          <w:rFonts w:hint="eastAsia" w:ascii="仿宋" w:hAnsi="仿宋" w:eastAsia="仿宋" w:cs="仿宋"/>
          <w:sz w:val="32"/>
          <w:szCs w:val="32"/>
        </w:rPr>
        <w:t>加快水生动物疫病防控体系建设，推</w:t>
      </w:r>
      <w:r>
        <w:rPr>
          <w:rFonts w:hint="eastAsia" w:ascii="仿宋" w:hAnsi="仿宋" w:eastAsia="仿宋" w:cs="仿宋"/>
          <w:sz w:val="32"/>
          <w:szCs w:val="32"/>
          <w:lang w:eastAsia="zh-CN"/>
        </w:rPr>
        <w:t>进</w:t>
      </w:r>
      <w:r>
        <w:rPr>
          <w:rFonts w:hint="eastAsia" w:ascii="仿宋" w:hAnsi="仿宋" w:eastAsia="仿宋" w:cs="仿宋"/>
          <w:sz w:val="32"/>
          <w:szCs w:val="32"/>
        </w:rPr>
        <w:t>水产苗种产地检疫工作，加大监督</w:t>
      </w:r>
      <w:r>
        <w:rPr>
          <w:rFonts w:ascii="仿宋" w:hAnsi="仿宋" w:eastAsia="仿宋" w:cstheme="minorBidi"/>
          <w:sz w:val="32"/>
          <w:szCs w:val="32"/>
        </w:rPr>
        <w:t>抽查力度，推动建立水产品质量安全可追溯制度，探索开展水产品质量安全风险评估。</w:t>
      </w:r>
      <w:r>
        <w:rPr>
          <w:rFonts w:hint="eastAsia" w:ascii="仿宋" w:hAnsi="仿宋" w:eastAsia="仿宋" w:cstheme="minorBidi"/>
          <w:sz w:val="32"/>
          <w:szCs w:val="32"/>
        </w:rPr>
        <w:t>实施水生动物防疫保障工程，</w:t>
      </w:r>
      <w:r>
        <w:rPr>
          <w:rFonts w:ascii="仿宋" w:hAnsi="仿宋" w:eastAsia="仿宋" w:cstheme="minorBidi"/>
          <w:sz w:val="32"/>
          <w:szCs w:val="32"/>
        </w:rPr>
        <w:t>加强建设重点旗县水生动物防疫基础设施，逐步完善水生动物疫病监控、水产苗种产地检疫等相关工作，推广鱼病防控远程诊断辅助系统</w:t>
      </w:r>
      <w:r>
        <w:rPr>
          <w:rFonts w:hint="eastAsia" w:ascii="仿宋" w:hAnsi="仿宋" w:eastAsia="仿宋" w:cstheme="minorBidi"/>
          <w:sz w:val="32"/>
          <w:szCs w:val="32"/>
          <w:lang w:eastAsia="zh-CN"/>
        </w:rPr>
        <w:t>应用</w:t>
      </w:r>
      <w:r>
        <w:rPr>
          <w:rFonts w:ascii="仿宋" w:hAnsi="仿宋" w:eastAsia="仿宋" w:cstheme="minorBidi"/>
          <w:sz w:val="32"/>
          <w:szCs w:val="32"/>
        </w:rPr>
        <w:t>。</w:t>
      </w:r>
    </w:p>
    <w:p>
      <w:pPr>
        <w:pStyle w:val="4"/>
        <w:pageBreakBefore w:val="0"/>
        <w:widowControl w:val="0"/>
        <w:kinsoku/>
        <w:wordWrap/>
        <w:overflowPunct/>
        <w:topLinePunct w:val="0"/>
        <w:autoSpaceDE/>
        <w:autoSpaceDN/>
        <w:bidi w:val="0"/>
        <w:adjustRightInd/>
        <w:snapToGrid/>
        <w:spacing w:before="156" w:beforeLines="50" w:after="156" w:afterLines="50" w:line="600" w:lineRule="exact"/>
        <w:jc w:val="center"/>
        <w:textAlignment w:val="auto"/>
        <w:rPr>
          <w:rFonts w:ascii="Calibri Light" w:hAnsi="Calibri Light" w:cs="Times New Roman"/>
          <w:b w:val="0"/>
          <w:bCs w:val="0"/>
          <w:sz w:val="32"/>
          <w:szCs w:val="32"/>
        </w:rPr>
      </w:pPr>
      <w:bookmarkStart w:id="324" w:name="_Toc1151"/>
      <w:bookmarkStart w:id="325" w:name="_Toc59000579"/>
      <w:bookmarkStart w:id="326" w:name="_Toc60561671"/>
      <w:bookmarkStart w:id="327" w:name="_Toc25465"/>
      <w:bookmarkStart w:id="328" w:name="_Toc58870206"/>
      <w:bookmarkStart w:id="329" w:name="_Toc18066"/>
      <w:bookmarkStart w:id="330" w:name="_Toc1139926503_WPSOffice_Level2"/>
      <w:bookmarkStart w:id="331" w:name="_Toc5938"/>
      <w:r>
        <w:rPr>
          <w:rFonts w:hint="eastAsia" w:ascii="Calibri Light" w:hAnsi="Calibri Light" w:cs="Times New Roman"/>
          <w:b w:val="0"/>
          <w:bCs w:val="0"/>
          <w:sz w:val="32"/>
          <w:szCs w:val="32"/>
        </w:rPr>
        <w:t>第六节 健全农畜产品质量安全监管体系</w:t>
      </w:r>
      <w:bookmarkEnd w:id="324"/>
      <w:bookmarkEnd w:id="325"/>
      <w:bookmarkEnd w:id="326"/>
      <w:bookmarkEnd w:id="327"/>
      <w:bookmarkEnd w:id="328"/>
      <w:bookmarkEnd w:id="329"/>
      <w:bookmarkEnd w:id="330"/>
      <w:bookmarkEnd w:id="331"/>
    </w:p>
    <w:p>
      <w:pPr>
        <w:pageBreakBefore w:val="0"/>
        <w:widowControl w:val="0"/>
        <w:numPr>
          <w:ilvl w:val="255"/>
          <w:numId w:val="0"/>
        </w:numPr>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sz w:val="32"/>
          <w:szCs w:val="32"/>
        </w:rPr>
      </w:pPr>
      <w:r>
        <w:rPr>
          <w:rFonts w:hint="eastAsia" w:ascii="仿宋" w:hAnsi="仿宋" w:eastAsia="仿宋" w:cs="仿宋"/>
          <w:b/>
          <w:bCs/>
          <w:sz w:val="32"/>
          <w:szCs w:val="32"/>
        </w:rPr>
        <w:t>加强标准化体系建设。</w:t>
      </w:r>
      <w:r>
        <w:rPr>
          <w:rFonts w:hint="eastAsia" w:ascii="仿宋" w:hAnsi="仿宋" w:eastAsia="仿宋" w:cs="仿宋"/>
          <w:sz w:val="32"/>
          <w:szCs w:val="32"/>
        </w:rPr>
        <w:t>把推行农牧业生产标准化作为高质量发展的重要抓手和主要途径，坚持“无标建标、有标提标”，大力推广绿色高效生产技术标准，按标订单、对标生产，优化结构、提高品质、增加效益</w:t>
      </w:r>
      <w:r>
        <w:rPr>
          <w:rFonts w:hint="eastAsia" w:ascii="仿宋" w:hAnsi="仿宋" w:eastAsia="仿宋" w:cs="仿宋"/>
          <w:sz w:val="32"/>
          <w:szCs w:val="32"/>
          <w:lang w:eastAsia="zh-CN"/>
        </w:rPr>
        <w:t>。</w:t>
      </w:r>
      <w:r>
        <w:rPr>
          <w:rFonts w:hint="eastAsia" w:ascii="仿宋" w:hAnsi="仿宋" w:eastAsia="仿宋" w:cs="仿宋"/>
          <w:sz w:val="32"/>
          <w:szCs w:val="32"/>
        </w:rPr>
        <w:t>推行品种</w:t>
      </w:r>
      <w:r>
        <w:rPr>
          <w:rFonts w:hint="eastAsia" w:ascii="仿宋" w:hAnsi="仿宋" w:eastAsia="仿宋" w:cs="仿宋"/>
          <w:sz w:val="32"/>
          <w:szCs w:val="32"/>
          <w:lang w:eastAsia="zh-CN"/>
        </w:rPr>
        <w:t>繁育</w:t>
      </w:r>
      <w:r>
        <w:rPr>
          <w:rFonts w:hint="eastAsia" w:ascii="仿宋" w:hAnsi="仿宋" w:eastAsia="仿宋" w:cs="仿宋"/>
          <w:sz w:val="32"/>
          <w:szCs w:val="32"/>
        </w:rPr>
        <w:t>、棚舍</w:t>
      </w:r>
      <w:r>
        <w:rPr>
          <w:rFonts w:hint="eastAsia" w:ascii="仿宋" w:hAnsi="仿宋" w:eastAsia="仿宋" w:cs="仿宋"/>
          <w:sz w:val="32"/>
          <w:szCs w:val="32"/>
          <w:lang w:eastAsia="zh-CN"/>
        </w:rPr>
        <w:t>建设</w:t>
      </w:r>
      <w:r>
        <w:rPr>
          <w:rFonts w:hint="eastAsia" w:ascii="仿宋" w:hAnsi="仿宋" w:eastAsia="仿宋" w:cs="仿宋"/>
          <w:sz w:val="32"/>
          <w:szCs w:val="32"/>
        </w:rPr>
        <w:t>、饲料</w:t>
      </w:r>
      <w:r>
        <w:rPr>
          <w:rFonts w:hint="eastAsia" w:ascii="仿宋" w:hAnsi="仿宋" w:eastAsia="仿宋" w:cs="仿宋"/>
          <w:sz w:val="32"/>
          <w:szCs w:val="32"/>
          <w:lang w:eastAsia="zh-CN"/>
        </w:rPr>
        <w:t>生产</w:t>
      </w:r>
      <w:r>
        <w:rPr>
          <w:rFonts w:hint="eastAsia" w:ascii="仿宋" w:hAnsi="仿宋" w:eastAsia="仿宋" w:cs="仿宋"/>
          <w:sz w:val="32"/>
          <w:szCs w:val="32"/>
        </w:rPr>
        <w:t>、饲养管理、粪污处理、疫病防控、投入品使用等关键种养环节标准化</w:t>
      </w:r>
      <w:r>
        <w:rPr>
          <w:rFonts w:hint="eastAsia" w:ascii="仿宋" w:hAnsi="仿宋" w:eastAsia="仿宋" w:cs="仿宋"/>
          <w:sz w:val="32"/>
          <w:szCs w:val="32"/>
          <w:lang w:eastAsia="zh-CN"/>
        </w:rPr>
        <w:t>作业</w:t>
      </w:r>
      <w:r>
        <w:rPr>
          <w:rFonts w:hint="eastAsia" w:ascii="仿宋" w:hAnsi="仿宋" w:eastAsia="仿宋" w:cs="仿宋"/>
          <w:sz w:val="32"/>
          <w:szCs w:val="32"/>
        </w:rPr>
        <w:t>，建设标准化生产基地，建立结构合理的农牧业标准体系。加大农畜产品国家标准、地方标准和企业标准执行力度，支持肉牛、肉羊、马铃薯、蔬菜等产业生产标准化，不断改进生产方式，提升科学种养标准化水平。到2025年，全盟主要作物标准化生产技术覆盖率达到70%，畜牧业关键环节标准化技术覆盖率保持在50%以上。</w:t>
      </w:r>
    </w:p>
    <w:p>
      <w:pPr>
        <w:pageBreakBefore w:val="0"/>
        <w:widowControl w:val="0"/>
        <w:kinsoku/>
        <w:wordWrap/>
        <w:overflowPunct/>
        <w:topLinePunct w:val="0"/>
        <w:autoSpaceDE/>
        <w:autoSpaceDN/>
        <w:bidi w:val="0"/>
        <w:adjustRightInd/>
        <w:snapToGrid/>
        <w:spacing w:after="156" w:afterLines="50" w:line="600" w:lineRule="exact"/>
        <w:ind w:firstLine="643" w:firstLineChars="200"/>
        <w:textAlignment w:val="auto"/>
        <w:rPr>
          <w:rFonts w:ascii="仿宋" w:hAnsi="仿宋" w:eastAsia="仿宋" w:cstheme="minorBidi"/>
          <w:sz w:val="32"/>
          <w:szCs w:val="32"/>
        </w:rPr>
      </w:pPr>
      <w:r>
        <w:rPr>
          <w:rFonts w:hint="eastAsia" w:ascii="仿宋" w:hAnsi="仿宋" w:eastAsia="仿宋" w:cs="仿宋"/>
          <w:b/>
          <w:bCs/>
          <w:sz w:val="32"/>
          <w:szCs w:val="32"/>
        </w:rPr>
        <w:t>提升农畜产品质量安全监管能力。</w:t>
      </w:r>
      <w:r>
        <w:rPr>
          <w:rFonts w:hint="eastAsia" w:ascii="仿宋" w:hAnsi="仿宋" w:eastAsia="仿宋" w:cs="仿宋"/>
          <w:sz w:val="32"/>
          <w:szCs w:val="32"/>
        </w:rPr>
        <w:t>落</w:t>
      </w:r>
      <w:r>
        <w:rPr>
          <w:rFonts w:ascii="仿宋" w:hAnsi="仿宋" w:eastAsia="仿宋" w:cstheme="minorBidi"/>
          <w:sz w:val="32"/>
          <w:szCs w:val="32"/>
        </w:rPr>
        <w:t>实农畜产品质量安全责任，加强农畜产品准出和市场准入监管措施，全面</w:t>
      </w:r>
      <w:r>
        <w:rPr>
          <w:rFonts w:hint="eastAsia" w:ascii="仿宋" w:hAnsi="仿宋" w:eastAsia="仿宋" w:cstheme="minorBidi"/>
          <w:sz w:val="32"/>
          <w:szCs w:val="32"/>
        </w:rPr>
        <w:t>实行</w:t>
      </w:r>
      <w:r>
        <w:rPr>
          <w:rFonts w:ascii="仿宋" w:hAnsi="仿宋" w:eastAsia="仿宋" w:cstheme="minorBidi"/>
          <w:sz w:val="32"/>
          <w:szCs w:val="32"/>
        </w:rPr>
        <w:t>食用农畜产品承诺达标合格证制度，完善产地准出、市场准入衔接机制。</w:t>
      </w:r>
      <w:r>
        <w:rPr>
          <w:rFonts w:hint="eastAsia" w:ascii="仿宋" w:hAnsi="仿宋" w:eastAsia="仿宋" w:cstheme="minorBidi"/>
          <w:sz w:val="32"/>
          <w:szCs w:val="32"/>
        </w:rPr>
        <w:t>实施农畜产品质量安全监管能力提升工程，加强农畜产品质量安全监管、检测、执法体系建设和能力建设。落实农畜产品质量安全基层属地管理、网格化管理制度，推行农畜产品生产主体质量安全承诺制，</w:t>
      </w:r>
      <w:r>
        <w:rPr>
          <w:rFonts w:hint="eastAsia" w:ascii="仿宋" w:hAnsi="仿宋" w:eastAsia="仿宋" w:cstheme="minorBidi"/>
          <w:sz w:val="32"/>
          <w:szCs w:val="32"/>
          <w:lang w:eastAsia="zh-CN"/>
        </w:rPr>
        <w:t>提高</w:t>
      </w:r>
      <w:r>
        <w:rPr>
          <w:rFonts w:hint="eastAsia" w:ascii="仿宋" w:hAnsi="仿宋" w:eastAsia="仿宋" w:cstheme="minorBidi"/>
          <w:sz w:val="32"/>
          <w:szCs w:val="32"/>
        </w:rPr>
        <w:t>基层农畜产品质量安全公共服务能力。整合检测资源，建立盟级综合质检机构，完善现有通过“双认证”的旗县级农畜产品质检站</w:t>
      </w:r>
      <w:r>
        <w:rPr>
          <w:rFonts w:hint="eastAsia" w:ascii="仿宋" w:hAnsi="仿宋" w:eastAsia="仿宋" w:cstheme="minorBidi"/>
          <w:sz w:val="32"/>
          <w:szCs w:val="32"/>
          <w:lang w:eastAsia="zh-CN"/>
        </w:rPr>
        <w:t>建设</w:t>
      </w:r>
      <w:r>
        <w:rPr>
          <w:rFonts w:hint="eastAsia" w:ascii="仿宋" w:hAnsi="仿宋" w:eastAsia="仿宋" w:cstheme="minorBidi"/>
          <w:sz w:val="32"/>
          <w:szCs w:val="32"/>
        </w:rPr>
        <w:t>，进一步提高风险监测、风险评估、预警能力，强化检打联动，加大行政执法力度，严厉查处违法违规案件，确保农畜产品质量安全，维护农牧业生产经营秩序。持续开展农畜产品质量安全旗县创建活动，整体提升区域农畜产品质量安全水平。强化</w:t>
      </w:r>
      <w:r>
        <w:rPr>
          <w:rFonts w:ascii="仿宋" w:hAnsi="仿宋" w:eastAsia="仿宋" w:cstheme="minorBidi"/>
          <w:sz w:val="32"/>
          <w:szCs w:val="32"/>
        </w:rPr>
        <w:t>农畜产品质量安全专项整治、例行监测和监督抽查工作，开展特色农畜产品品质评鉴和风险评估，</w:t>
      </w:r>
      <w:r>
        <w:rPr>
          <w:rFonts w:hint="eastAsia" w:ascii="仿宋" w:hAnsi="仿宋" w:eastAsia="仿宋" w:cstheme="minorBidi"/>
          <w:sz w:val="32"/>
          <w:szCs w:val="32"/>
        </w:rPr>
        <w:t>全面做好</w:t>
      </w:r>
      <w:r>
        <w:rPr>
          <w:rFonts w:ascii="仿宋" w:hAnsi="仿宋" w:eastAsia="仿宋" w:cstheme="minorBidi"/>
          <w:sz w:val="32"/>
          <w:szCs w:val="32"/>
        </w:rPr>
        <w:t>农畜产品质量安全突发事件应急处置工作。到2025年，</w:t>
      </w:r>
      <w:r>
        <w:rPr>
          <w:rFonts w:hint="eastAsia" w:ascii="仿宋" w:hAnsi="仿宋" w:eastAsia="仿宋" w:cstheme="minorBidi"/>
          <w:sz w:val="32"/>
          <w:szCs w:val="32"/>
        </w:rPr>
        <w:t>农畜产品质量</w:t>
      </w:r>
      <w:r>
        <w:rPr>
          <w:rFonts w:hint="eastAsia" w:ascii="仿宋" w:hAnsi="仿宋" w:eastAsia="仿宋" w:cstheme="minorBidi"/>
          <w:sz w:val="32"/>
          <w:szCs w:val="32"/>
          <w:lang w:eastAsia="zh-CN"/>
        </w:rPr>
        <w:t>安全</w:t>
      </w:r>
      <w:r>
        <w:rPr>
          <w:rFonts w:hint="eastAsia" w:ascii="仿宋" w:hAnsi="仿宋" w:eastAsia="仿宋" w:cstheme="minorBidi"/>
          <w:sz w:val="32"/>
          <w:szCs w:val="32"/>
        </w:rPr>
        <w:t>监测合格率</w:t>
      </w:r>
      <w:r>
        <w:rPr>
          <w:rFonts w:ascii="仿宋" w:hAnsi="仿宋" w:eastAsia="仿宋" w:cstheme="minorBidi"/>
          <w:sz w:val="32"/>
          <w:szCs w:val="32"/>
        </w:rPr>
        <w:t>保持在98%以上。</w:t>
      </w:r>
    </w:p>
    <w:bookmarkEnd w:id="227"/>
    <w:bookmarkEnd w:id="228"/>
    <w:bookmarkEnd w:id="229"/>
    <w:p>
      <w:pPr>
        <w:pStyle w:val="4"/>
        <w:pageBreakBefore w:val="0"/>
        <w:widowControl w:val="0"/>
        <w:kinsoku/>
        <w:wordWrap/>
        <w:overflowPunct/>
        <w:topLinePunct w:val="0"/>
        <w:autoSpaceDE/>
        <w:autoSpaceDN/>
        <w:bidi w:val="0"/>
        <w:adjustRightInd/>
        <w:snapToGrid/>
        <w:spacing w:before="156" w:beforeLines="50" w:after="156" w:afterLines="50" w:line="600" w:lineRule="exact"/>
        <w:textAlignment w:val="auto"/>
        <w:rPr>
          <w:rFonts w:ascii="Calibri Light" w:hAnsi="Calibri Light" w:eastAsia="仿宋" w:cs="Times New Roman"/>
          <w:b w:val="0"/>
          <w:bCs w:val="0"/>
          <w:color w:val="000000" w:themeColor="text1"/>
          <w:sz w:val="32"/>
          <w:szCs w:val="32"/>
        </w:rPr>
      </w:pPr>
      <w:bookmarkStart w:id="332" w:name="_Toc10267"/>
      <w:bookmarkStart w:id="333" w:name="_Toc2910"/>
      <w:bookmarkStart w:id="334" w:name="_Toc11366"/>
      <w:bookmarkStart w:id="335" w:name="_Toc12228"/>
      <w:bookmarkStart w:id="336" w:name="_Toc1296573012_WPSOffice_Level2"/>
      <w:r>
        <w:rPr>
          <w:rFonts w:hint="eastAsia" w:ascii="Calibri Light" w:hAnsi="Calibri Light" w:cs="Times New Roman"/>
          <w:b w:val="0"/>
          <w:bCs w:val="0"/>
          <w:color w:val="000000" w:themeColor="text1"/>
          <w:sz w:val="32"/>
          <w:szCs w:val="32"/>
        </w:rPr>
        <w:t>第七节</w:t>
      </w:r>
      <w:r>
        <w:rPr>
          <w:rFonts w:ascii="Calibri Light" w:hAnsi="Calibri Light" w:cs="Times New Roman"/>
          <w:b w:val="0"/>
          <w:bCs w:val="0"/>
          <w:color w:val="000000" w:themeColor="text1"/>
          <w:sz w:val="32"/>
          <w:szCs w:val="32"/>
        </w:rPr>
        <w:t xml:space="preserve"> </w:t>
      </w:r>
      <w:r>
        <w:rPr>
          <w:rFonts w:hint="eastAsia" w:ascii="Calibri Light" w:hAnsi="Calibri Light" w:cs="Times New Roman"/>
          <w:b w:val="0"/>
          <w:bCs w:val="0"/>
          <w:color w:val="000000" w:themeColor="text1"/>
          <w:sz w:val="32"/>
          <w:szCs w:val="32"/>
        </w:rPr>
        <w:t>增强农牧业抗风险能力</w:t>
      </w:r>
      <w:bookmarkEnd w:id="332"/>
      <w:bookmarkEnd w:id="333"/>
      <w:bookmarkEnd w:id="334"/>
      <w:bookmarkEnd w:id="335"/>
      <w:bookmarkEnd w:id="336"/>
    </w:p>
    <w:p>
      <w:pPr>
        <w:pageBreakBefore w:val="0"/>
        <w:widowControl w:val="0"/>
        <w:kinsoku/>
        <w:wordWrap/>
        <w:overflowPunct/>
        <w:topLinePunct w:val="0"/>
        <w:autoSpaceDE/>
        <w:autoSpaceDN/>
        <w:bidi w:val="0"/>
        <w:adjustRightInd/>
        <w:snapToGrid/>
        <w:spacing w:after="156" w:afterLines="50" w:line="600" w:lineRule="exact"/>
        <w:ind w:firstLine="640" w:firstLineChars="200"/>
        <w:textAlignment w:val="auto"/>
        <w:rPr>
          <w:rFonts w:ascii="仿宋" w:hAnsi="仿宋" w:eastAsia="仿宋" w:cs="仿宋"/>
          <w:sz w:val="32"/>
          <w:szCs w:val="32"/>
        </w:rPr>
      </w:pPr>
      <w:r>
        <w:rPr>
          <w:rFonts w:hint="eastAsia" w:ascii="仿宋" w:hAnsi="仿宋" w:eastAsia="仿宋" w:cs="仿宋"/>
          <w:color w:val="000000" w:themeColor="text1"/>
          <w:sz w:val="32"/>
          <w:szCs w:val="32"/>
        </w:rPr>
        <w:t>完善农牧业保险政策体系，推动政策性保险扩面、增品、提标，降低农牧户生产经营风险。推</w:t>
      </w:r>
      <w:r>
        <w:rPr>
          <w:rFonts w:hint="eastAsia" w:ascii="仿宋" w:hAnsi="仿宋" w:eastAsia="仿宋" w:cs="仿宋"/>
          <w:sz w:val="32"/>
          <w:szCs w:val="32"/>
        </w:rPr>
        <w:t>进肉牛、肉羊养殖保险工作，建立健全农作物保险制度。全面开展农牧业大灾保险，鼓励开展天气指数保险、价格指数保险、贷款保证保险等</w:t>
      </w:r>
      <w:r>
        <w:rPr>
          <w:rFonts w:hint="eastAsia" w:ascii="仿宋" w:hAnsi="仿宋" w:eastAsia="仿宋" w:cs="仿宋"/>
          <w:sz w:val="32"/>
          <w:szCs w:val="32"/>
          <w:lang w:eastAsia="zh-CN"/>
        </w:rPr>
        <w:t>工作</w:t>
      </w:r>
      <w:r>
        <w:rPr>
          <w:rFonts w:hint="eastAsia" w:ascii="仿宋" w:hAnsi="仿宋" w:eastAsia="仿宋" w:cs="仿宋"/>
          <w:sz w:val="32"/>
          <w:szCs w:val="32"/>
        </w:rPr>
        <w:t>。引导保险机构到农村牧区设立基层服务网点，逐步实现保险机构旗县级全覆盖。加强灾害防御体系建设，健全自然灾害监测预警制度，完善灾害监测预报、快速评估、预警发布、应急处置和风险管控机制，全面提高农牧业抵御旱灾、洪灾、雪灾、火灾等自然灾害的综合防范能力。建立农牧业应急储备体系，建设救灾物资储备库，不断提升应急处置能力。指导开展农机、农药、兽药和渔业等农牧行业安全生产工作。</w:t>
      </w:r>
    </w:p>
    <w:tbl>
      <w:tblPr>
        <w:tblStyle w:val="26"/>
        <w:tblW w:w="8522"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shd w:val="clear" w:color="auto" w:fill="FFFFFF" w:themeFill="background1"/>
        <w:tblLayout w:type="fixed"/>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640" w:hRule="atLeast"/>
          <w:jc w:val="center"/>
        </w:trPr>
        <w:tc>
          <w:tcPr>
            <w:tcW w:w="8522" w:type="dxa"/>
            <w:tcBorders>
              <w:bottom w:val="single" w:color="auto" w:sz="4" w:space="0"/>
              <w:tl2br w:val="nil"/>
              <w:tr2bl w:val="nil"/>
            </w:tcBorders>
            <w:shd w:val="clear" w:color="auto" w:fill="FFFFFF" w:themeFill="background1"/>
            <w:vAlign w:val="center"/>
          </w:tcPr>
          <w:p>
            <w:pPr>
              <w:spacing w:line="500" w:lineRule="exact"/>
              <w:ind w:left="210" w:right="210"/>
              <w:jc w:val="center"/>
              <w:rPr>
                <w:rFonts w:ascii="Times New Roman" w:hAnsi="Times New Roman" w:eastAsia="楷体" w:cs="Times New Roman"/>
                <w:sz w:val="28"/>
                <w:szCs w:val="28"/>
              </w:rPr>
            </w:pPr>
            <w:r>
              <w:rPr>
                <w:rFonts w:hint="eastAsia" w:ascii="黑体" w:hAnsi="黑体" w:eastAsia="黑体" w:cs="黑体"/>
                <w:b w:val="0"/>
                <w:bCs w:val="0"/>
                <w:sz w:val="28"/>
                <w:szCs w:val="28"/>
              </w:rPr>
              <w:t>专栏4  统筹发展与安全工程</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jc w:val="center"/>
        </w:trPr>
        <w:tc>
          <w:tcPr>
            <w:tcW w:w="8522" w:type="dxa"/>
            <w:tcBorders>
              <w:top w:val="single" w:color="auto" w:sz="4" w:space="0"/>
              <w:bottom w:val="single" w:color="auto" w:sz="4" w:space="0"/>
              <w:tl2br w:val="nil"/>
              <w:tr2bl w:val="nil"/>
            </w:tcBorders>
            <w:shd w:val="clear" w:color="auto" w:fill="FFFFFF" w:themeFill="background1"/>
          </w:tcPr>
          <w:p>
            <w:pPr>
              <w:keepNext w:val="0"/>
              <w:keepLines w:val="0"/>
              <w:pageBreakBefore w:val="0"/>
              <w:widowControl/>
              <w:kinsoku/>
              <w:wordWrap/>
              <w:overflowPunct/>
              <w:topLinePunct w:val="0"/>
              <w:autoSpaceDE/>
              <w:autoSpaceDN/>
              <w:bidi w:val="0"/>
              <w:adjustRightInd/>
              <w:snapToGrid/>
              <w:spacing w:line="380" w:lineRule="exact"/>
              <w:ind w:left="210" w:right="210" w:firstLine="480" w:firstLineChars="200"/>
              <w:jc w:val="left"/>
              <w:textAlignment w:val="auto"/>
              <w:rPr>
                <w:rFonts w:ascii="仿宋" w:hAnsi="仿宋" w:eastAsia="仿宋" w:cs="仿宋"/>
                <w:sz w:val="24"/>
              </w:rPr>
            </w:pPr>
            <w:r>
              <w:rPr>
                <w:rFonts w:hint="eastAsia" w:ascii="黑体" w:hAnsi="黑体" w:eastAsia="黑体" w:cs="黑体"/>
                <w:sz w:val="24"/>
              </w:rPr>
              <w:t>1.高标准农田建设</w:t>
            </w:r>
            <w:r>
              <w:rPr>
                <w:rFonts w:hint="eastAsia" w:ascii="黑体" w:hAnsi="黑体" w:eastAsia="黑体" w:cs="黑体"/>
                <w:sz w:val="24"/>
                <w:lang w:eastAsia="zh-CN"/>
              </w:rPr>
              <w:t>。</w:t>
            </w:r>
            <w:r>
              <w:rPr>
                <w:rFonts w:ascii="仿宋" w:hAnsi="仿宋" w:eastAsia="仿宋" w:cs="仿宋"/>
                <w:sz w:val="24"/>
              </w:rPr>
              <w:t>重点聚焦永久基本农田、粮食生产功能区和粮食种植地区，实施高标准农田新建和改造提升工程，改善农业生产条件，提升粮食生产能力，推动农业现代化发展。</w:t>
            </w:r>
          </w:p>
          <w:p>
            <w:pPr>
              <w:keepNext w:val="0"/>
              <w:keepLines w:val="0"/>
              <w:pageBreakBefore w:val="0"/>
              <w:widowControl/>
              <w:kinsoku/>
              <w:wordWrap/>
              <w:overflowPunct/>
              <w:topLinePunct w:val="0"/>
              <w:autoSpaceDE/>
              <w:autoSpaceDN/>
              <w:bidi w:val="0"/>
              <w:adjustRightInd/>
              <w:snapToGrid/>
              <w:spacing w:line="380" w:lineRule="exact"/>
              <w:ind w:left="210" w:right="210" w:firstLine="480" w:firstLineChars="200"/>
              <w:jc w:val="left"/>
              <w:textAlignment w:val="auto"/>
              <w:rPr>
                <w:rFonts w:hint="eastAsia" w:ascii="仿宋" w:hAnsi="仿宋" w:eastAsia="仿宋" w:cs="仿宋"/>
                <w:sz w:val="24"/>
              </w:rPr>
            </w:pPr>
            <w:r>
              <w:rPr>
                <w:rFonts w:hint="eastAsia" w:ascii="黑体" w:hAnsi="黑体" w:eastAsia="黑体" w:cs="黑体"/>
                <w:sz w:val="24"/>
                <w:lang w:val="en-US" w:eastAsia="zh-CN"/>
              </w:rPr>
              <w:t>2.农业高效节水。</w:t>
            </w:r>
            <w:r>
              <w:rPr>
                <w:rFonts w:hint="eastAsia" w:ascii="仿宋" w:hAnsi="仿宋" w:eastAsia="仿宋" w:cs="仿宋"/>
                <w:sz w:val="24"/>
              </w:rPr>
              <w:t>推广潜埋滴灌、膜下滴灌等技术措施，</w:t>
            </w:r>
            <w:r>
              <w:rPr>
                <w:rFonts w:hint="eastAsia" w:ascii="仿宋" w:hAnsi="仿宋" w:eastAsia="仿宋" w:cs="仿宋"/>
                <w:sz w:val="24"/>
                <w:lang w:eastAsia="zh-CN"/>
              </w:rPr>
              <w:t>支持</w:t>
            </w:r>
            <w:r>
              <w:rPr>
                <w:rFonts w:hint="eastAsia" w:ascii="仿宋" w:hAnsi="仿宋" w:eastAsia="仿宋" w:cs="仿宋"/>
                <w:sz w:val="24"/>
              </w:rPr>
              <w:t>高标准农田建设项目全面配套高效节水措施。到2025年，农田灌溉水有效利用系数</w:t>
            </w:r>
            <w:r>
              <w:rPr>
                <w:rFonts w:hint="eastAsia" w:ascii="仿宋" w:hAnsi="仿宋" w:eastAsia="仿宋" w:cs="仿宋"/>
                <w:sz w:val="24"/>
                <w:lang w:eastAsia="zh-CN"/>
              </w:rPr>
              <w:t>保持在</w:t>
            </w:r>
            <w:r>
              <w:rPr>
                <w:rFonts w:hint="eastAsia" w:ascii="仿宋" w:hAnsi="仿宋" w:eastAsia="仿宋" w:cs="仿宋"/>
                <w:sz w:val="24"/>
                <w:lang w:val="en-US" w:eastAsia="zh-CN"/>
              </w:rPr>
              <w:t>0.76以上</w:t>
            </w:r>
            <w:r>
              <w:rPr>
                <w:rFonts w:hint="eastAsia" w:ascii="仿宋" w:hAnsi="仿宋" w:eastAsia="仿宋" w:cs="仿宋"/>
                <w:sz w:val="24"/>
              </w:rPr>
              <w:t>。</w:t>
            </w:r>
          </w:p>
          <w:p>
            <w:pPr>
              <w:pStyle w:val="2"/>
              <w:keepNext w:val="0"/>
              <w:keepLines w:val="0"/>
              <w:pageBreakBefore w:val="0"/>
              <w:kinsoku/>
              <w:wordWrap/>
              <w:overflowPunct/>
              <w:topLinePunct w:val="0"/>
              <w:autoSpaceDE/>
              <w:autoSpaceDN/>
              <w:bidi w:val="0"/>
              <w:adjustRightInd/>
              <w:snapToGrid/>
              <w:spacing w:line="380" w:lineRule="exact"/>
              <w:ind w:left="239" w:leftChars="114" w:firstLine="489" w:firstLineChars="204"/>
              <w:textAlignment w:val="auto"/>
              <w:rPr>
                <w:rFonts w:ascii="仿宋" w:hAnsi="仿宋" w:eastAsia="仿宋" w:cs="仿宋"/>
                <w:sz w:val="24"/>
              </w:rPr>
            </w:pPr>
            <w:r>
              <w:rPr>
                <w:rFonts w:hint="eastAsia" w:ascii="黑体" w:hAnsi="黑体" w:eastAsia="黑体" w:cs="黑体"/>
                <w:sz w:val="24"/>
                <w:lang w:val="en-US" w:eastAsia="zh-CN"/>
              </w:rPr>
              <w:t>3</w:t>
            </w:r>
            <w:r>
              <w:rPr>
                <w:rFonts w:hint="eastAsia" w:ascii="黑体" w:hAnsi="黑体" w:eastAsia="黑体" w:cs="黑体"/>
                <w:sz w:val="24"/>
              </w:rPr>
              <w:t>.种业振兴行动</w:t>
            </w:r>
            <w:r>
              <w:rPr>
                <w:rFonts w:hint="eastAsia" w:ascii="黑体" w:hAnsi="黑体" w:eastAsia="黑体" w:cs="黑体"/>
                <w:sz w:val="24"/>
                <w:lang w:eastAsia="zh-CN"/>
              </w:rPr>
              <w:t>。</w:t>
            </w:r>
            <w:r>
              <w:rPr>
                <w:rFonts w:hint="eastAsia" w:ascii="仿宋" w:hAnsi="仿宋" w:eastAsia="仿宋" w:cs="仿宋"/>
                <w:sz w:val="24"/>
              </w:rPr>
              <w:t>制定种业振兴方案，实施种质资源保护与利用项目，</w:t>
            </w:r>
            <w:r>
              <w:rPr>
                <w:rFonts w:ascii="仿宋" w:hAnsi="仿宋" w:eastAsia="仿宋" w:cs="仿宋"/>
                <w:sz w:val="24"/>
              </w:rPr>
              <w:t>以优质农牧业种源基地建设为核心，以优良地方家畜种质资源保护为重点，以提升</w:t>
            </w:r>
            <w:r>
              <w:rPr>
                <w:rFonts w:hint="eastAsia" w:ascii="仿宋" w:hAnsi="仿宋" w:eastAsia="仿宋" w:cs="仿宋"/>
                <w:sz w:val="24"/>
              </w:rPr>
              <w:t>肉羊、肉牛和马铃薯等核心</w:t>
            </w:r>
            <w:r>
              <w:rPr>
                <w:rFonts w:ascii="仿宋" w:hAnsi="仿宋" w:eastAsia="仿宋" w:cs="仿宋"/>
                <w:sz w:val="24"/>
              </w:rPr>
              <w:t>种源自给率、培育自主品种为目标，大力培育畜禽、农作物优良品种，支持繁育基地建设和育繁推企业发展。</w:t>
            </w:r>
          </w:p>
          <w:p>
            <w:pPr>
              <w:keepNext w:val="0"/>
              <w:keepLines w:val="0"/>
              <w:pageBreakBefore w:val="0"/>
              <w:widowControl/>
              <w:kinsoku/>
              <w:wordWrap/>
              <w:overflowPunct/>
              <w:topLinePunct w:val="0"/>
              <w:autoSpaceDE/>
              <w:autoSpaceDN/>
              <w:bidi w:val="0"/>
              <w:adjustRightInd/>
              <w:snapToGrid/>
              <w:spacing w:line="380" w:lineRule="exact"/>
              <w:ind w:left="210" w:right="210" w:firstLine="480" w:firstLineChars="200"/>
              <w:jc w:val="left"/>
              <w:textAlignment w:val="auto"/>
              <w:rPr>
                <w:rFonts w:ascii="仿宋" w:hAnsi="仿宋" w:eastAsia="仿宋" w:cs="仿宋"/>
                <w:sz w:val="24"/>
              </w:rPr>
            </w:pPr>
            <w:r>
              <w:rPr>
                <w:rFonts w:hint="eastAsia" w:ascii="黑体" w:hAnsi="黑体" w:eastAsia="黑体" w:cs="黑体"/>
                <w:bCs/>
                <w:sz w:val="24"/>
                <w:lang w:val="en-US" w:eastAsia="zh-CN"/>
              </w:rPr>
              <w:t>4</w:t>
            </w:r>
            <w:r>
              <w:rPr>
                <w:rFonts w:ascii="黑体" w:hAnsi="黑体" w:eastAsia="黑体" w:cs="黑体"/>
                <w:bCs/>
                <w:sz w:val="24"/>
              </w:rPr>
              <w:t>.</w:t>
            </w:r>
            <w:r>
              <w:rPr>
                <w:rFonts w:hint="eastAsia" w:ascii="黑体" w:hAnsi="黑体" w:eastAsia="黑体" w:cs="黑体"/>
                <w:bCs/>
                <w:sz w:val="24"/>
              </w:rPr>
              <w:t>农牧业科技支撑行动计划</w:t>
            </w:r>
            <w:r>
              <w:rPr>
                <w:rFonts w:hint="eastAsia" w:ascii="黑体" w:hAnsi="黑体" w:eastAsia="黑体" w:cs="黑体"/>
                <w:bCs/>
                <w:sz w:val="24"/>
                <w:lang w:eastAsia="zh-CN"/>
              </w:rPr>
              <w:t>。</w:t>
            </w:r>
            <w:r>
              <w:rPr>
                <w:rFonts w:hint="eastAsia" w:ascii="仿宋" w:hAnsi="仿宋" w:eastAsia="仿宋" w:cs="仿宋"/>
                <w:sz w:val="24"/>
              </w:rPr>
              <w:t>以科技特派员、现代农牧业科技成果转移转化平台等为重点，加快推动农牧业科技示范与应用。</w:t>
            </w:r>
          </w:p>
          <w:p>
            <w:pPr>
              <w:keepNext w:val="0"/>
              <w:keepLines w:val="0"/>
              <w:pageBreakBefore w:val="0"/>
              <w:widowControl/>
              <w:kinsoku/>
              <w:wordWrap/>
              <w:overflowPunct/>
              <w:topLinePunct w:val="0"/>
              <w:autoSpaceDE/>
              <w:autoSpaceDN/>
              <w:bidi w:val="0"/>
              <w:adjustRightInd/>
              <w:snapToGrid/>
              <w:spacing w:line="380" w:lineRule="exact"/>
              <w:ind w:left="210" w:right="210" w:firstLine="480" w:firstLineChars="200"/>
              <w:jc w:val="left"/>
              <w:textAlignment w:val="auto"/>
              <w:rPr>
                <w:rFonts w:ascii="仿宋" w:hAnsi="仿宋" w:eastAsia="仿宋" w:cs="仿宋"/>
                <w:sz w:val="24"/>
              </w:rPr>
            </w:pPr>
            <w:r>
              <w:rPr>
                <w:rFonts w:hint="eastAsia" w:ascii="黑体" w:hAnsi="黑体" w:eastAsia="黑体" w:cs="黑体"/>
                <w:bCs/>
                <w:sz w:val="24"/>
                <w:lang w:val="en-US" w:eastAsia="zh-CN"/>
              </w:rPr>
              <w:t>5</w:t>
            </w:r>
            <w:r>
              <w:rPr>
                <w:rFonts w:ascii="黑体" w:hAnsi="黑体" w:eastAsia="黑体" w:cs="黑体"/>
                <w:bCs/>
                <w:sz w:val="24"/>
              </w:rPr>
              <w:t>.</w:t>
            </w:r>
            <w:r>
              <w:rPr>
                <w:rFonts w:hint="eastAsia" w:ascii="黑体" w:hAnsi="黑体" w:eastAsia="黑体" w:cs="黑体"/>
                <w:bCs/>
                <w:sz w:val="24"/>
              </w:rPr>
              <w:t>基层农技推广体系改革与建设</w:t>
            </w:r>
            <w:r>
              <w:rPr>
                <w:rFonts w:hint="eastAsia" w:ascii="黑体" w:hAnsi="黑体" w:eastAsia="黑体" w:cs="黑体"/>
                <w:bCs/>
                <w:sz w:val="24"/>
                <w:lang w:eastAsia="zh-CN"/>
              </w:rPr>
              <w:t>。</w:t>
            </w:r>
            <w:r>
              <w:rPr>
                <w:rFonts w:hint="eastAsia" w:ascii="仿宋" w:hAnsi="仿宋" w:eastAsia="仿宋" w:cs="仿宋"/>
                <w:sz w:val="24"/>
              </w:rPr>
              <w:t>实施基层农技推广体系改革与建设补助项目，壮大科技特派员和农技</w:t>
            </w:r>
            <w:r>
              <w:rPr>
                <w:rFonts w:hint="eastAsia" w:ascii="仿宋" w:hAnsi="仿宋" w:eastAsia="仿宋" w:cs="仿宋"/>
                <w:sz w:val="24"/>
                <w:lang w:eastAsia="zh-CN"/>
              </w:rPr>
              <w:t>人</w:t>
            </w:r>
            <w:r>
              <w:rPr>
                <w:rFonts w:hint="eastAsia" w:ascii="仿宋" w:hAnsi="仿宋" w:eastAsia="仿宋" w:cs="仿宋"/>
                <w:sz w:val="24"/>
              </w:rPr>
              <w:t>员队伍，培育农牧业科技服务</w:t>
            </w:r>
            <w:r>
              <w:rPr>
                <w:rFonts w:hint="eastAsia" w:ascii="仿宋" w:hAnsi="仿宋" w:eastAsia="仿宋" w:cs="仿宋"/>
                <w:sz w:val="24"/>
                <w:lang w:eastAsia="zh-CN"/>
              </w:rPr>
              <w:t>企业，</w:t>
            </w:r>
            <w:r>
              <w:rPr>
                <w:rFonts w:hint="eastAsia" w:ascii="仿宋" w:hAnsi="仿宋" w:eastAsia="仿宋" w:cs="仿宋"/>
                <w:sz w:val="24"/>
              </w:rPr>
              <w:t>打造区域农</w:t>
            </w:r>
            <w:r>
              <w:rPr>
                <w:rFonts w:hint="eastAsia" w:ascii="仿宋" w:hAnsi="仿宋" w:eastAsia="仿宋" w:cs="仿宋"/>
                <w:sz w:val="24"/>
                <w:lang w:eastAsia="zh-CN"/>
              </w:rPr>
              <w:t>牧</w:t>
            </w:r>
            <w:r>
              <w:rPr>
                <w:rFonts w:hint="eastAsia" w:ascii="仿宋" w:hAnsi="仿宋" w:eastAsia="仿宋" w:cs="仿宋"/>
                <w:sz w:val="24"/>
              </w:rPr>
              <w:t>业科技示范基地。</w:t>
            </w:r>
          </w:p>
          <w:p>
            <w:pPr>
              <w:pStyle w:val="2"/>
              <w:keepNext w:val="0"/>
              <w:keepLines w:val="0"/>
              <w:pageBreakBefore w:val="0"/>
              <w:kinsoku/>
              <w:wordWrap/>
              <w:overflowPunct/>
              <w:topLinePunct w:val="0"/>
              <w:autoSpaceDE/>
              <w:autoSpaceDN/>
              <w:bidi w:val="0"/>
              <w:adjustRightInd/>
              <w:snapToGrid/>
              <w:spacing w:line="380" w:lineRule="exact"/>
              <w:ind w:left="239" w:leftChars="114" w:firstLine="480" w:firstLineChars="200"/>
              <w:textAlignment w:val="auto"/>
              <w:rPr>
                <w:rFonts w:ascii="仿宋" w:hAnsi="仿宋" w:eastAsia="仿宋" w:cs="仿宋"/>
                <w:sz w:val="24"/>
              </w:rPr>
            </w:pPr>
            <w:r>
              <w:rPr>
                <w:rFonts w:hint="eastAsia" w:ascii="黑体" w:hAnsi="黑体" w:eastAsia="黑体" w:cs="黑体"/>
                <w:bCs/>
                <w:sz w:val="24"/>
                <w:lang w:val="en-US" w:eastAsia="zh-CN"/>
              </w:rPr>
              <w:t>6</w:t>
            </w:r>
            <w:r>
              <w:rPr>
                <w:rFonts w:ascii="黑体" w:hAnsi="黑体" w:eastAsia="黑体" w:cs="黑体"/>
                <w:bCs/>
                <w:sz w:val="24"/>
              </w:rPr>
              <w:t>.</w:t>
            </w:r>
            <w:r>
              <w:rPr>
                <w:rFonts w:hint="eastAsia" w:ascii="黑体" w:hAnsi="黑体" w:eastAsia="黑体" w:cs="黑体"/>
                <w:bCs/>
                <w:sz w:val="24"/>
              </w:rPr>
              <w:t>农牧业科技园区建设</w:t>
            </w:r>
            <w:r>
              <w:rPr>
                <w:rFonts w:hint="eastAsia" w:ascii="黑体" w:hAnsi="黑体" w:eastAsia="黑体" w:cs="黑体"/>
                <w:bCs/>
                <w:sz w:val="24"/>
                <w:lang w:eastAsia="zh-CN"/>
              </w:rPr>
              <w:t>。</w:t>
            </w:r>
            <w:r>
              <w:rPr>
                <w:rFonts w:hint="eastAsia" w:ascii="仿宋" w:hAnsi="仿宋" w:eastAsia="仿宋" w:cs="仿宋"/>
                <w:sz w:val="24"/>
              </w:rPr>
              <w:t>强化体制机制创新，完善管理制度，打造涉农涉牧企业孵化、科技服务、农牧民技能培训的载体和科技创新创业基地，切实发挥科技在农牧业现代化建设进程中的支撑引领作用。</w:t>
            </w:r>
          </w:p>
          <w:p>
            <w:pPr>
              <w:keepNext w:val="0"/>
              <w:keepLines w:val="0"/>
              <w:pageBreakBefore w:val="0"/>
              <w:widowControl/>
              <w:kinsoku/>
              <w:wordWrap/>
              <w:overflowPunct/>
              <w:topLinePunct w:val="0"/>
              <w:autoSpaceDE/>
              <w:autoSpaceDN/>
              <w:bidi w:val="0"/>
              <w:adjustRightInd/>
              <w:snapToGrid/>
              <w:spacing w:line="380" w:lineRule="exact"/>
              <w:ind w:left="210" w:right="210" w:firstLine="480" w:firstLineChars="200"/>
              <w:jc w:val="left"/>
              <w:textAlignment w:val="auto"/>
              <w:rPr>
                <w:rFonts w:ascii="仿宋" w:hAnsi="仿宋" w:eastAsia="仿宋" w:cs="仿宋"/>
                <w:sz w:val="24"/>
              </w:rPr>
            </w:pPr>
            <w:r>
              <w:rPr>
                <w:rFonts w:hint="eastAsia" w:ascii="黑体" w:hAnsi="黑体" w:eastAsia="黑体" w:cs="黑体"/>
                <w:bCs/>
                <w:sz w:val="24"/>
                <w:lang w:val="en-US" w:eastAsia="zh-CN"/>
              </w:rPr>
              <w:t>7</w:t>
            </w:r>
            <w:r>
              <w:rPr>
                <w:rFonts w:ascii="黑体" w:hAnsi="黑体" w:eastAsia="黑体" w:cs="黑体"/>
                <w:bCs/>
                <w:sz w:val="24"/>
              </w:rPr>
              <w:t>.创业创新带头人培育</w:t>
            </w:r>
            <w:r>
              <w:rPr>
                <w:rFonts w:hint="eastAsia" w:ascii="黑体" w:hAnsi="黑体" w:eastAsia="黑体" w:cs="黑体"/>
                <w:bCs/>
                <w:sz w:val="24"/>
                <w:lang w:eastAsia="zh-CN"/>
              </w:rPr>
              <w:t>。</w:t>
            </w:r>
            <w:r>
              <w:rPr>
                <w:rFonts w:ascii="仿宋" w:hAnsi="仿宋" w:eastAsia="仿宋" w:cs="仿宋"/>
                <w:sz w:val="24"/>
              </w:rPr>
              <w:t>打造农村牧区</w:t>
            </w:r>
            <w:r>
              <w:rPr>
                <w:rFonts w:hint="eastAsia" w:ascii="仿宋" w:hAnsi="仿宋" w:eastAsia="仿宋" w:cs="仿宋"/>
                <w:sz w:val="24"/>
                <w:lang w:eastAsia="zh-CN"/>
              </w:rPr>
              <w:t>创业园（创业</w:t>
            </w:r>
            <w:r>
              <w:rPr>
                <w:rFonts w:ascii="仿宋" w:hAnsi="仿宋" w:eastAsia="仿宋" w:cs="仿宋"/>
                <w:sz w:val="24"/>
              </w:rPr>
              <w:t>孵化</w:t>
            </w:r>
            <w:r>
              <w:rPr>
                <w:rFonts w:hint="eastAsia" w:ascii="仿宋" w:hAnsi="仿宋" w:eastAsia="仿宋" w:cs="仿宋"/>
                <w:sz w:val="24"/>
                <w:lang w:eastAsia="zh-CN"/>
              </w:rPr>
              <w:t>）</w:t>
            </w:r>
            <w:r>
              <w:rPr>
                <w:rFonts w:ascii="仿宋" w:hAnsi="仿宋" w:eastAsia="仿宋" w:cs="仿宋"/>
                <w:sz w:val="24"/>
              </w:rPr>
              <w:t>基地，培育农村牧区创业创新带头人，带动返乡入乡人员创业就业</w:t>
            </w:r>
            <w:r>
              <w:rPr>
                <w:rFonts w:hint="eastAsia" w:ascii="仿宋" w:hAnsi="仿宋" w:eastAsia="仿宋" w:cs="仿宋"/>
                <w:sz w:val="24"/>
                <w:lang w:eastAsia="zh-CN"/>
              </w:rPr>
              <w:t>。到</w:t>
            </w:r>
            <w:r>
              <w:rPr>
                <w:rFonts w:hint="eastAsia" w:ascii="仿宋" w:hAnsi="仿宋" w:eastAsia="仿宋" w:cs="仿宋"/>
                <w:sz w:val="24"/>
                <w:lang w:val="en-US" w:eastAsia="zh-CN"/>
              </w:rPr>
              <w:t>2025年，</w:t>
            </w:r>
            <w:r>
              <w:rPr>
                <w:rFonts w:hint="eastAsia" w:ascii="仿宋" w:hAnsi="仿宋" w:eastAsia="仿宋" w:cs="仿宋"/>
                <w:sz w:val="24"/>
                <w:lang w:eastAsia="zh-CN"/>
              </w:rPr>
              <w:t>建设创业孵化基地</w:t>
            </w:r>
            <w:r>
              <w:rPr>
                <w:rFonts w:hint="eastAsia" w:ascii="仿宋" w:hAnsi="仿宋" w:eastAsia="仿宋" w:cs="仿宋"/>
                <w:sz w:val="24"/>
                <w:lang w:val="en-US" w:eastAsia="zh-CN"/>
              </w:rPr>
              <w:t>18个，</w:t>
            </w:r>
            <w:r>
              <w:rPr>
                <w:rFonts w:ascii="仿宋" w:hAnsi="仿宋" w:eastAsia="仿宋" w:cs="仿宋"/>
                <w:sz w:val="24"/>
              </w:rPr>
              <w:t>每年培训新型职业农牧民、农村牧区经济带头人、实用人才带头人不少于5000人。</w:t>
            </w:r>
          </w:p>
          <w:p>
            <w:pPr>
              <w:keepNext w:val="0"/>
              <w:keepLines w:val="0"/>
              <w:pageBreakBefore w:val="0"/>
              <w:widowControl/>
              <w:kinsoku/>
              <w:wordWrap/>
              <w:overflowPunct/>
              <w:topLinePunct w:val="0"/>
              <w:autoSpaceDE/>
              <w:autoSpaceDN/>
              <w:bidi w:val="0"/>
              <w:adjustRightInd/>
              <w:snapToGrid/>
              <w:spacing w:line="380" w:lineRule="exact"/>
              <w:ind w:left="210" w:right="210" w:firstLine="480" w:firstLineChars="200"/>
              <w:jc w:val="left"/>
              <w:textAlignment w:val="auto"/>
              <w:rPr>
                <w:rFonts w:ascii="仿宋" w:hAnsi="仿宋" w:eastAsia="仿宋" w:cs="仿宋"/>
                <w:sz w:val="24"/>
              </w:rPr>
            </w:pPr>
            <w:r>
              <w:rPr>
                <w:rFonts w:hint="eastAsia" w:ascii="黑体" w:hAnsi="黑体" w:eastAsia="黑体" w:cs="黑体"/>
                <w:bCs/>
                <w:sz w:val="24"/>
                <w:lang w:val="en-US" w:eastAsia="zh-CN"/>
              </w:rPr>
              <w:t>8</w:t>
            </w:r>
            <w:r>
              <w:rPr>
                <w:rFonts w:ascii="黑体" w:hAnsi="黑体" w:eastAsia="黑体" w:cs="黑体"/>
                <w:bCs/>
                <w:sz w:val="24"/>
              </w:rPr>
              <w:t>.</w:t>
            </w:r>
            <w:r>
              <w:rPr>
                <w:rFonts w:hint="eastAsia" w:ascii="黑体" w:hAnsi="黑体" w:eastAsia="黑体" w:cs="黑体"/>
                <w:bCs/>
                <w:sz w:val="24"/>
              </w:rPr>
              <w:t>高素质农牧民培育</w:t>
            </w:r>
            <w:r>
              <w:rPr>
                <w:rFonts w:hint="eastAsia" w:ascii="黑体" w:hAnsi="黑体" w:eastAsia="黑体" w:cs="黑体"/>
                <w:bCs/>
                <w:sz w:val="24"/>
                <w:lang w:eastAsia="zh-CN"/>
              </w:rPr>
              <w:t>。</w:t>
            </w:r>
            <w:r>
              <w:rPr>
                <w:rFonts w:ascii="仿宋" w:hAnsi="仿宋" w:eastAsia="仿宋" w:cs="仿宋"/>
                <w:sz w:val="24"/>
              </w:rPr>
              <w:t>以加快培养一支有文化、懂技术、善经营、会管理的高素质农牧民队伍为目标，通过就地培养、吸引提升等方式，分产业、分阶段对农牧民进行教育培训</w:t>
            </w:r>
            <w:r>
              <w:rPr>
                <w:rFonts w:hint="eastAsia" w:ascii="仿宋" w:hAnsi="仿宋" w:eastAsia="仿宋" w:cs="仿宋"/>
                <w:sz w:val="24"/>
              </w:rPr>
              <w:t>，</w:t>
            </w:r>
            <w:r>
              <w:rPr>
                <w:rFonts w:hint="eastAsia" w:ascii="仿宋" w:hAnsi="仿宋" w:eastAsia="仿宋" w:cs="仿宋"/>
                <w:sz w:val="24"/>
                <w:lang w:eastAsia="zh-CN"/>
              </w:rPr>
              <w:t>每年</w:t>
            </w:r>
            <w:r>
              <w:rPr>
                <w:rFonts w:ascii="仿宋" w:hAnsi="仿宋" w:eastAsia="仿宋" w:cs="仿宋"/>
                <w:sz w:val="24"/>
              </w:rPr>
              <w:t>培育高素质农牧民1500人。</w:t>
            </w:r>
          </w:p>
          <w:p>
            <w:pPr>
              <w:pStyle w:val="2"/>
              <w:keepNext w:val="0"/>
              <w:keepLines w:val="0"/>
              <w:pageBreakBefore w:val="0"/>
              <w:kinsoku/>
              <w:wordWrap/>
              <w:overflowPunct/>
              <w:topLinePunct w:val="0"/>
              <w:autoSpaceDE/>
              <w:autoSpaceDN/>
              <w:bidi w:val="0"/>
              <w:adjustRightInd/>
              <w:snapToGrid/>
              <w:spacing w:line="380" w:lineRule="exact"/>
              <w:ind w:left="239" w:leftChars="114" w:firstLine="480" w:firstLineChars="200"/>
              <w:textAlignment w:val="auto"/>
              <w:rPr>
                <w:rFonts w:ascii="仿宋" w:hAnsi="仿宋" w:eastAsia="仿宋" w:cs="仿宋"/>
                <w:sz w:val="24"/>
              </w:rPr>
            </w:pPr>
            <w:r>
              <w:rPr>
                <w:rFonts w:hint="eastAsia" w:ascii="黑体" w:hAnsi="黑体" w:eastAsia="黑体" w:cs="黑体"/>
                <w:sz w:val="24"/>
                <w:lang w:val="en-US" w:eastAsia="zh-CN"/>
              </w:rPr>
              <w:t>9</w:t>
            </w:r>
            <w:r>
              <w:rPr>
                <w:rFonts w:hint="eastAsia" w:ascii="黑体" w:hAnsi="黑体" w:eastAsia="黑体" w:cs="黑体"/>
                <w:sz w:val="24"/>
              </w:rPr>
              <w:t>.农畜产品质量安全提升</w:t>
            </w:r>
            <w:r>
              <w:rPr>
                <w:rFonts w:hint="eastAsia" w:ascii="黑体" w:hAnsi="黑体" w:eastAsia="黑体" w:cs="黑体"/>
                <w:sz w:val="24"/>
                <w:lang w:eastAsia="zh-CN"/>
              </w:rPr>
              <w:t>。</w:t>
            </w:r>
            <w:r>
              <w:rPr>
                <w:rFonts w:ascii="仿宋" w:hAnsi="仿宋" w:eastAsia="仿宋" w:cs="仿宋"/>
                <w:sz w:val="24"/>
              </w:rPr>
              <w:t>压实地方属地管理责任和农畜产品生产主体责任，试行农畜产品合格证制度，支持苏木乡镇农畜产品质量安全监管站标准化建设，实现网格化管理。开展农畜产品质量安全风险监测，通过数据分析结果，为指导生产和监管提供技术支撑。</w:t>
            </w:r>
          </w:p>
          <w:p>
            <w:pPr>
              <w:pStyle w:val="2"/>
              <w:keepNext w:val="0"/>
              <w:keepLines w:val="0"/>
              <w:pageBreakBefore w:val="0"/>
              <w:kinsoku/>
              <w:wordWrap/>
              <w:overflowPunct/>
              <w:topLinePunct w:val="0"/>
              <w:autoSpaceDE/>
              <w:autoSpaceDN/>
              <w:bidi w:val="0"/>
              <w:adjustRightInd/>
              <w:snapToGrid/>
              <w:spacing w:line="380" w:lineRule="exact"/>
              <w:ind w:left="239" w:leftChars="114" w:firstLine="480" w:firstLineChars="200"/>
              <w:textAlignment w:val="auto"/>
            </w:pPr>
            <w:r>
              <w:rPr>
                <w:rFonts w:hint="eastAsia" w:ascii="黑体" w:hAnsi="黑体" w:eastAsia="黑体" w:cs="黑体"/>
                <w:sz w:val="24"/>
                <w:lang w:val="en-US" w:eastAsia="zh-CN"/>
              </w:rPr>
              <w:t>10</w:t>
            </w:r>
            <w:r>
              <w:rPr>
                <w:rFonts w:hint="eastAsia" w:ascii="黑体" w:hAnsi="黑体" w:eastAsia="黑体" w:cs="黑体"/>
                <w:sz w:val="24"/>
              </w:rPr>
              <w:t>.动物防疫和农作物病虫害防治</w:t>
            </w:r>
            <w:r>
              <w:rPr>
                <w:rFonts w:hint="eastAsia" w:ascii="黑体" w:hAnsi="黑体" w:eastAsia="黑体" w:cs="黑体"/>
                <w:sz w:val="24"/>
                <w:lang w:eastAsia="zh-CN"/>
              </w:rPr>
              <w:t>。</w:t>
            </w:r>
            <w:r>
              <w:rPr>
                <w:rFonts w:hint="eastAsia" w:ascii="仿宋" w:hAnsi="仿宋" w:eastAsia="仿宋" w:cs="仿宋"/>
                <w:sz w:val="24"/>
              </w:rPr>
              <w:t>加强动物疫病防控和植物病虫害防控基础设施建设，强化监测预警、应急处置及卫生监督执法，构建上下贯通、横向协调、运转高效、保障有力的动植物保护体系，不断提升全盟动物疫病和植物病虫害防控能力。</w:t>
            </w:r>
          </w:p>
        </w:tc>
      </w:tr>
    </w:tbl>
    <w:p>
      <w:pPr>
        <w:rPr>
          <w:rFonts w:hint="eastAsia"/>
        </w:rPr>
      </w:pPr>
      <w:bookmarkStart w:id="337" w:name="_Toc7597"/>
      <w:bookmarkStart w:id="338" w:name="_Toc24961"/>
      <w:bookmarkStart w:id="339" w:name="_Toc29914"/>
      <w:bookmarkStart w:id="340" w:name="_Toc28656"/>
    </w:p>
    <w:p>
      <w:pPr>
        <w:rPr>
          <w:rFonts w:hint="eastAsia"/>
        </w:rPr>
      </w:pPr>
    </w:p>
    <w:p>
      <w:pPr>
        <w:pStyle w:val="2"/>
        <w:rPr>
          <w:rFonts w:hint="eastAsia"/>
        </w:rPr>
      </w:pPr>
    </w:p>
    <w:p>
      <w:pPr>
        <w:rPr>
          <w:rFonts w:hint="eastAsia"/>
        </w:rPr>
      </w:pPr>
    </w:p>
    <w:p>
      <w:pPr>
        <w:pStyle w:val="2"/>
        <w:rPr>
          <w:rFonts w:hint="eastAsia"/>
        </w:rPr>
      </w:pPr>
    </w:p>
    <w:p>
      <w:pPr>
        <w:rPr>
          <w:rFonts w:hint="eastAsia"/>
        </w:rPr>
      </w:pPr>
    </w:p>
    <w:p>
      <w:pPr>
        <w:pStyle w:val="2"/>
        <w:rPr>
          <w:rFonts w:hint="eastAsia"/>
        </w:rPr>
      </w:pPr>
    </w:p>
    <w:p>
      <w:pPr>
        <w:rPr>
          <w:rFonts w:hint="eastAsia"/>
        </w:rPr>
      </w:pPr>
    </w:p>
    <w:p>
      <w:pPr>
        <w:pStyle w:val="2"/>
        <w:rPr>
          <w:rFonts w:hint="eastAsia"/>
        </w:rPr>
      </w:pPr>
    </w:p>
    <w:p>
      <w:pPr>
        <w:rPr>
          <w:rFonts w:hint="eastAsia"/>
        </w:rPr>
      </w:pPr>
    </w:p>
    <w:p>
      <w:pPr>
        <w:pStyle w:val="2"/>
        <w:rPr>
          <w:rFonts w:hint="eastAsia"/>
        </w:rPr>
      </w:pPr>
    </w:p>
    <w:p>
      <w:pPr>
        <w:rPr>
          <w:rFonts w:hint="eastAsia"/>
        </w:rPr>
      </w:pPr>
    </w:p>
    <w:p>
      <w:pPr>
        <w:rPr>
          <w:rFonts w:hint="eastAsia"/>
        </w:rPr>
      </w:pPr>
    </w:p>
    <w:p>
      <w:pPr>
        <w:rPr>
          <w:rFonts w:hint="eastAsia"/>
        </w:rPr>
      </w:pPr>
    </w:p>
    <w:p>
      <w:pPr>
        <w:pStyle w:val="3"/>
        <w:snapToGrid w:val="0"/>
        <w:spacing w:before="312" w:beforeLines="100" w:after="312" w:afterLines="100" w:line="540" w:lineRule="exact"/>
        <w:jc w:val="center"/>
        <w:rPr>
          <w:rFonts w:hint="eastAsia" w:ascii="方正小标宋简体" w:hAnsi="仿宋" w:eastAsia="方正小标宋简体" w:cs="黑体"/>
          <w:b w:val="0"/>
          <w:color w:val="000000" w:themeColor="text1"/>
          <w:sz w:val="32"/>
          <w:szCs w:val="32"/>
        </w:rPr>
      </w:pPr>
    </w:p>
    <w:p>
      <w:pPr>
        <w:pStyle w:val="3"/>
        <w:snapToGrid w:val="0"/>
        <w:spacing w:before="312" w:beforeLines="100" w:after="312" w:afterLines="100" w:line="540" w:lineRule="exact"/>
        <w:jc w:val="center"/>
        <w:rPr>
          <w:rFonts w:ascii="方正小标宋简体" w:hAnsi="仿宋" w:eastAsia="方正小标宋简体" w:cs="黑体"/>
          <w:b w:val="0"/>
          <w:color w:val="000000" w:themeColor="text1"/>
          <w:sz w:val="44"/>
          <w:szCs w:val="44"/>
        </w:rPr>
      </w:pPr>
      <w:bookmarkStart w:id="341" w:name="_Toc654771145_WPSOffice_Level1"/>
      <w:r>
        <w:rPr>
          <w:rFonts w:hint="eastAsia" w:ascii="方正小标宋简体" w:hAnsi="仿宋" w:eastAsia="方正小标宋简体" w:cs="黑体"/>
          <w:b w:val="0"/>
          <w:color w:val="000000" w:themeColor="text1"/>
          <w:sz w:val="44"/>
          <w:szCs w:val="44"/>
        </w:rPr>
        <w:t>第六章 实施乡村建设行动</w:t>
      </w:r>
      <w:bookmarkEnd w:id="337"/>
      <w:bookmarkEnd w:id="338"/>
      <w:bookmarkEnd w:id="339"/>
      <w:bookmarkEnd w:id="340"/>
      <w:bookmarkEnd w:id="341"/>
    </w:p>
    <w:p>
      <w:pPr>
        <w:pageBreakBefore w:val="0"/>
        <w:widowControl w:val="0"/>
        <w:kinsoku/>
        <w:wordWrap/>
        <w:overflowPunct/>
        <w:topLinePunct w:val="0"/>
        <w:autoSpaceDE/>
        <w:autoSpaceDN/>
        <w:bidi w:val="0"/>
        <w:adjustRightInd/>
        <w:snapToGrid/>
        <w:spacing w:line="600" w:lineRule="exact"/>
        <w:ind w:firstLine="640" w:firstLineChars="200"/>
        <w:textAlignment w:val="auto"/>
        <w:rPr>
          <w:rFonts w:ascii="仿宋" w:hAnsi="仿宋" w:eastAsia="仿宋" w:cstheme="minorBidi"/>
          <w:sz w:val="32"/>
          <w:szCs w:val="32"/>
        </w:rPr>
      </w:pPr>
      <w:bookmarkStart w:id="342" w:name="_Toc59000533"/>
      <w:bookmarkStart w:id="343" w:name="_Toc58870125"/>
      <w:r>
        <w:rPr>
          <w:rFonts w:hint="eastAsia" w:ascii="仿宋" w:hAnsi="仿宋" w:eastAsia="仿宋" w:cstheme="minorBidi"/>
          <w:sz w:val="32"/>
          <w:szCs w:val="32"/>
        </w:rPr>
        <w:t>把乡村建设摆在社会主义现代化建设重要位置，以农村牧区宜居宜业为目标，补短板强弱项，把“硬件”建设好，把“软件”开发好，加强农村牧区基础设施建设，</w:t>
      </w:r>
      <w:r>
        <w:rPr>
          <w:rFonts w:hint="eastAsia" w:ascii="仿宋" w:hAnsi="仿宋" w:eastAsia="仿宋" w:cstheme="minorBidi"/>
          <w:sz w:val="32"/>
          <w:szCs w:val="32"/>
          <w:lang w:eastAsia="zh-CN"/>
        </w:rPr>
        <w:t>整治</w:t>
      </w:r>
      <w:r>
        <w:rPr>
          <w:rFonts w:hint="eastAsia" w:ascii="仿宋" w:hAnsi="仿宋" w:eastAsia="仿宋" w:cstheme="minorBidi"/>
          <w:sz w:val="32"/>
          <w:szCs w:val="32"/>
        </w:rPr>
        <w:t>提升农村牧区人居环境，</w:t>
      </w:r>
      <w:r>
        <w:rPr>
          <w:rFonts w:hint="eastAsia" w:ascii="仿宋" w:hAnsi="仿宋" w:eastAsia="仿宋" w:cstheme="minorBidi"/>
          <w:sz w:val="32"/>
          <w:szCs w:val="32"/>
          <w:lang w:eastAsia="zh-CN"/>
        </w:rPr>
        <w:t>推进</w:t>
      </w:r>
      <w:r>
        <w:rPr>
          <w:rFonts w:hint="eastAsia" w:ascii="仿宋" w:hAnsi="仿宋" w:eastAsia="仿宋" w:cstheme="minorBidi"/>
          <w:sz w:val="32"/>
          <w:szCs w:val="32"/>
        </w:rPr>
        <w:t>农村牧区生态文明建设，提高公共服务供给能力，加快推动农村牧区全面振兴。</w:t>
      </w:r>
    </w:p>
    <w:p>
      <w:pPr>
        <w:pStyle w:val="4"/>
        <w:pageBreakBefore w:val="0"/>
        <w:widowControl w:val="0"/>
        <w:kinsoku/>
        <w:wordWrap/>
        <w:overflowPunct/>
        <w:topLinePunct w:val="0"/>
        <w:autoSpaceDE/>
        <w:autoSpaceDN/>
        <w:bidi w:val="0"/>
        <w:adjustRightInd/>
        <w:snapToGrid/>
        <w:spacing w:before="156" w:beforeLines="50" w:after="156" w:afterLines="50" w:line="600" w:lineRule="exact"/>
        <w:textAlignment w:val="auto"/>
        <w:rPr>
          <w:rFonts w:ascii="Calibri Light" w:hAnsi="Calibri Light" w:cs="Times New Roman"/>
          <w:b w:val="0"/>
          <w:bCs w:val="0"/>
          <w:sz w:val="32"/>
          <w:szCs w:val="32"/>
        </w:rPr>
      </w:pPr>
      <w:bookmarkStart w:id="344" w:name="_Toc1092903030_WPSOffice_Level2"/>
      <w:bookmarkStart w:id="345" w:name="_Toc27746"/>
      <w:bookmarkStart w:id="346" w:name="_Toc5007"/>
      <w:bookmarkStart w:id="347" w:name="_Toc3976"/>
      <w:bookmarkStart w:id="348" w:name="_Toc13077"/>
      <w:r>
        <w:rPr>
          <w:rFonts w:hint="eastAsia" w:ascii="Calibri Light" w:hAnsi="Calibri Light" w:cs="Times New Roman"/>
          <w:b w:val="0"/>
          <w:bCs w:val="0"/>
          <w:sz w:val="32"/>
          <w:szCs w:val="32"/>
        </w:rPr>
        <w:t>第一节 科学规划嘎查村建设</w:t>
      </w:r>
      <w:bookmarkEnd w:id="342"/>
      <w:bookmarkEnd w:id="343"/>
      <w:bookmarkEnd w:id="344"/>
      <w:bookmarkEnd w:id="345"/>
      <w:bookmarkEnd w:id="346"/>
      <w:bookmarkEnd w:id="347"/>
      <w:bookmarkEnd w:id="348"/>
    </w:p>
    <w:p>
      <w:pPr>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color w:val="000000" w:themeColor="text1"/>
          <w:sz w:val="32"/>
          <w:szCs w:val="32"/>
        </w:rPr>
      </w:pPr>
      <w:bookmarkStart w:id="349" w:name="_Toc57041399"/>
      <w:r>
        <w:rPr>
          <w:rFonts w:hint="eastAsia" w:ascii="仿宋" w:hAnsi="仿宋" w:eastAsia="仿宋" w:cstheme="minorBidi"/>
          <w:sz w:val="32"/>
          <w:szCs w:val="32"/>
        </w:rPr>
        <w:t>以村庄分类和村庄布局工作为前提，</w:t>
      </w:r>
      <w:r>
        <w:rPr>
          <w:rFonts w:ascii="仿宋" w:hAnsi="仿宋" w:eastAsia="仿宋" w:cstheme="minorBidi"/>
          <w:sz w:val="32"/>
          <w:szCs w:val="32"/>
        </w:rPr>
        <w:t>顺应村庄</w:t>
      </w:r>
      <w:r>
        <w:rPr>
          <w:rFonts w:hint="eastAsia" w:ascii="仿宋" w:hAnsi="仿宋" w:eastAsia="仿宋" w:cstheme="minorBidi"/>
          <w:sz w:val="32"/>
          <w:szCs w:val="32"/>
        </w:rPr>
        <w:t>发展规律和</w:t>
      </w:r>
      <w:r>
        <w:rPr>
          <w:rFonts w:ascii="仿宋" w:hAnsi="仿宋" w:eastAsia="仿宋" w:cstheme="minorBidi"/>
          <w:sz w:val="32"/>
          <w:szCs w:val="32"/>
        </w:rPr>
        <w:t>演变趋势，根据不同村</w:t>
      </w:r>
      <w:r>
        <w:rPr>
          <w:rFonts w:hint="eastAsia" w:ascii="仿宋" w:hAnsi="仿宋" w:eastAsia="仿宋" w:cstheme="minorBidi"/>
          <w:sz w:val="32"/>
          <w:szCs w:val="32"/>
        </w:rPr>
        <w:t>庄</w:t>
      </w:r>
      <w:r>
        <w:rPr>
          <w:rFonts w:ascii="仿宋" w:hAnsi="仿宋" w:eastAsia="仿宋" w:cstheme="minorBidi"/>
          <w:sz w:val="32"/>
          <w:szCs w:val="32"/>
        </w:rPr>
        <w:t>的发展现状、区位条件、资源禀赋</w:t>
      </w:r>
      <w:r>
        <w:rPr>
          <w:rFonts w:hint="eastAsia" w:ascii="仿宋" w:hAnsi="仿宋" w:eastAsia="仿宋" w:cstheme="minorBidi"/>
          <w:sz w:val="32"/>
          <w:szCs w:val="32"/>
          <w:lang w:eastAsia="zh-CN"/>
        </w:rPr>
        <w:t>和</w:t>
      </w:r>
      <w:r>
        <w:rPr>
          <w:rFonts w:ascii="仿宋" w:hAnsi="仿宋" w:eastAsia="仿宋" w:cstheme="minorBidi"/>
          <w:sz w:val="32"/>
          <w:szCs w:val="32"/>
        </w:rPr>
        <w:t>历史文化，</w:t>
      </w:r>
      <w:r>
        <w:rPr>
          <w:rFonts w:hint="eastAsia" w:ascii="仿宋" w:hAnsi="仿宋" w:eastAsia="仿宋" w:cstheme="minorBidi"/>
          <w:sz w:val="32"/>
          <w:szCs w:val="32"/>
        </w:rPr>
        <w:t>鼓励推行多规合一，在充分尊重农牧民意愿的基础上，分类推进村庄规划工作，严肃查处违规乱建行为。加强村庄风貌引导，保</w:t>
      </w:r>
      <w:r>
        <w:rPr>
          <w:rFonts w:hint="eastAsia" w:ascii="仿宋" w:hAnsi="仿宋" w:eastAsia="仿宋" w:cs="仿宋"/>
          <w:sz w:val="32"/>
          <w:szCs w:val="32"/>
        </w:rPr>
        <w:t>护传统村落、传统民居和历史文化名村名镇。</w:t>
      </w:r>
      <w:r>
        <w:rPr>
          <w:rFonts w:hint="eastAsia" w:ascii="仿宋" w:hAnsi="仿宋" w:eastAsia="仿宋" w:cs="仿宋"/>
          <w:color w:val="000000" w:themeColor="text1"/>
          <w:sz w:val="32"/>
          <w:szCs w:val="32"/>
        </w:rPr>
        <w:t>到2025年，实现嘎查村规划管理全覆盖。</w:t>
      </w:r>
    </w:p>
    <w:p>
      <w:pPr>
        <w:pStyle w:val="4"/>
        <w:pageBreakBefore w:val="0"/>
        <w:widowControl w:val="0"/>
        <w:kinsoku/>
        <w:wordWrap/>
        <w:overflowPunct/>
        <w:topLinePunct w:val="0"/>
        <w:autoSpaceDE/>
        <w:autoSpaceDN/>
        <w:bidi w:val="0"/>
        <w:adjustRightInd/>
        <w:snapToGrid/>
        <w:spacing w:before="156" w:beforeLines="50" w:after="156" w:afterLines="50" w:line="600" w:lineRule="exact"/>
        <w:textAlignment w:val="auto"/>
        <w:rPr>
          <w:rFonts w:ascii="Calibri Light" w:hAnsi="Calibri Light" w:cs="Times New Roman"/>
          <w:b w:val="0"/>
          <w:bCs w:val="0"/>
          <w:sz w:val="32"/>
          <w:szCs w:val="32"/>
        </w:rPr>
      </w:pPr>
      <w:bookmarkStart w:id="350" w:name="_Toc19878"/>
      <w:bookmarkStart w:id="351" w:name="_Toc2709"/>
      <w:bookmarkStart w:id="352" w:name="_Toc32218"/>
      <w:bookmarkStart w:id="353" w:name="_Toc1210452737_WPSOffice_Level2"/>
      <w:bookmarkStart w:id="354" w:name="_Toc15024"/>
      <w:bookmarkStart w:id="355" w:name="_Toc59000534"/>
      <w:bookmarkStart w:id="356" w:name="_Toc58870126"/>
      <w:r>
        <w:rPr>
          <w:rFonts w:hint="eastAsia" w:ascii="Calibri Light" w:hAnsi="Calibri Light" w:cs="Times New Roman"/>
          <w:b w:val="0"/>
          <w:bCs w:val="0"/>
          <w:sz w:val="32"/>
          <w:szCs w:val="32"/>
        </w:rPr>
        <w:t xml:space="preserve">第二节 </w:t>
      </w:r>
      <w:bookmarkEnd w:id="349"/>
      <w:r>
        <w:rPr>
          <w:rFonts w:hint="eastAsia" w:ascii="Calibri Light" w:hAnsi="Calibri Light" w:cs="Times New Roman"/>
          <w:b w:val="0"/>
          <w:bCs w:val="0"/>
          <w:sz w:val="32"/>
          <w:szCs w:val="32"/>
        </w:rPr>
        <w:t>加强农村牧区基础设施建设</w:t>
      </w:r>
      <w:bookmarkEnd w:id="350"/>
      <w:bookmarkEnd w:id="351"/>
      <w:bookmarkEnd w:id="352"/>
      <w:bookmarkEnd w:id="353"/>
      <w:bookmarkEnd w:id="354"/>
      <w:bookmarkEnd w:id="355"/>
      <w:bookmarkEnd w:id="356"/>
      <w:bookmarkStart w:id="357" w:name="_Toc57041400"/>
    </w:p>
    <w:p>
      <w:pPr>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sz w:val="32"/>
          <w:szCs w:val="32"/>
        </w:rPr>
      </w:pPr>
      <w:r>
        <w:rPr>
          <w:rFonts w:hint="eastAsia" w:ascii="仿宋" w:hAnsi="仿宋" w:eastAsia="仿宋" w:cs="仿宋"/>
          <w:b/>
          <w:bCs/>
          <w:sz w:val="32"/>
          <w:szCs w:val="32"/>
        </w:rPr>
        <w:t>保障农村牧区安全饮水供给。</w:t>
      </w:r>
      <w:r>
        <w:rPr>
          <w:rFonts w:hint="eastAsia" w:ascii="仿宋" w:hAnsi="仿宋" w:eastAsia="仿宋" w:cs="仿宋"/>
          <w:sz w:val="32"/>
          <w:szCs w:val="32"/>
          <w:lang w:eastAsia="zh-CN"/>
        </w:rPr>
        <w:t>通过</w:t>
      </w:r>
      <w:r>
        <w:rPr>
          <w:rFonts w:hint="eastAsia" w:ascii="仿宋" w:hAnsi="仿宋" w:eastAsia="仿宋" w:cs="仿宋"/>
          <w:sz w:val="32"/>
          <w:szCs w:val="32"/>
        </w:rPr>
        <w:t>新建或改造集中供水工程</w:t>
      </w:r>
      <w:r>
        <w:rPr>
          <w:rFonts w:hint="eastAsia" w:ascii="仿宋" w:hAnsi="仿宋" w:eastAsia="仿宋" w:cs="仿宋"/>
          <w:sz w:val="32"/>
          <w:szCs w:val="32"/>
          <w:lang w:eastAsia="zh-CN"/>
        </w:rPr>
        <w:t>、建设水源井和储水窖等方式，</w:t>
      </w:r>
      <w:r>
        <w:rPr>
          <w:rFonts w:hint="eastAsia" w:ascii="仿宋" w:hAnsi="仿宋" w:eastAsia="仿宋" w:cs="仿宋"/>
          <w:sz w:val="32"/>
          <w:szCs w:val="32"/>
        </w:rPr>
        <w:t>全力推进饮水安全工程，</w:t>
      </w:r>
      <w:r>
        <w:rPr>
          <w:rFonts w:hint="eastAsia" w:ascii="仿宋" w:hAnsi="仿宋" w:eastAsia="仿宋" w:cs="仿宋"/>
          <w:sz w:val="32"/>
          <w:szCs w:val="32"/>
          <w:lang w:eastAsia="zh-CN"/>
        </w:rPr>
        <w:t>巩固</w:t>
      </w:r>
      <w:r>
        <w:rPr>
          <w:rFonts w:hint="eastAsia" w:ascii="仿宋" w:hAnsi="仿宋" w:eastAsia="仿宋" w:cs="仿宋"/>
          <w:sz w:val="32"/>
          <w:szCs w:val="32"/>
        </w:rPr>
        <w:t>提升农村牧区供水保障水平，为农牧民提供节水、方便、舒适、安全、环保的用水服务，为嘎查村集体经济发展提供科学、优化的用水环境，</w:t>
      </w:r>
      <w:r>
        <w:rPr>
          <w:rFonts w:hint="eastAsia" w:ascii="仿宋" w:hAnsi="仿宋" w:eastAsia="仿宋" w:cs="仿宋"/>
          <w:sz w:val="32"/>
          <w:szCs w:val="32"/>
          <w:lang w:eastAsia="zh-CN"/>
        </w:rPr>
        <w:t>推进</w:t>
      </w:r>
      <w:r>
        <w:rPr>
          <w:rFonts w:hint="eastAsia" w:ascii="仿宋" w:hAnsi="仿宋" w:eastAsia="仿宋" w:cs="仿宋"/>
          <w:sz w:val="32"/>
          <w:szCs w:val="32"/>
        </w:rPr>
        <w:t>生产、生活、产业发展用水现代化。到2025年，解决全盟农村牧区3.92万人饮水安全保障和提升问题，自来水普及率达到42.5%。</w:t>
      </w:r>
    </w:p>
    <w:p>
      <w:pPr>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sz w:val="32"/>
          <w:szCs w:val="32"/>
        </w:rPr>
      </w:pPr>
      <w:r>
        <w:rPr>
          <w:rFonts w:hint="eastAsia" w:ascii="仿宋" w:hAnsi="仿宋" w:eastAsia="仿宋" w:cs="仿宋"/>
          <w:b/>
          <w:bCs/>
          <w:sz w:val="32"/>
          <w:szCs w:val="32"/>
        </w:rPr>
        <w:t>提升农牧民用电保障水平。</w:t>
      </w:r>
      <w:r>
        <w:rPr>
          <w:rFonts w:hint="eastAsia" w:ascii="仿宋" w:hAnsi="仿宋" w:eastAsia="仿宋" w:cs="仿宋"/>
          <w:sz w:val="32"/>
          <w:szCs w:val="32"/>
        </w:rPr>
        <w:t>完善站点布局，缩短供电半径，实现“用上电”向“用好电”转变。进一步加大农村牧区特别是边远地区电网升级改造力度，优化35千伏及以上变电站点布局，在达到电网安全运行和电能质量的前提下，促进常电网络系统不断向草原腹地深处推进，实施新能源转网电工程。积极引入技术成熟的风光互补企业，加大对不具备通网电地区新能源设备升级改造力度。到2025年，网电覆盖面进一步扩大</w:t>
      </w:r>
      <w:r>
        <w:rPr>
          <w:rFonts w:hint="eastAsia" w:ascii="仿宋" w:hAnsi="仿宋" w:eastAsia="仿宋" w:cs="仿宋"/>
          <w:sz w:val="32"/>
          <w:szCs w:val="32"/>
          <w:lang w:eastAsia="zh-CN"/>
        </w:rPr>
        <w:t>，</w:t>
      </w:r>
      <w:r>
        <w:rPr>
          <w:rFonts w:hint="eastAsia" w:ascii="仿宋" w:hAnsi="仿宋" w:eastAsia="仿宋" w:cs="仿宋"/>
          <w:sz w:val="32"/>
          <w:szCs w:val="32"/>
        </w:rPr>
        <w:t>农村牧区供电可靠性达到99.65%，综合电压合格率达到99.5%。</w:t>
      </w:r>
    </w:p>
    <w:bookmarkEnd w:id="357"/>
    <w:p>
      <w:pPr>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color w:val="FF0000"/>
          <w:sz w:val="32"/>
          <w:szCs w:val="32"/>
        </w:rPr>
      </w:pPr>
      <w:r>
        <w:rPr>
          <w:rFonts w:hint="eastAsia" w:ascii="仿宋" w:hAnsi="仿宋" w:eastAsia="仿宋" w:cs="仿宋"/>
          <w:b/>
          <w:bCs/>
          <w:sz w:val="32"/>
          <w:szCs w:val="32"/>
        </w:rPr>
        <w:t>完善配套交通基础设施。</w:t>
      </w:r>
      <w:r>
        <w:rPr>
          <w:rFonts w:hint="eastAsia" w:ascii="仿宋" w:hAnsi="仿宋" w:eastAsia="仿宋" w:cs="仿宋"/>
          <w:sz w:val="32"/>
          <w:szCs w:val="32"/>
        </w:rPr>
        <w:t>深入推进“四好农村路”建设</w:t>
      </w:r>
      <w:r>
        <w:rPr>
          <w:rFonts w:hint="eastAsia" w:ascii="仿宋" w:hAnsi="仿宋" w:eastAsia="仿宋" w:cs="仿宋"/>
          <w:sz w:val="32"/>
          <w:szCs w:val="32"/>
          <w:lang w:eastAsia="zh-CN"/>
        </w:rPr>
        <w:t>，</w:t>
      </w:r>
      <w:r>
        <w:rPr>
          <w:rFonts w:hint="eastAsia" w:ascii="仿宋" w:hAnsi="仿宋" w:eastAsia="仿宋" w:cs="仿宋"/>
          <w:sz w:val="32"/>
          <w:szCs w:val="32"/>
        </w:rPr>
        <w:t>结合乡村振兴示范嘎查建设</w:t>
      </w:r>
      <w:r>
        <w:rPr>
          <w:rFonts w:hint="eastAsia" w:ascii="仿宋" w:hAnsi="仿宋" w:eastAsia="仿宋" w:cs="仿宋"/>
          <w:sz w:val="32"/>
          <w:szCs w:val="32"/>
          <w:lang w:eastAsia="zh-CN"/>
        </w:rPr>
        <w:t>，</w:t>
      </w:r>
      <w:r>
        <w:rPr>
          <w:rFonts w:hint="eastAsia" w:ascii="仿宋" w:hAnsi="仿宋" w:eastAsia="仿宋" w:cs="仿宋"/>
          <w:sz w:val="32"/>
          <w:szCs w:val="32"/>
        </w:rPr>
        <w:t>加快补齐农村牧区公路建设短板</w:t>
      </w:r>
      <w:r>
        <w:rPr>
          <w:rFonts w:hint="eastAsia" w:ascii="仿宋" w:hAnsi="仿宋" w:eastAsia="仿宋" w:cs="仿宋"/>
          <w:sz w:val="32"/>
          <w:szCs w:val="32"/>
          <w:lang w:eastAsia="zh-CN"/>
        </w:rPr>
        <w:t>，</w:t>
      </w:r>
      <w:r>
        <w:rPr>
          <w:rFonts w:hint="eastAsia" w:ascii="仿宋" w:hAnsi="仿宋" w:eastAsia="仿宋" w:cs="仿宋"/>
          <w:sz w:val="32"/>
          <w:szCs w:val="32"/>
        </w:rPr>
        <w:t>推动农村牧区公路高质量发展</w:t>
      </w:r>
      <w:r>
        <w:rPr>
          <w:rFonts w:hint="eastAsia" w:ascii="仿宋" w:hAnsi="仿宋" w:eastAsia="仿宋" w:cs="仿宋"/>
          <w:sz w:val="32"/>
          <w:szCs w:val="32"/>
          <w:lang w:eastAsia="zh-CN"/>
        </w:rPr>
        <w:t>，</w:t>
      </w:r>
      <w:r>
        <w:rPr>
          <w:rFonts w:hint="eastAsia" w:ascii="仿宋" w:hAnsi="仿宋" w:eastAsia="仿宋" w:cs="仿宋"/>
          <w:sz w:val="32"/>
          <w:szCs w:val="32"/>
        </w:rPr>
        <w:t>重点实施较大人口规模自然村通硬化路</w:t>
      </w:r>
      <w:r>
        <w:rPr>
          <w:rFonts w:hint="eastAsia" w:ascii="仿宋" w:hAnsi="仿宋" w:eastAsia="仿宋" w:cs="仿宋"/>
          <w:sz w:val="32"/>
          <w:szCs w:val="32"/>
          <w:lang w:eastAsia="zh-CN"/>
        </w:rPr>
        <w:t>、</w:t>
      </w:r>
      <w:r>
        <w:rPr>
          <w:rFonts w:hint="eastAsia" w:ascii="仿宋" w:hAnsi="仿宋" w:eastAsia="仿宋" w:cs="仿宋"/>
          <w:sz w:val="32"/>
          <w:szCs w:val="32"/>
        </w:rPr>
        <w:t>苏木乡镇建制嘎查村公路提质升级改造</w:t>
      </w:r>
      <w:r>
        <w:rPr>
          <w:rFonts w:hint="eastAsia" w:ascii="仿宋" w:hAnsi="仿宋" w:eastAsia="仿宋" w:cs="仿宋"/>
          <w:sz w:val="32"/>
          <w:szCs w:val="32"/>
          <w:lang w:eastAsia="zh-CN"/>
        </w:rPr>
        <w:t>及</w:t>
      </w:r>
      <w:r>
        <w:rPr>
          <w:rFonts w:hint="eastAsia" w:ascii="仿宋" w:hAnsi="仿宋" w:eastAsia="仿宋" w:cs="仿宋"/>
          <w:sz w:val="32"/>
          <w:szCs w:val="32"/>
        </w:rPr>
        <w:t>旅游路</w:t>
      </w:r>
      <w:r>
        <w:rPr>
          <w:rFonts w:hint="eastAsia" w:ascii="仿宋" w:hAnsi="仿宋" w:eastAsia="仿宋" w:cs="仿宋"/>
          <w:sz w:val="32"/>
          <w:szCs w:val="32"/>
          <w:lang w:eastAsia="zh-CN"/>
        </w:rPr>
        <w:t>、</w:t>
      </w:r>
      <w:r>
        <w:rPr>
          <w:rFonts w:hint="eastAsia" w:ascii="仿宋" w:hAnsi="仿宋" w:eastAsia="仿宋" w:cs="仿宋"/>
          <w:sz w:val="32"/>
          <w:szCs w:val="32"/>
        </w:rPr>
        <w:t>资源路</w:t>
      </w:r>
      <w:r>
        <w:rPr>
          <w:rFonts w:hint="eastAsia" w:ascii="仿宋" w:hAnsi="仿宋" w:eastAsia="仿宋" w:cs="仿宋"/>
          <w:sz w:val="32"/>
          <w:szCs w:val="32"/>
          <w:lang w:eastAsia="zh-CN"/>
        </w:rPr>
        <w:t>、</w:t>
      </w:r>
      <w:r>
        <w:rPr>
          <w:rFonts w:hint="eastAsia" w:ascii="仿宋" w:hAnsi="仿宋" w:eastAsia="仿宋" w:cs="仿宋"/>
          <w:sz w:val="32"/>
          <w:szCs w:val="32"/>
        </w:rPr>
        <w:t>产业路和联网路等项目。完善农村牧区公路客运服务网络</w:t>
      </w:r>
      <w:r>
        <w:rPr>
          <w:rFonts w:hint="eastAsia" w:ascii="仿宋" w:hAnsi="仿宋" w:eastAsia="仿宋" w:cs="仿宋"/>
          <w:sz w:val="32"/>
          <w:szCs w:val="32"/>
          <w:lang w:eastAsia="zh-CN"/>
        </w:rPr>
        <w:t>，</w:t>
      </w:r>
      <w:r>
        <w:rPr>
          <w:rFonts w:hint="eastAsia" w:ascii="仿宋" w:hAnsi="仿宋" w:eastAsia="仿宋" w:cs="仿宋"/>
          <w:sz w:val="32"/>
          <w:szCs w:val="32"/>
        </w:rPr>
        <w:t>推动客运城乡一体化发展。加强农村牧区公路安全隐患治理</w:t>
      </w:r>
      <w:r>
        <w:rPr>
          <w:rFonts w:hint="eastAsia" w:ascii="仿宋" w:hAnsi="仿宋" w:eastAsia="仿宋" w:cs="仿宋"/>
          <w:sz w:val="32"/>
          <w:szCs w:val="32"/>
          <w:lang w:eastAsia="zh-CN"/>
        </w:rPr>
        <w:t>，</w:t>
      </w:r>
      <w:r>
        <w:rPr>
          <w:rFonts w:hint="eastAsia" w:ascii="仿宋" w:hAnsi="仿宋" w:eastAsia="仿宋" w:cs="仿宋"/>
          <w:sz w:val="32"/>
          <w:szCs w:val="32"/>
        </w:rPr>
        <w:t>提升公路安全应急保障能力。“十四五”期间，规划建设农村牧区公路</w:t>
      </w:r>
      <w:r>
        <w:rPr>
          <w:rFonts w:hint="eastAsia" w:ascii="仿宋" w:hAnsi="仿宋" w:eastAsia="仿宋" w:cs="仿宋"/>
          <w:sz w:val="32"/>
          <w:szCs w:val="32"/>
          <w:lang w:val="en-US" w:eastAsia="zh-CN"/>
        </w:rPr>
        <w:t>1800</w:t>
      </w:r>
      <w:r>
        <w:rPr>
          <w:rFonts w:hint="eastAsia" w:ascii="仿宋" w:hAnsi="仿宋" w:eastAsia="仿宋" w:cs="仿宋"/>
          <w:sz w:val="32"/>
          <w:szCs w:val="32"/>
        </w:rPr>
        <w:t>公里，到2025年</w:t>
      </w:r>
      <w:r>
        <w:rPr>
          <w:rFonts w:hint="eastAsia" w:ascii="仿宋" w:hAnsi="仿宋" w:eastAsia="仿宋" w:cs="仿宋"/>
          <w:sz w:val="32"/>
          <w:szCs w:val="32"/>
          <w:lang w:eastAsia="zh-CN"/>
        </w:rPr>
        <w:t>，</w:t>
      </w:r>
      <w:r>
        <w:rPr>
          <w:rFonts w:hint="eastAsia" w:ascii="仿宋" w:hAnsi="仿宋" w:eastAsia="仿宋" w:cs="仿宋"/>
          <w:sz w:val="32"/>
          <w:szCs w:val="32"/>
        </w:rPr>
        <w:t>全盟农村牧区公路总里程达到1.8万公里。</w:t>
      </w:r>
    </w:p>
    <w:p>
      <w:pPr>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sz w:val="32"/>
          <w:szCs w:val="32"/>
        </w:rPr>
      </w:pPr>
      <w:r>
        <w:rPr>
          <w:rFonts w:hint="eastAsia" w:ascii="仿宋" w:hAnsi="仿宋" w:eastAsia="仿宋" w:cs="仿宋"/>
          <w:b/>
          <w:bCs/>
          <w:sz w:val="32"/>
          <w:szCs w:val="32"/>
        </w:rPr>
        <w:t>加快通讯基础设施建设。</w:t>
      </w:r>
      <w:r>
        <w:rPr>
          <w:rFonts w:hint="eastAsia" w:ascii="仿宋" w:hAnsi="仿宋" w:eastAsia="仿宋" w:cs="仿宋"/>
          <w:sz w:val="32"/>
          <w:szCs w:val="32"/>
        </w:rPr>
        <w:t>实施数字乡村战略</w:t>
      </w:r>
      <w:r>
        <w:rPr>
          <w:rFonts w:hint="eastAsia" w:ascii="仿宋" w:hAnsi="仿宋" w:eastAsia="仿宋" w:cs="仿宋"/>
          <w:sz w:val="32"/>
          <w:szCs w:val="32"/>
          <w:lang w:eastAsia="zh-CN"/>
        </w:rPr>
        <w:t>，</w:t>
      </w:r>
      <w:r>
        <w:rPr>
          <w:rFonts w:hint="eastAsia" w:ascii="仿宋" w:hAnsi="仿宋" w:eastAsia="仿宋" w:cs="仿宋"/>
          <w:sz w:val="32"/>
          <w:szCs w:val="32"/>
        </w:rPr>
        <w:t>推动4G网络向有条件的自然村覆盖，提升农村牧区移动和宽带网络供给质量。加快5G基础设施建设，利用网络提升草原畜牧业、旅游业的智能化水平。</w:t>
      </w:r>
      <w:r>
        <w:rPr>
          <w:rFonts w:hint="eastAsia" w:ascii="仿宋" w:hAnsi="仿宋" w:eastAsia="仿宋" w:cs="仿宋"/>
          <w:color w:val="000000" w:themeColor="text1"/>
          <w:sz w:val="32"/>
          <w:szCs w:val="32"/>
        </w:rPr>
        <w:t>统筹运用有线、无线等传输方式，推进“智慧广电”网络服务进村入户，运用无线交互方式实现对偏远牧区、边境地区的有效覆盖。推动农村牧区基础政务信息化应用，推广远程教育、远程医疗、金融网点进村等信息服务。到2025年，农村牧区4G、5G</w:t>
      </w:r>
      <w:r>
        <w:rPr>
          <w:rFonts w:hint="eastAsia" w:ascii="仿宋" w:hAnsi="仿宋" w:eastAsia="仿宋" w:cs="仿宋"/>
          <w:color w:val="000000" w:themeColor="text1"/>
          <w:sz w:val="32"/>
          <w:szCs w:val="32"/>
          <w:lang w:eastAsia="zh-CN"/>
        </w:rPr>
        <w:t>和</w:t>
      </w:r>
      <w:r>
        <w:rPr>
          <w:rFonts w:hint="eastAsia" w:ascii="仿宋" w:hAnsi="仿宋" w:eastAsia="仿宋" w:cs="仿宋"/>
          <w:color w:val="000000" w:themeColor="text1"/>
          <w:sz w:val="32"/>
          <w:szCs w:val="32"/>
        </w:rPr>
        <w:t>宽带</w:t>
      </w:r>
      <w:r>
        <w:rPr>
          <w:rFonts w:hint="eastAsia" w:ascii="仿宋" w:hAnsi="仿宋" w:eastAsia="仿宋" w:cs="仿宋"/>
          <w:color w:val="000000" w:themeColor="text1"/>
          <w:sz w:val="32"/>
          <w:szCs w:val="32"/>
          <w:lang w:eastAsia="zh-CN"/>
        </w:rPr>
        <w:t>网络</w:t>
      </w:r>
      <w:r>
        <w:rPr>
          <w:rFonts w:hint="eastAsia" w:ascii="仿宋" w:hAnsi="仿宋" w:eastAsia="仿宋" w:cs="仿宋"/>
          <w:color w:val="000000" w:themeColor="text1"/>
          <w:sz w:val="32"/>
          <w:szCs w:val="32"/>
        </w:rPr>
        <w:t>覆盖率</w:t>
      </w:r>
      <w:r>
        <w:rPr>
          <w:rFonts w:hint="eastAsia" w:ascii="仿宋" w:hAnsi="仿宋" w:eastAsia="仿宋" w:cs="仿宋"/>
          <w:color w:val="000000" w:themeColor="text1"/>
          <w:sz w:val="32"/>
          <w:szCs w:val="32"/>
          <w:lang w:eastAsia="zh-CN"/>
        </w:rPr>
        <w:t>分别</w:t>
      </w:r>
      <w:r>
        <w:rPr>
          <w:rFonts w:hint="eastAsia" w:ascii="仿宋" w:hAnsi="仿宋" w:eastAsia="仿宋" w:cs="仿宋"/>
          <w:color w:val="000000" w:themeColor="text1"/>
          <w:sz w:val="32"/>
          <w:szCs w:val="32"/>
        </w:rPr>
        <w:t>达到</w:t>
      </w:r>
      <w:r>
        <w:rPr>
          <w:rFonts w:hint="eastAsia" w:ascii="仿宋" w:hAnsi="仿宋" w:eastAsia="仿宋" w:cs="仿宋"/>
          <w:color w:val="000000" w:themeColor="text1"/>
          <w:sz w:val="32"/>
          <w:szCs w:val="32"/>
          <w:lang w:val="en-US" w:eastAsia="zh-CN"/>
        </w:rPr>
        <w:t>95%、92%和</w:t>
      </w:r>
      <w:r>
        <w:rPr>
          <w:rFonts w:hint="eastAsia" w:ascii="仿宋" w:hAnsi="仿宋" w:eastAsia="仿宋" w:cs="仿宋"/>
          <w:color w:val="000000" w:themeColor="text1"/>
          <w:sz w:val="32"/>
          <w:szCs w:val="32"/>
        </w:rPr>
        <w:t>98%</w:t>
      </w:r>
      <w:r>
        <w:rPr>
          <w:rFonts w:hint="eastAsia" w:ascii="仿宋" w:hAnsi="仿宋" w:eastAsia="仿宋" w:cs="仿宋"/>
          <w:color w:val="000000" w:themeColor="text1"/>
          <w:sz w:val="32"/>
          <w:szCs w:val="32"/>
          <w:lang w:eastAsia="zh-CN"/>
        </w:rPr>
        <w:t>以上</w:t>
      </w:r>
      <w:r>
        <w:rPr>
          <w:rFonts w:hint="eastAsia" w:ascii="仿宋" w:hAnsi="仿宋" w:eastAsia="仿宋" w:cs="仿宋"/>
          <w:color w:val="000000" w:themeColor="text1"/>
          <w:sz w:val="32"/>
          <w:szCs w:val="32"/>
        </w:rPr>
        <w:t>，苏木乡镇上网宽带达到千兆以上、嘎查村达到百兆以上，有线宽带难以覆盖的偏远地区，作为补充的无线宽带达到20兆以上。</w:t>
      </w:r>
    </w:p>
    <w:p>
      <w:pPr>
        <w:pStyle w:val="2"/>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color w:val="FF0000"/>
          <w:sz w:val="32"/>
          <w:szCs w:val="32"/>
        </w:rPr>
      </w:pPr>
      <w:r>
        <w:rPr>
          <w:rFonts w:hint="eastAsia" w:ascii="仿宋" w:hAnsi="仿宋" w:eastAsia="仿宋" w:cs="仿宋"/>
          <w:b/>
          <w:bCs/>
          <w:sz w:val="32"/>
          <w:szCs w:val="32"/>
        </w:rPr>
        <w:t>加强物流基础设施建设。</w:t>
      </w:r>
      <w:r>
        <w:rPr>
          <w:rFonts w:hint="eastAsia" w:ascii="仿宋" w:hAnsi="仿宋" w:eastAsia="仿宋" w:cs="仿宋"/>
          <w:color w:val="000000" w:themeColor="text1"/>
          <w:sz w:val="32"/>
          <w:szCs w:val="32"/>
        </w:rPr>
        <w:t>完善旗县、苏木乡镇、嘎查村三级物流配送体系，补齐物流发展需要的基地、分拨、配送、冷链、仓储等基础设施短板。发展农村牧区物流网络体系，建设集客货运、邮政快递、电商于一体的</w:t>
      </w:r>
      <w:r>
        <w:rPr>
          <w:rFonts w:hint="eastAsia" w:ascii="仿宋" w:hAnsi="仿宋" w:eastAsia="仿宋" w:cs="仿宋"/>
          <w:color w:val="000000" w:themeColor="text1"/>
          <w:sz w:val="32"/>
          <w:szCs w:val="32"/>
          <w:lang w:eastAsia="zh-CN"/>
        </w:rPr>
        <w:t>苏木</w:t>
      </w:r>
      <w:r>
        <w:rPr>
          <w:rFonts w:hint="eastAsia" w:ascii="仿宋" w:hAnsi="仿宋" w:eastAsia="仿宋" w:cs="仿宋"/>
          <w:color w:val="000000" w:themeColor="text1"/>
          <w:sz w:val="32"/>
          <w:szCs w:val="32"/>
        </w:rPr>
        <w:t>乡镇综合运输服务站。改进提升农贸市场等传统流通网点现有设施设备，拓展</w:t>
      </w:r>
      <w:r>
        <w:rPr>
          <w:rFonts w:hint="eastAsia" w:ascii="仿宋" w:hAnsi="仿宋" w:eastAsia="仿宋" w:cs="仿宋"/>
          <w:color w:val="000000" w:themeColor="text1"/>
          <w:sz w:val="32"/>
          <w:szCs w:val="32"/>
          <w:lang w:eastAsia="zh-CN"/>
        </w:rPr>
        <w:t>运输、</w:t>
      </w:r>
      <w:r>
        <w:rPr>
          <w:rFonts w:hint="eastAsia" w:ascii="仿宋" w:hAnsi="仿宋" w:eastAsia="仿宋" w:cs="仿宋"/>
          <w:color w:val="000000" w:themeColor="text1"/>
          <w:sz w:val="32"/>
          <w:szCs w:val="32"/>
        </w:rPr>
        <w:t>配送等物流服务功能。支持农村牧区客货运场站网络建设和改造，建设面向农村牧区的共同配送中心，创新农村牧区客运和物流配送组织模式。积极发展短途物流和城乡配送，强化县域物流配送中心资源整合、集散中转、仓储配送等功能，推动商贸、快递与物流企业协同协作，着力满足农牧民生产生活消费需求。到</w:t>
      </w:r>
      <w:r>
        <w:rPr>
          <w:rFonts w:hint="eastAsia" w:ascii="仿宋" w:hAnsi="仿宋" w:eastAsia="仿宋" w:cs="仿宋"/>
          <w:sz w:val="32"/>
          <w:szCs w:val="32"/>
        </w:rPr>
        <w:t>2025年，通过建设</w:t>
      </w:r>
      <w:r>
        <w:rPr>
          <w:rFonts w:hint="eastAsia" w:ascii="仿宋" w:hAnsi="仿宋" w:eastAsia="仿宋" w:cs="仿宋"/>
          <w:sz w:val="32"/>
          <w:szCs w:val="32"/>
          <w:lang w:eastAsia="zh-CN"/>
        </w:rPr>
        <w:t>和</w:t>
      </w:r>
      <w:r>
        <w:rPr>
          <w:rFonts w:hint="eastAsia" w:ascii="仿宋" w:hAnsi="仿宋" w:eastAsia="仿宋" w:cs="仿宋"/>
          <w:sz w:val="32"/>
          <w:szCs w:val="32"/>
        </w:rPr>
        <w:t>改造升级一批集运输、仓储、配送、信息为一体的综合物流服务基地，</w:t>
      </w:r>
      <w:r>
        <w:rPr>
          <w:rFonts w:hint="eastAsia" w:ascii="仿宋" w:hAnsi="仿宋" w:eastAsia="仿宋" w:cs="仿宋"/>
          <w:sz w:val="32"/>
          <w:szCs w:val="32"/>
          <w:lang w:eastAsia="zh-CN"/>
        </w:rPr>
        <w:t>农村牧区</w:t>
      </w:r>
      <w:r>
        <w:rPr>
          <w:rFonts w:hint="eastAsia" w:ascii="仿宋" w:hAnsi="仿宋" w:eastAsia="仿宋" w:cs="仿宋"/>
          <w:sz w:val="32"/>
          <w:szCs w:val="32"/>
        </w:rPr>
        <w:t>物流服务体系进一步健全</w:t>
      </w:r>
      <w:r>
        <w:rPr>
          <w:rFonts w:hint="eastAsia" w:ascii="仿宋" w:hAnsi="仿宋" w:eastAsia="仿宋" w:cs="仿宋"/>
          <w:sz w:val="32"/>
          <w:szCs w:val="32"/>
          <w:lang w:eastAsia="zh-CN"/>
        </w:rPr>
        <w:t>、</w:t>
      </w:r>
      <w:r>
        <w:rPr>
          <w:rFonts w:hint="eastAsia" w:ascii="仿宋" w:hAnsi="仿宋" w:eastAsia="仿宋" w:cs="仿宋"/>
          <w:sz w:val="32"/>
          <w:szCs w:val="32"/>
        </w:rPr>
        <w:t>服务能力进一步提高。</w:t>
      </w:r>
    </w:p>
    <w:p>
      <w:pPr>
        <w:pStyle w:val="2"/>
        <w:pageBreakBefore w:val="0"/>
        <w:widowControl w:val="0"/>
        <w:kinsoku/>
        <w:wordWrap/>
        <w:overflowPunct/>
        <w:topLinePunct w:val="0"/>
        <w:autoSpaceDE/>
        <w:autoSpaceDN/>
        <w:bidi w:val="0"/>
        <w:adjustRightInd/>
        <w:snapToGrid/>
        <w:spacing w:after="156" w:afterLines="50" w:line="600" w:lineRule="exact"/>
        <w:ind w:firstLine="643" w:firstLineChars="200"/>
        <w:textAlignment w:val="auto"/>
        <w:rPr>
          <w:rFonts w:ascii="仿宋" w:hAnsi="仿宋" w:eastAsia="仿宋" w:cstheme="minorBidi"/>
          <w:sz w:val="32"/>
          <w:szCs w:val="32"/>
        </w:rPr>
      </w:pPr>
      <w:r>
        <w:rPr>
          <w:rFonts w:hint="eastAsia" w:ascii="仿宋" w:hAnsi="仿宋" w:eastAsia="仿宋" w:cs="仿宋"/>
          <w:b/>
          <w:bCs/>
          <w:sz w:val="32"/>
          <w:szCs w:val="32"/>
        </w:rPr>
        <w:t>加快数字农村牧区建设。</w:t>
      </w:r>
      <w:r>
        <w:rPr>
          <w:rFonts w:hint="eastAsia" w:ascii="仿宋" w:hAnsi="仿宋" w:eastAsia="仿宋" w:cs="仿宋"/>
          <w:color w:val="000000" w:themeColor="text1"/>
          <w:sz w:val="32"/>
          <w:szCs w:val="32"/>
        </w:rPr>
        <w:t>提升农村</w:t>
      </w:r>
      <w:r>
        <w:rPr>
          <w:rFonts w:hint="eastAsia" w:ascii="仿宋" w:hAnsi="仿宋" w:eastAsia="仿宋" w:cstheme="minorBidi"/>
          <w:color w:val="000000" w:themeColor="text1"/>
          <w:sz w:val="32"/>
          <w:szCs w:val="32"/>
        </w:rPr>
        <w:t>牧区数字化服务水平，统筹推进大数据、云计算等技术在政务服务、生态保护以及公共安全监管等领域的应用，打造“一站式”综合便民服务体系。推进</w:t>
      </w:r>
      <w:r>
        <w:rPr>
          <w:rFonts w:hint="eastAsia" w:ascii="仿宋" w:hAnsi="仿宋" w:eastAsia="仿宋" w:cstheme="minorBidi"/>
          <w:color w:val="000000" w:themeColor="text1"/>
          <w:sz w:val="32"/>
          <w:szCs w:val="32"/>
          <w:lang w:eastAsia="zh-CN"/>
        </w:rPr>
        <w:t>数字乡村建设</w:t>
      </w:r>
      <w:r>
        <w:rPr>
          <w:rFonts w:hint="eastAsia" w:ascii="仿宋" w:hAnsi="仿宋" w:eastAsia="仿宋" w:cstheme="minorBidi"/>
          <w:color w:val="000000" w:themeColor="text1"/>
          <w:sz w:val="32"/>
          <w:szCs w:val="32"/>
        </w:rPr>
        <w:t>，提</w:t>
      </w:r>
      <w:r>
        <w:rPr>
          <w:rFonts w:hint="eastAsia" w:ascii="仿宋" w:hAnsi="仿宋" w:eastAsia="仿宋" w:cstheme="minorBidi"/>
          <w:color w:val="000000" w:themeColor="text1"/>
          <w:sz w:val="32"/>
          <w:szCs w:val="32"/>
          <w:lang w:eastAsia="zh-CN"/>
        </w:rPr>
        <w:t>高</w:t>
      </w:r>
      <w:r>
        <w:rPr>
          <w:rFonts w:hint="eastAsia" w:ascii="仿宋" w:hAnsi="仿宋" w:eastAsia="仿宋" w:cstheme="minorBidi"/>
          <w:color w:val="000000" w:themeColor="text1"/>
          <w:sz w:val="32"/>
          <w:szCs w:val="32"/>
        </w:rPr>
        <w:t>“三农三牧”信息服务能力。提升农村牧区数字化管理水平，完善农村牧区网格化管理。</w:t>
      </w:r>
      <w:r>
        <w:rPr>
          <w:rFonts w:hint="eastAsia" w:ascii="仿宋" w:hAnsi="仿宋" w:eastAsia="仿宋" w:cstheme="minorBidi"/>
          <w:sz w:val="32"/>
          <w:szCs w:val="32"/>
        </w:rPr>
        <w:t>到2025年，农村牧区数字化管理服务水平明显提升，数字</w:t>
      </w:r>
      <w:r>
        <w:rPr>
          <w:rFonts w:hint="eastAsia" w:ascii="仿宋" w:hAnsi="仿宋" w:eastAsia="仿宋" w:cstheme="minorBidi"/>
          <w:sz w:val="32"/>
          <w:szCs w:val="32"/>
          <w:lang w:eastAsia="zh-CN"/>
        </w:rPr>
        <w:t>化发展</w:t>
      </w:r>
      <w:r>
        <w:rPr>
          <w:rFonts w:hint="eastAsia" w:ascii="仿宋" w:hAnsi="仿宋" w:eastAsia="仿宋" w:cstheme="minorBidi"/>
          <w:sz w:val="32"/>
          <w:szCs w:val="32"/>
        </w:rPr>
        <w:t>治理体系日趋完善。</w:t>
      </w:r>
    </w:p>
    <w:p>
      <w:pPr>
        <w:pStyle w:val="4"/>
        <w:pageBreakBefore w:val="0"/>
        <w:widowControl w:val="0"/>
        <w:kinsoku/>
        <w:wordWrap/>
        <w:overflowPunct/>
        <w:topLinePunct w:val="0"/>
        <w:autoSpaceDE/>
        <w:autoSpaceDN/>
        <w:bidi w:val="0"/>
        <w:adjustRightInd/>
        <w:snapToGrid/>
        <w:spacing w:before="156" w:beforeLines="50" w:after="156" w:afterLines="50" w:line="600" w:lineRule="exact"/>
        <w:textAlignment w:val="auto"/>
        <w:rPr>
          <w:rFonts w:ascii="Calibri Light" w:hAnsi="Calibri Light" w:cs="Times New Roman"/>
          <w:b w:val="0"/>
          <w:bCs w:val="0"/>
          <w:sz w:val="32"/>
          <w:szCs w:val="32"/>
        </w:rPr>
      </w:pPr>
      <w:bookmarkStart w:id="358" w:name="_Toc17218"/>
      <w:bookmarkStart w:id="359" w:name="_Toc14284"/>
      <w:bookmarkStart w:id="360" w:name="_Toc59000537"/>
      <w:bookmarkStart w:id="361" w:name="_Toc57041408"/>
      <w:bookmarkStart w:id="362" w:name="_Toc676"/>
      <w:bookmarkStart w:id="363" w:name="_Toc32536"/>
      <w:bookmarkStart w:id="364" w:name="_Toc28347"/>
      <w:bookmarkStart w:id="365" w:name="_Toc58870135"/>
      <w:bookmarkStart w:id="366" w:name="_Toc761344192_WPSOffice_Level2"/>
      <w:bookmarkStart w:id="367" w:name="_Toc15707"/>
      <w:r>
        <w:rPr>
          <w:rFonts w:hint="eastAsia" w:ascii="Calibri Light" w:hAnsi="Calibri Light" w:cs="Times New Roman"/>
          <w:b w:val="0"/>
          <w:bCs w:val="0"/>
          <w:sz w:val="32"/>
          <w:szCs w:val="32"/>
        </w:rPr>
        <w:t>第三节</w:t>
      </w:r>
      <w:r>
        <w:rPr>
          <w:rFonts w:ascii="Calibri Light" w:hAnsi="Calibri Light" w:cs="Times New Roman"/>
          <w:b w:val="0"/>
          <w:bCs w:val="0"/>
          <w:sz w:val="32"/>
          <w:szCs w:val="32"/>
        </w:rPr>
        <w:t xml:space="preserve"> </w:t>
      </w:r>
      <w:r>
        <w:rPr>
          <w:rFonts w:hint="eastAsia" w:ascii="Calibri Light" w:hAnsi="Calibri Light" w:cs="Times New Roman"/>
          <w:b w:val="0"/>
          <w:bCs w:val="0"/>
          <w:sz w:val="32"/>
          <w:szCs w:val="32"/>
          <w:lang w:eastAsia="zh-CN"/>
        </w:rPr>
        <w:t>整治</w:t>
      </w:r>
      <w:r>
        <w:rPr>
          <w:rFonts w:hint="eastAsia" w:ascii="Calibri Light" w:hAnsi="Calibri Light" w:cs="Times New Roman"/>
          <w:b w:val="0"/>
          <w:bCs w:val="0"/>
          <w:sz w:val="32"/>
          <w:szCs w:val="32"/>
        </w:rPr>
        <w:t>提升农村牧区人居环境</w:t>
      </w:r>
      <w:bookmarkEnd w:id="358"/>
      <w:bookmarkEnd w:id="359"/>
      <w:bookmarkEnd w:id="360"/>
      <w:bookmarkEnd w:id="361"/>
      <w:bookmarkEnd w:id="362"/>
      <w:bookmarkEnd w:id="363"/>
      <w:bookmarkEnd w:id="364"/>
      <w:bookmarkEnd w:id="365"/>
      <w:bookmarkEnd w:id="366"/>
      <w:bookmarkEnd w:id="367"/>
    </w:p>
    <w:p>
      <w:pPr>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sz w:val="32"/>
          <w:szCs w:val="32"/>
        </w:rPr>
      </w:pPr>
      <w:r>
        <w:rPr>
          <w:rFonts w:hint="eastAsia" w:ascii="仿宋" w:hAnsi="仿宋" w:eastAsia="仿宋" w:cs="仿宋"/>
          <w:b/>
          <w:bCs/>
          <w:sz w:val="32"/>
          <w:szCs w:val="32"/>
        </w:rPr>
        <w:t>持续推进</w:t>
      </w:r>
      <w:r>
        <w:rPr>
          <w:rFonts w:hint="eastAsia" w:ascii="仿宋" w:hAnsi="仿宋" w:eastAsia="仿宋" w:cs="仿宋"/>
          <w:b/>
          <w:bCs/>
          <w:sz w:val="32"/>
          <w:szCs w:val="32"/>
          <w:lang w:eastAsia="zh-CN"/>
        </w:rPr>
        <w:t>农村牧区厕所革命</w:t>
      </w:r>
      <w:r>
        <w:rPr>
          <w:rFonts w:hint="eastAsia" w:ascii="仿宋" w:hAnsi="仿宋" w:eastAsia="仿宋" w:cs="仿宋"/>
          <w:b/>
          <w:bCs/>
          <w:sz w:val="32"/>
          <w:szCs w:val="32"/>
        </w:rPr>
        <w:t>。</w:t>
      </w:r>
      <w:r>
        <w:rPr>
          <w:rFonts w:hint="eastAsia" w:ascii="仿宋" w:hAnsi="仿宋" w:eastAsia="仿宋" w:cs="仿宋"/>
          <w:sz w:val="32"/>
          <w:szCs w:val="32"/>
        </w:rPr>
        <w:t>因地制宜，分类有序推进农村牧区卫生户厕改造工作，加快推进适合干旱、寒冷地区卫生厕所产品的试点试验和应用推广，推</w:t>
      </w:r>
      <w:r>
        <w:rPr>
          <w:rFonts w:hint="eastAsia" w:ascii="仿宋" w:hAnsi="仿宋" w:eastAsia="仿宋" w:cs="仿宋"/>
          <w:sz w:val="32"/>
          <w:szCs w:val="32"/>
          <w:lang w:eastAsia="zh-CN"/>
        </w:rPr>
        <w:t>动</w:t>
      </w:r>
      <w:r>
        <w:rPr>
          <w:rFonts w:hint="eastAsia" w:ascii="仿宋" w:hAnsi="仿宋" w:eastAsia="仿宋" w:cs="仿宋"/>
          <w:sz w:val="32"/>
          <w:szCs w:val="32"/>
        </w:rPr>
        <w:t>农村牧区厕所革命与生活污水治理有机衔接，鼓励联户、联村、村镇一体处理，健全适宜性、区域性卫生厕所技术标准体系。对于具备旅游发展条件的地区，通过政策引导、资金补助、标准规范等手段推进旅游厕所建设。到2025年，全盟农村牧区“厕所革命”取得积极进展，卫生厕所普及率逐步提高。</w:t>
      </w:r>
    </w:p>
    <w:p>
      <w:pPr>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sz w:val="32"/>
          <w:szCs w:val="32"/>
        </w:rPr>
      </w:pPr>
      <w:r>
        <w:rPr>
          <w:rFonts w:hint="eastAsia" w:ascii="仿宋" w:hAnsi="仿宋" w:eastAsia="仿宋" w:cs="仿宋"/>
          <w:b/>
          <w:bCs/>
          <w:sz w:val="32"/>
          <w:szCs w:val="32"/>
          <w:lang w:eastAsia="zh-CN"/>
        </w:rPr>
        <w:t>梯次</w:t>
      </w:r>
      <w:r>
        <w:rPr>
          <w:rFonts w:hint="eastAsia" w:ascii="仿宋" w:hAnsi="仿宋" w:eastAsia="仿宋" w:cs="仿宋"/>
          <w:b/>
          <w:bCs/>
          <w:sz w:val="32"/>
          <w:szCs w:val="32"/>
        </w:rPr>
        <w:t>推进农村牧区生活污水和垃圾处理。</w:t>
      </w:r>
      <w:r>
        <w:rPr>
          <w:rFonts w:hint="eastAsia" w:ascii="仿宋" w:hAnsi="仿宋" w:eastAsia="仿宋" w:cs="仿宋"/>
          <w:sz w:val="32"/>
          <w:szCs w:val="32"/>
        </w:rPr>
        <w:t>重点解决人口密集地区、环境敏感地区、生态保护区的污水治理问题，因地制宜建设污水处理设施。巩固垃圾分类和资源化利用试点成果，探索推广符合农村牧区特点和农牧民习惯、简便易行的分类处理模式。加强农村牧区生活垃圾收运处置设施建设，因地制宜推广符合环保要求的垃圾焚烧处理设施，建立健全旗县、苏木乡镇、嘎查村三级垃圾收运处置体系。到2025年，全盟农村牧区生活垃圾收运处置体系覆盖面不断扩大，农村牧区生活污水治理水平稳步提升，乱倒乱排现象得到有效管控。</w:t>
      </w:r>
    </w:p>
    <w:p>
      <w:pPr>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sz w:val="32"/>
          <w:szCs w:val="32"/>
        </w:rPr>
      </w:pPr>
      <w:r>
        <w:rPr>
          <w:rFonts w:hint="eastAsia" w:ascii="仿宋" w:hAnsi="仿宋" w:eastAsia="仿宋" w:cs="仿宋"/>
          <w:b/>
          <w:bCs/>
          <w:sz w:val="32"/>
          <w:szCs w:val="32"/>
        </w:rPr>
        <w:t>整体提升村容村貌。</w:t>
      </w:r>
      <w:r>
        <w:rPr>
          <w:rFonts w:hint="eastAsia" w:ascii="仿宋" w:hAnsi="仿宋" w:eastAsia="仿宋" w:cs="仿宋"/>
          <w:sz w:val="32"/>
          <w:szCs w:val="32"/>
        </w:rPr>
        <w:t>推进以“清四堆、治四乱、创四有”为主要内容的村庄清洁行动和绿化行动，建设一批农村牧区人居环境整治提升示范旗县。加快推进通村组道路建设，整治公共空间和庭院环境，大力提升农村牧区建筑风貌，推进嘎查村绿化。广泛开展爱国卫生创建活动</w:t>
      </w:r>
      <w:r>
        <w:rPr>
          <w:rFonts w:hint="eastAsia" w:ascii="仿宋" w:hAnsi="仿宋" w:eastAsia="仿宋" w:cs="仿宋"/>
          <w:sz w:val="32"/>
          <w:szCs w:val="32"/>
          <w:lang w:eastAsia="zh-CN"/>
        </w:rPr>
        <w:t>，</w:t>
      </w:r>
      <w:r>
        <w:rPr>
          <w:rFonts w:hint="eastAsia" w:ascii="仿宋" w:hAnsi="仿宋" w:eastAsia="仿宋" w:cs="仿宋"/>
          <w:sz w:val="32"/>
          <w:szCs w:val="32"/>
        </w:rPr>
        <w:t>提升环境卫生规范化和精细化管理水平。</w:t>
      </w:r>
      <w:r>
        <w:rPr>
          <w:rFonts w:hint="eastAsia" w:ascii="仿宋" w:hAnsi="仿宋" w:eastAsia="仿宋" w:cs="仿宋"/>
          <w:color w:val="000000" w:themeColor="text1"/>
          <w:sz w:val="32"/>
          <w:szCs w:val="32"/>
        </w:rPr>
        <w:t>开展农村牧区房屋安全隐患排查整治，提高</w:t>
      </w:r>
      <w:r>
        <w:rPr>
          <w:rFonts w:hint="eastAsia" w:ascii="仿宋" w:hAnsi="仿宋" w:eastAsia="仿宋" w:cs="仿宋"/>
          <w:color w:val="000000" w:themeColor="text1"/>
          <w:sz w:val="32"/>
          <w:szCs w:val="32"/>
          <w:lang w:eastAsia="zh-CN"/>
        </w:rPr>
        <w:t>房屋</w:t>
      </w:r>
      <w:r>
        <w:rPr>
          <w:rFonts w:hint="eastAsia" w:ascii="仿宋" w:hAnsi="仿宋" w:eastAsia="仿宋" w:cs="仿宋"/>
          <w:color w:val="000000" w:themeColor="text1"/>
          <w:sz w:val="32"/>
          <w:szCs w:val="32"/>
        </w:rPr>
        <w:t>设计水平和建设质量，继续实施农村牧区危房改造，</w:t>
      </w:r>
      <w:r>
        <w:rPr>
          <w:rFonts w:hint="eastAsia" w:ascii="仿宋" w:hAnsi="仿宋" w:eastAsia="仿宋" w:cs="仿宋"/>
          <w:sz w:val="32"/>
          <w:szCs w:val="32"/>
        </w:rPr>
        <w:t>统筹住房、辅房、院落等功能，精心调配空间布局，既体现美观性又体现适用性。</w:t>
      </w:r>
    </w:p>
    <w:p>
      <w:pPr>
        <w:pageBreakBefore w:val="0"/>
        <w:widowControl w:val="0"/>
        <w:kinsoku/>
        <w:wordWrap/>
        <w:overflowPunct/>
        <w:topLinePunct w:val="0"/>
        <w:autoSpaceDE/>
        <w:autoSpaceDN/>
        <w:bidi w:val="0"/>
        <w:adjustRightInd/>
        <w:snapToGrid/>
        <w:spacing w:after="156" w:afterLines="50" w:line="600" w:lineRule="exact"/>
        <w:ind w:firstLine="643" w:firstLineChars="200"/>
        <w:textAlignment w:val="auto"/>
        <w:rPr>
          <w:rFonts w:ascii="仿宋" w:hAnsi="仿宋" w:eastAsia="仿宋" w:cstheme="minorBidi"/>
          <w:sz w:val="32"/>
          <w:szCs w:val="32"/>
        </w:rPr>
      </w:pPr>
      <w:r>
        <w:rPr>
          <w:rFonts w:hint="eastAsia" w:ascii="仿宋" w:hAnsi="仿宋" w:eastAsia="仿宋" w:cs="仿宋"/>
          <w:b/>
          <w:bCs/>
          <w:sz w:val="32"/>
          <w:szCs w:val="32"/>
        </w:rPr>
        <w:t>不断完善建设和管护机制。</w:t>
      </w:r>
      <w:r>
        <w:rPr>
          <w:rFonts w:hint="eastAsia" w:ascii="仿宋" w:hAnsi="仿宋" w:eastAsia="仿宋" w:cs="仿宋"/>
          <w:sz w:val="32"/>
          <w:szCs w:val="32"/>
        </w:rPr>
        <w:t>建立健全村庄道路、供排水、垃圾和污水处理、卫生户厕、农牧业生产废弃物资源化利用和村庄绿化等长效管护制度</w:t>
      </w:r>
      <w:r>
        <w:rPr>
          <w:rFonts w:hint="eastAsia" w:ascii="仿宋" w:hAnsi="仿宋" w:eastAsia="仿宋" w:cs="仿宋"/>
          <w:sz w:val="32"/>
          <w:szCs w:val="32"/>
          <w:lang w:eastAsia="zh-CN"/>
        </w:rPr>
        <w:t>，</w:t>
      </w:r>
      <w:r>
        <w:rPr>
          <w:rFonts w:hint="eastAsia" w:ascii="仿宋" w:hAnsi="仿宋" w:eastAsia="仿宋" w:cs="仿宋"/>
          <w:sz w:val="32"/>
          <w:szCs w:val="32"/>
        </w:rPr>
        <w:t>进一步完善有</w:t>
      </w:r>
      <w:r>
        <w:rPr>
          <w:rFonts w:hint="eastAsia" w:ascii="仿宋" w:hAnsi="仿宋" w:eastAsia="仿宋" w:cstheme="minorBidi"/>
          <w:sz w:val="32"/>
          <w:szCs w:val="32"/>
        </w:rPr>
        <w:t>制度、有标准、有队伍、有督查、有经费的嘎查村人居环境管护长效机制。加强人居环境整治工作后续管护基础设施建设，支持有条件的地区推行城乡垃圾污水处理统一规划、统一建设、统一运行、统一管理。积极探索市场化与公益性相结合的服务运营方式，</w:t>
      </w:r>
      <w:r>
        <w:rPr>
          <w:rFonts w:hint="eastAsia" w:ascii="仿宋" w:hAnsi="仿宋" w:eastAsia="仿宋" w:cstheme="minorBidi"/>
          <w:sz w:val="32"/>
          <w:szCs w:val="32"/>
          <w:lang w:eastAsia="zh-CN"/>
        </w:rPr>
        <w:t>明确</w:t>
      </w:r>
      <w:r>
        <w:rPr>
          <w:rFonts w:hint="eastAsia" w:ascii="仿宋" w:hAnsi="仿宋" w:eastAsia="仿宋" w:cstheme="minorBidi"/>
          <w:sz w:val="32"/>
          <w:szCs w:val="32"/>
        </w:rPr>
        <w:t>人居环境整治工作社会化服务的主攻方向和示范模式，逐步将人居环境整治各项工作纳入社会化服务范围。</w:t>
      </w:r>
    </w:p>
    <w:p>
      <w:pPr>
        <w:pStyle w:val="4"/>
        <w:pageBreakBefore w:val="0"/>
        <w:widowControl w:val="0"/>
        <w:kinsoku/>
        <w:wordWrap/>
        <w:overflowPunct/>
        <w:topLinePunct w:val="0"/>
        <w:autoSpaceDE/>
        <w:autoSpaceDN/>
        <w:bidi w:val="0"/>
        <w:adjustRightInd/>
        <w:snapToGrid/>
        <w:spacing w:before="156" w:beforeLines="50" w:after="156" w:afterLines="50" w:line="600" w:lineRule="exact"/>
        <w:textAlignment w:val="auto"/>
        <w:rPr>
          <w:rFonts w:ascii="Calibri Light" w:hAnsi="Calibri Light" w:cs="Times New Roman"/>
          <w:b w:val="0"/>
          <w:bCs w:val="0"/>
          <w:sz w:val="32"/>
          <w:szCs w:val="32"/>
        </w:rPr>
      </w:pPr>
      <w:bookmarkStart w:id="368" w:name="_Toc8102"/>
      <w:bookmarkStart w:id="369" w:name="_Toc8906"/>
      <w:bookmarkStart w:id="370" w:name="_Toc877078608_WPSOffice_Level2"/>
      <w:bookmarkStart w:id="371" w:name="_Toc32096"/>
      <w:bookmarkStart w:id="372" w:name="_Toc3514"/>
      <w:bookmarkStart w:id="373" w:name="_Toc58870153"/>
      <w:bookmarkStart w:id="374" w:name="_Toc59000540"/>
      <w:bookmarkStart w:id="375" w:name="_Toc14913"/>
      <w:bookmarkStart w:id="376" w:name="_Toc29012"/>
      <w:bookmarkStart w:id="377" w:name="_Toc57041409"/>
      <w:r>
        <w:rPr>
          <w:rFonts w:hint="eastAsia" w:ascii="Calibri Light" w:hAnsi="Calibri Light" w:cs="Times New Roman"/>
          <w:b w:val="0"/>
          <w:bCs w:val="0"/>
          <w:sz w:val="32"/>
          <w:szCs w:val="32"/>
        </w:rPr>
        <w:t>第四节 加强农村牧区生态文明建设</w:t>
      </w:r>
      <w:bookmarkEnd w:id="368"/>
      <w:bookmarkEnd w:id="369"/>
      <w:bookmarkEnd w:id="370"/>
      <w:bookmarkEnd w:id="371"/>
      <w:bookmarkEnd w:id="372"/>
    </w:p>
    <w:p>
      <w:pPr>
        <w:pStyle w:val="2"/>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sz w:val="32"/>
          <w:szCs w:val="32"/>
        </w:rPr>
      </w:pPr>
      <w:bookmarkStart w:id="378" w:name="_Toc58870139"/>
      <w:r>
        <w:rPr>
          <w:rFonts w:hint="eastAsia" w:ascii="仿宋" w:hAnsi="仿宋" w:eastAsia="仿宋" w:cs="仿宋"/>
          <w:b/>
          <w:bCs/>
          <w:sz w:val="32"/>
          <w:szCs w:val="32"/>
        </w:rPr>
        <w:t>修复保护生态系统。</w:t>
      </w:r>
      <w:r>
        <w:rPr>
          <w:rFonts w:hint="eastAsia" w:ascii="仿宋" w:hAnsi="仿宋" w:eastAsia="仿宋" w:cs="仿宋"/>
          <w:sz w:val="32"/>
          <w:szCs w:val="32"/>
        </w:rPr>
        <w:t>全面推进生态文明建设示范盟创建，加强自然生态系统保护，完善草原生态补奖政策，落实禁牧、休牧、草畜平衡制度，严禁在草原上乱采盗挖，严禁新开露天矿山，认真执行“草原三区管控”要求。统筹山水林田湖草</w:t>
      </w:r>
      <w:r>
        <w:rPr>
          <w:rFonts w:hint="eastAsia" w:ascii="仿宋" w:hAnsi="仿宋" w:eastAsia="仿宋" w:cs="仿宋"/>
          <w:sz w:val="32"/>
          <w:szCs w:val="32"/>
          <w:lang w:eastAsia="zh-CN"/>
        </w:rPr>
        <w:t>沙</w:t>
      </w:r>
      <w:r>
        <w:rPr>
          <w:rFonts w:hint="eastAsia" w:ascii="仿宋" w:hAnsi="仿宋" w:eastAsia="仿宋" w:cs="仿宋"/>
          <w:sz w:val="32"/>
          <w:szCs w:val="32"/>
        </w:rPr>
        <w:t>综合系统治理，继续实施京津沙源治理工程、退耕还林还草、水土保持综合治理、天然林资源保护、草原生态修复治理等重点生态建设工程，加强生态保护与建设。强化河（湖、林）长制度，加强河流、湖泊、森林生态保护和治理。推动农牧业农村牧区减排固碳，积极发展富碳农业、富碳草业，开展农牧业农村牧区可再生能源替代示范。</w:t>
      </w:r>
    </w:p>
    <w:p>
      <w:pPr>
        <w:pStyle w:val="2"/>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sz w:val="32"/>
          <w:szCs w:val="32"/>
        </w:rPr>
      </w:pPr>
      <w:r>
        <w:rPr>
          <w:rFonts w:hint="eastAsia" w:ascii="仿宋" w:hAnsi="仿宋" w:eastAsia="仿宋" w:cs="仿宋"/>
          <w:b/>
          <w:bCs/>
          <w:sz w:val="32"/>
          <w:szCs w:val="32"/>
        </w:rPr>
        <w:t>加强资源保护</w:t>
      </w:r>
      <w:r>
        <w:rPr>
          <w:rFonts w:hint="eastAsia" w:ascii="仿宋" w:hAnsi="仿宋" w:eastAsia="仿宋" w:cs="仿宋"/>
          <w:b/>
          <w:bCs/>
          <w:sz w:val="32"/>
          <w:szCs w:val="32"/>
          <w:lang w:eastAsia="zh-CN"/>
        </w:rPr>
        <w:t>利用</w:t>
      </w:r>
      <w:r>
        <w:rPr>
          <w:rFonts w:hint="eastAsia" w:ascii="仿宋" w:hAnsi="仿宋" w:eastAsia="仿宋" w:cs="仿宋"/>
          <w:b/>
          <w:bCs/>
          <w:sz w:val="32"/>
          <w:szCs w:val="32"/>
        </w:rPr>
        <w:t>。</w:t>
      </w:r>
      <w:r>
        <w:rPr>
          <w:rFonts w:hint="eastAsia" w:ascii="仿宋" w:hAnsi="仿宋" w:eastAsia="仿宋" w:cs="仿宋"/>
          <w:sz w:val="32"/>
          <w:szCs w:val="32"/>
        </w:rPr>
        <w:t>深入推进农业水价综合改革，健全节水激励机制，建立量水而行、以水定产的农</w:t>
      </w:r>
      <w:r>
        <w:rPr>
          <w:rFonts w:hint="eastAsia" w:ascii="仿宋" w:hAnsi="仿宋" w:eastAsia="仿宋" w:cs="仿宋"/>
          <w:sz w:val="32"/>
          <w:szCs w:val="32"/>
          <w:lang w:eastAsia="zh-CN"/>
        </w:rPr>
        <w:t>牧</w:t>
      </w:r>
      <w:r>
        <w:rPr>
          <w:rFonts w:hint="eastAsia" w:ascii="仿宋" w:hAnsi="仿宋" w:eastAsia="仿宋" w:cs="仿宋"/>
          <w:sz w:val="32"/>
          <w:szCs w:val="32"/>
        </w:rPr>
        <w:t>业用水制度。因地制宜发展微喷灌等高效节水灌溉，改造传统井灌区，实施水肥一体化等高效节水灌溉工程。健全耕地轮作休耕制度，开展渔业增殖放流，加强生物多样性保护</w:t>
      </w:r>
      <w:r>
        <w:rPr>
          <w:rFonts w:hint="eastAsia" w:ascii="仿宋" w:hAnsi="仿宋" w:eastAsia="仿宋" w:cs="仿宋"/>
          <w:sz w:val="32"/>
          <w:szCs w:val="32"/>
          <w:lang w:eastAsia="zh-CN"/>
        </w:rPr>
        <w:t>，</w:t>
      </w:r>
      <w:r>
        <w:rPr>
          <w:rFonts w:hint="eastAsia" w:ascii="仿宋" w:hAnsi="仿宋" w:eastAsia="仿宋" w:cs="仿宋"/>
          <w:sz w:val="32"/>
          <w:szCs w:val="32"/>
        </w:rPr>
        <w:t>强化外来入侵物种防控。因地制宜推广畜禽养殖废弃</w:t>
      </w:r>
      <w:r>
        <w:rPr>
          <w:rFonts w:hint="eastAsia" w:ascii="仿宋" w:hAnsi="仿宋" w:eastAsia="仿宋" w:cs="Times New Roman"/>
          <w:sz w:val="32"/>
          <w:szCs w:val="32"/>
        </w:rPr>
        <w:t>物综合利用模式，推动粪肥科学还田，构建种养结合、农牧循环发展机制。以农作物秸秆肥料化和饲料化利用为重点，推动形成收、储、运、用技术模式。</w:t>
      </w:r>
      <w:r>
        <w:rPr>
          <w:rFonts w:hint="eastAsia" w:ascii="Times New Roman" w:hAnsi="Times New Roman" w:eastAsia="仿宋" w:cs="Times New Roman"/>
          <w:sz w:val="32"/>
          <w:szCs w:val="32"/>
        </w:rPr>
        <w:t>加强化肥、农药、兽药及饲料质量安全管理</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通过结构调整、地力提升、精准施肥</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实现化肥</w:t>
      </w:r>
      <w:r>
        <w:rPr>
          <w:rFonts w:hint="eastAsia" w:ascii="Times New Roman" w:hAnsi="Times New Roman" w:eastAsia="仿宋" w:cs="Times New Roman"/>
          <w:sz w:val="32"/>
          <w:szCs w:val="32"/>
          <w:lang w:eastAsia="zh-CN"/>
        </w:rPr>
        <w:t>农药</w:t>
      </w:r>
      <w:r>
        <w:rPr>
          <w:rFonts w:hint="eastAsia" w:ascii="Times New Roman" w:hAnsi="Times New Roman" w:eastAsia="仿宋" w:cs="Times New Roman"/>
          <w:sz w:val="32"/>
          <w:szCs w:val="32"/>
        </w:rPr>
        <w:t>使用量零增长。全面推行</w:t>
      </w:r>
      <w:r>
        <w:rPr>
          <w:rFonts w:hint="eastAsia" w:ascii="仿宋" w:hAnsi="仿宋" w:eastAsia="仿宋" w:cs="仿宋"/>
          <w:sz w:val="32"/>
          <w:szCs w:val="32"/>
        </w:rPr>
        <w:t>国标地膜，逐步建立地膜回收储运体系，探索建立地膜回收机制。到2025年，</w:t>
      </w:r>
      <w:r>
        <w:rPr>
          <w:rFonts w:hint="eastAsia" w:ascii="仿宋" w:hAnsi="仿宋" w:eastAsia="仿宋" w:cs="Times New Roman"/>
          <w:sz w:val="32"/>
          <w:szCs w:val="32"/>
        </w:rPr>
        <w:t>畜禽粪污资源化利用率</w:t>
      </w:r>
      <w:r>
        <w:rPr>
          <w:rFonts w:hint="eastAsia" w:ascii="仿宋" w:hAnsi="仿宋" w:eastAsia="仿宋" w:cs="Times New Roman"/>
          <w:sz w:val="32"/>
          <w:szCs w:val="32"/>
          <w:lang w:eastAsia="zh-CN"/>
        </w:rPr>
        <w:t>达到</w:t>
      </w:r>
      <w:r>
        <w:rPr>
          <w:rFonts w:hint="eastAsia" w:ascii="仿宋" w:hAnsi="仿宋" w:eastAsia="仿宋" w:cs="Times New Roman"/>
          <w:sz w:val="32"/>
          <w:szCs w:val="32"/>
        </w:rPr>
        <w:t>83%以上，秸秆综合利用率</w:t>
      </w:r>
      <w:r>
        <w:rPr>
          <w:rFonts w:hint="eastAsia" w:ascii="仿宋" w:hAnsi="仿宋" w:eastAsia="仿宋" w:cs="Times New Roman"/>
          <w:sz w:val="32"/>
          <w:szCs w:val="32"/>
          <w:lang w:eastAsia="zh-CN"/>
        </w:rPr>
        <w:t>达到</w:t>
      </w:r>
      <w:r>
        <w:rPr>
          <w:rFonts w:hint="eastAsia" w:ascii="仿宋" w:hAnsi="仿宋" w:eastAsia="仿宋" w:cs="Times New Roman"/>
          <w:sz w:val="32"/>
          <w:szCs w:val="32"/>
        </w:rPr>
        <w:t>90%以上</w:t>
      </w:r>
      <w:r>
        <w:rPr>
          <w:rFonts w:hint="eastAsia" w:ascii="Times New Roman" w:hAnsi="Times New Roman" w:eastAsia="仿宋" w:cs="Times New Roman"/>
          <w:sz w:val="32"/>
          <w:szCs w:val="32"/>
          <w:lang w:eastAsia="zh-CN"/>
        </w:rPr>
        <w:t>，</w:t>
      </w:r>
      <w:r>
        <w:rPr>
          <w:rFonts w:hint="eastAsia" w:ascii="仿宋" w:hAnsi="仿宋" w:eastAsia="仿宋" w:cs="仿宋"/>
          <w:sz w:val="32"/>
          <w:szCs w:val="32"/>
        </w:rPr>
        <w:t>当季农膜回收率达到85%。</w:t>
      </w:r>
    </w:p>
    <w:tbl>
      <w:tblPr>
        <w:tblStyle w:val="26"/>
        <w:tblW w:w="8522"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shd w:val="clear" w:color="auto" w:fill="FFFFFF" w:themeFill="background1"/>
        <w:tblLayout w:type="fixed"/>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655" w:hRule="atLeast"/>
          <w:jc w:val="center"/>
        </w:trPr>
        <w:tc>
          <w:tcPr>
            <w:tcW w:w="8522" w:type="dxa"/>
            <w:tcBorders>
              <w:bottom w:val="single" w:color="auto" w:sz="4" w:space="0"/>
              <w:tl2br w:val="nil"/>
              <w:tr2bl w:val="nil"/>
            </w:tcBorders>
            <w:shd w:val="clear" w:color="auto" w:fill="FFFFFF" w:themeFill="background1"/>
          </w:tcPr>
          <w:p>
            <w:pPr>
              <w:spacing w:line="540" w:lineRule="exact"/>
              <w:ind w:left="210" w:right="210"/>
              <w:jc w:val="center"/>
              <w:rPr>
                <w:rFonts w:hint="eastAsia" w:ascii="宋体" w:hAnsi="宋体" w:eastAsia="黑体"/>
                <w:kern w:val="0"/>
                <w:sz w:val="28"/>
                <w:szCs w:val="28"/>
                <w:lang w:eastAsia="zh-CN"/>
              </w:rPr>
            </w:pPr>
            <w:r>
              <w:rPr>
                <w:rFonts w:hint="eastAsia" w:ascii="黑体" w:hAnsi="黑体" w:eastAsia="黑体" w:cs="黑体"/>
                <w:b w:val="0"/>
                <w:bCs w:val="0"/>
                <w:kern w:val="0"/>
                <w:sz w:val="28"/>
                <w:szCs w:val="28"/>
              </w:rPr>
              <w:t xml:space="preserve">专栏5  </w:t>
            </w:r>
            <w:r>
              <w:rPr>
                <w:rFonts w:hint="eastAsia" w:ascii="黑体" w:hAnsi="黑体" w:eastAsia="黑体" w:cs="黑体"/>
                <w:b w:val="0"/>
                <w:bCs w:val="0"/>
                <w:kern w:val="0"/>
                <w:sz w:val="28"/>
                <w:szCs w:val="28"/>
                <w:lang w:eastAsia="zh-CN"/>
              </w:rPr>
              <w:t>农村牧区公共基础设施建设工程</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jc w:val="center"/>
        </w:trPr>
        <w:tc>
          <w:tcPr>
            <w:tcW w:w="8522" w:type="dxa"/>
            <w:tcBorders>
              <w:top w:val="single" w:color="auto" w:sz="4" w:space="0"/>
              <w:bottom w:val="single" w:color="auto" w:sz="4" w:space="0"/>
              <w:tl2br w:val="nil"/>
              <w:tr2bl w:val="nil"/>
            </w:tcBorders>
            <w:shd w:val="clear" w:color="auto" w:fill="FFFFFF" w:themeFill="background1"/>
          </w:tcPr>
          <w:p>
            <w:pPr>
              <w:keepNext w:val="0"/>
              <w:keepLines w:val="0"/>
              <w:pageBreakBefore w:val="0"/>
              <w:widowControl/>
              <w:kinsoku/>
              <w:wordWrap/>
              <w:overflowPunct/>
              <w:topLinePunct w:val="0"/>
              <w:autoSpaceDE/>
              <w:autoSpaceDN/>
              <w:bidi w:val="0"/>
              <w:adjustRightInd/>
              <w:snapToGrid/>
              <w:spacing w:line="380" w:lineRule="exact"/>
              <w:ind w:left="210" w:right="210" w:firstLine="480" w:firstLineChars="200"/>
              <w:jc w:val="left"/>
              <w:textAlignment w:val="auto"/>
              <w:rPr>
                <w:rFonts w:ascii="仿宋" w:hAnsi="仿宋" w:eastAsia="仿宋" w:cs="仿宋"/>
                <w:sz w:val="24"/>
              </w:rPr>
            </w:pPr>
            <w:r>
              <w:rPr>
                <w:rFonts w:hint="eastAsia" w:ascii="黑体" w:hAnsi="黑体" w:eastAsia="黑体" w:cs="黑体"/>
                <w:sz w:val="24"/>
              </w:rPr>
              <w:t>1</w:t>
            </w:r>
            <w:r>
              <w:rPr>
                <w:rFonts w:ascii="黑体" w:hAnsi="黑体" w:eastAsia="黑体" w:cs="黑体"/>
                <w:sz w:val="24"/>
              </w:rPr>
              <w:t>.</w:t>
            </w:r>
            <w:r>
              <w:rPr>
                <w:rFonts w:hint="eastAsia" w:ascii="黑体" w:hAnsi="黑体" w:eastAsia="黑体" w:cs="黑体"/>
                <w:sz w:val="24"/>
              </w:rPr>
              <w:t>农村牧区供水保障</w:t>
            </w:r>
            <w:r>
              <w:rPr>
                <w:rFonts w:hint="eastAsia" w:ascii="黑体" w:hAnsi="黑体" w:eastAsia="黑体" w:cs="黑体"/>
                <w:sz w:val="24"/>
                <w:lang w:eastAsia="zh-CN"/>
              </w:rPr>
              <w:t>。</w:t>
            </w:r>
            <w:r>
              <w:rPr>
                <w:rFonts w:hint="eastAsia" w:ascii="仿宋" w:hAnsi="仿宋" w:eastAsia="仿宋" w:cs="仿宋"/>
                <w:sz w:val="24"/>
              </w:rPr>
              <w:t>对人口居住分散的区域，因地制宜建设水源井、储水窖，对于集中式供水工程，采取新建、维修养护、达标改造、应急供水等综合措施，提高供水保障能力。强化水源保护和水质检测监测，确保饮用水安全。落实工程管护责任和维修养护经费，全面建立长效运行管护机制，保障供水工程良性运营。</w:t>
            </w:r>
          </w:p>
          <w:p>
            <w:pPr>
              <w:keepNext w:val="0"/>
              <w:keepLines w:val="0"/>
              <w:pageBreakBefore w:val="0"/>
              <w:widowControl/>
              <w:kinsoku/>
              <w:wordWrap/>
              <w:overflowPunct/>
              <w:topLinePunct w:val="0"/>
              <w:autoSpaceDE/>
              <w:autoSpaceDN/>
              <w:bidi w:val="0"/>
              <w:adjustRightInd/>
              <w:snapToGrid/>
              <w:spacing w:line="380" w:lineRule="exact"/>
              <w:ind w:left="210" w:right="210" w:firstLine="480" w:firstLineChars="200"/>
              <w:jc w:val="left"/>
              <w:textAlignment w:val="auto"/>
              <w:rPr>
                <w:rFonts w:ascii="仿宋" w:hAnsi="仿宋" w:eastAsia="仿宋" w:cs="仿宋"/>
                <w:sz w:val="24"/>
              </w:rPr>
            </w:pPr>
            <w:r>
              <w:rPr>
                <w:rFonts w:hint="eastAsia" w:ascii="黑体" w:hAnsi="黑体" w:eastAsia="黑体" w:cs="黑体"/>
                <w:sz w:val="24"/>
              </w:rPr>
              <w:t>2</w:t>
            </w:r>
            <w:r>
              <w:rPr>
                <w:rFonts w:ascii="黑体" w:hAnsi="黑体" w:eastAsia="黑体" w:cs="黑体"/>
                <w:sz w:val="24"/>
              </w:rPr>
              <w:t>.</w:t>
            </w:r>
            <w:r>
              <w:rPr>
                <w:rFonts w:hint="eastAsia" w:ascii="黑体" w:hAnsi="黑体" w:eastAsia="黑体" w:cs="黑体"/>
                <w:sz w:val="24"/>
              </w:rPr>
              <w:t>农网升级改造</w:t>
            </w:r>
            <w:r>
              <w:rPr>
                <w:rFonts w:hint="eastAsia" w:ascii="黑体" w:hAnsi="黑体" w:eastAsia="黑体" w:cs="黑体"/>
                <w:sz w:val="24"/>
                <w:lang w:eastAsia="zh-CN"/>
              </w:rPr>
              <w:t>。</w:t>
            </w:r>
            <w:r>
              <w:rPr>
                <w:rFonts w:hint="eastAsia" w:ascii="仿宋" w:hAnsi="仿宋" w:eastAsia="仿宋" w:cs="仿宋"/>
                <w:sz w:val="24"/>
              </w:rPr>
              <w:t>优化区域电网结构，提升电网联动水平和带载能力，提高偏远地区供电能力，确保农村牧区供电质量持续提高。重点实施牧区电网改造工程，对具备转网条件的牧户</w:t>
            </w:r>
            <w:r>
              <w:rPr>
                <w:rFonts w:hint="eastAsia" w:ascii="仿宋" w:hAnsi="仿宋" w:eastAsia="仿宋" w:cs="仿宋"/>
                <w:sz w:val="24"/>
                <w:lang w:eastAsia="zh-CN"/>
              </w:rPr>
              <w:t>逐步</w:t>
            </w:r>
            <w:r>
              <w:rPr>
                <w:rFonts w:hint="eastAsia" w:ascii="仿宋" w:hAnsi="仿宋" w:eastAsia="仿宋" w:cs="仿宋"/>
                <w:sz w:val="24"/>
              </w:rPr>
              <w:t>实施通网电，对使用风光互补新能源的牧户积极争取国家、自治区财政补贴支持，对现有设备进行升级改造。</w:t>
            </w:r>
          </w:p>
          <w:p>
            <w:pPr>
              <w:keepNext w:val="0"/>
              <w:keepLines w:val="0"/>
              <w:pageBreakBefore w:val="0"/>
              <w:widowControl/>
              <w:kinsoku/>
              <w:wordWrap/>
              <w:overflowPunct/>
              <w:topLinePunct w:val="0"/>
              <w:autoSpaceDE/>
              <w:autoSpaceDN/>
              <w:bidi w:val="0"/>
              <w:adjustRightInd/>
              <w:snapToGrid/>
              <w:spacing w:line="380" w:lineRule="exact"/>
              <w:ind w:left="210" w:right="210" w:firstLine="480" w:firstLineChars="200"/>
              <w:jc w:val="left"/>
              <w:textAlignment w:val="auto"/>
              <w:rPr>
                <w:rFonts w:hint="eastAsia" w:ascii="仿宋" w:hAnsi="仿宋" w:eastAsia="仿宋" w:cs="仿宋"/>
                <w:sz w:val="24"/>
              </w:rPr>
            </w:pPr>
            <w:r>
              <w:rPr>
                <w:rFonts w:hint="eastAsia" w:ascii="黑体" w:hAnsi="黑体" w:eastAsia="黑体" w:cs="黑体"/>
                <w:sz w:val="24"/>
              </w:rPr>
              <w:t>3</w:t>
            </w:r>
            <w:r>
              <w:rPr>
                <w:rFonts w:ascii="黑体" w:hAnsi="黑体" w:eastAsia="黑体" w:cs="黑体"/>
                <w:sz w:val="24"/>
              </w:rPr>
              <w:t>.</w:t>
            </w:r>
            <w:r>
              <w:rPr>
                <w:rFonts w:hint="eastAsia" w:ascii="黑体" w:hAnsi="黑体" w:eastAsia="黑体" w:cs="黑体"/>
                <w:sz w:val="24"/>
              </w:rPr>
              <w:t>“四好农村路”建设</w:t>
            </w:r>
            <w:r>
              <w:rPr>
                <w:rFonts w:hint="eastAsia" w:ascii="黑体" w:hAnsi="黑体" w:eastAsia="黑体" w:cs="黑体"/>
                <w:sz w:val="24"/>
                <w:lang w:eastAsia="zh-CN"/>
              </w:rPr>
              <w:t>。</w:t>
            </w:r>
            <w:r>
              <w:rPr>
                <w:rFonts w:hint="eastAsia" w:ascii="仿宋" w:hAnsi="仿宋" w:eastAsia="仿宋" w:cs="仿宋"/>
                <w:sz w:val="24"/>
              </w:rPr>
              <w:t>以较大人口规模自然村通硬化路</w:t>
            </w:r>
            <w:r>
              <w:rPr>
                <w:rFonts w:hint="eastAsia" w:ascii="仿宋" w:hAnsi="仿宋" w:eastAsia="仿宋" w:cs="仿宋"/>
                <w:sz w:val="24"/>
                <w:lang w:eastAsia="zh-CN"/>
              </w:rPr>
              <w:t>，</w:t>
            </w:r>
            <w:r>
              <w:rPr>
                <w:rFonts w:hint="eastAsia" w:ascii="仿宋" w:hAnsi="仿宋" w:eastAsia="仿宋" w:cs="仿宋"/>
                <w:sz w:val="24"/>
              </w:rPr>
              <w:t>苏木乡镇、建制嘎查村公路提质升级改造</w:t>
            </w:r>
            <w:r>
              <w:rPr>
                <w:rFonts w:hint="eastAsia" w:ascii="仿宋" w:hAnsi="仿宋" w:eastAsia="仿宋" w:cs="仿宋"/>
                <w:sz w:val="24"/>
                <w:lang w:eastAsia="zh-CN"/>
              </w:rPr>
              <w:t>，</w:t>
            </w:r>
            <w:r>
              <w:rPr>
                <w:rFonts w:hint="eastAsia" w:ascii="仿宋" w:hAnsi="仿宋" w:eastAsia="仿宋" w:cs="仿宋"/>
                <w:sz w:val="24"/>
              </w:rPr>
              <w:t>旅游路资源路产业路和联网路建设为重点</w:t>
            </w:r>
            <w:r>
              <w:rPr>
                <w:rFonts w:hint="eastAsia" w:ascii="仿宋" w:hAnsi="仿宋" w:eastAsia="仿宋" w:cs="仿宋"/>
                <w:sz w:val="24"/>
                <w:lang w:eastAsia="zh-CN"/>
              </w:rPr>
              <w:t>，</w:t>
            </w:r>
            <w:r>
              <w:rPr>
                <w:rFonts w:hint="eastAsia" w:ascii="仿宋" w:hAnsi="仿宋" w:eastAsia="仿宋" w:cs="仿宋"/>
                <w:sz w:val="24"/>
              </w:rPr>
              <w:t>提升农村牧区公路通达深度和通行质量。</w:t>
            </w:r>
          </w:p>
          <w:p>
            <w:pPr>
              <w:keepNext w:val="0"/>
              <w:keepLines w:val="0"/>
              <w:pageBreakBefore w:val="0"/>
              <w:widowControl/>
              <w:kinsoku/>
              <w:wordWrap/>
              <w:overflowPunct/>
              <w:topLinePunct w:val="0"/>
              <w:autoSpaceDE/>
              <w:autoSpaceDN/>
              <w:bidi w:val="0"/>
              <w:adjustRightInd/>
              <w:snapToGrid/>
              <w:spacing w:line="380" w:lineRule="exact"/>
              <w:ind w:left="210" w:right="210" w:firstLine="480" w:firstLineChars="200"/>
              <w:jc w:val="left"/>
              <w:textAlignment w:val="auto"/>
              <w:rPr>
                <w:rFonts w:hint="eastAsia" w:ascii="仿宋" w:hAnsi="仿宋" w:eastAsia="仿宋" w:cs="仿宋"/>
                <w:sz w:val="24"/>
              </w:rPr>
            </w:pPr>
            <w:r>
              <w:rPr>
                <w:rFonts w:hint="eastAsia" w:ascii="黑体" w:hAnsi="黑体" w:eastAsia="黑体" w:cs="黑体"/>
                <w:sz w:val="24"/>
                <w:lang w:val="en-US" w:eastAsia="zh-CN"/>
              </w:rPr>
              <w:t>4.</w:t>
            </w:r>
            <w:r>
              <w:rPr>
                <w:rFonts w:hint="eastAsia" w:ascii="黑体" w:hAnsi="黑体" w:eastAsia="黑体" w:cs="黑体"/>
                <w:sz w:val="24"/>
              </w:rPr>
              <w:t>乡村清洁能源建设。</w:t>
            </w:r>
            <w:r>
              <w:rPr>
                <w:rFonts w:hint="eastAsia" w:ascii="仿宋" w:hAnsi="仿宋" w:eastAsia="仿宋" w:cs="仿宋"/>
                <w:sz w:val="24"/>
                <w:lang w:eastAsia="zh-CN"/>
              </w:rPr>
              <w:t>通过</w:t>
            </w:r>
            <w:r>
              <w:rPr>
                <w:rFonts w:hint="eastAsia" w:ascii="仿宋" w:hAnsi="仿宋" w:eastAsia="仿宋" w:cs="仿宋"/>
                <w:sz w:val="24"/>
              </w:rPr>
              <w:t>持续推进农村牧区电网改造和动力电工程，因地制宜发展农村牧区电供暖、生物质能源清洁供暖。推动供气设施向乡村延伸，积极推动“煤改气”“煤改电”，强化清洁供暖设施建设，推动冬季清洁取暖。</w:t>
            </w:r>
          </w:p>
          <w:p>
            <w:pPr>
              <w:keepNext w:val="0"/>
              <w:keepLines w:val="0"/>
              <w:pageBreakBefore w:val="0"/>
              <w:kinsoku/>
              <w:wordWrap/>
              <w:overflowPunct/>
              <w:topLinePunct w:val="0"/>
              <w:autoSpaceDE/>
              <w:autoSpaceDN/>
              <w:bidi w:val="0"/>
              <w:adjustRightInd/>
              <w:snapToGrid/>
              <w:spacing w:line="380" w:lineRule="exact"/>
              <w:ind w:left="210" w:right="210" w:firstLine="480" w:firstLineChars="200"/>
              <w:textAlignment w:val="auto"/>
              <w:rPr>
                <w:rFonts w:ascii="仿宋" w:hAnsi="仿宋" w:eastAsia="仿宋" w:cs="仿宋"/>
                <w:sz w:val="24"/>
              </w:rPr>
            </w:pPr>
            <w:r>
              <w:rPr>
                <w:rFonts w:hint="eastAsia" w:ascii="黑体" w:hAnsi="黑体" w:eastAsia="黑体" w:cs="黑体"/>
                <w:sz w:val="24"/>
                <w:lang w:val="en-US" w:eastAsia="zh-CN"/>
              </w:rPr>
              <w:t>5</w:t>
            </w:r>
            <w:r>
              <w:rPr>
                <w:rFonts w:ascii="黑体" w:hAnsi="黑体" w:eastAsia="黑体" w:cs="黑体"/>
                <w:sz w:val="24"/>
              </w:rPr>
              <w:t>.</w:t>
            </w:r>
            <w:r>
              <w:rPr>
                <w:rFonts w:hint="eastAsia" w:ascii="黑体" w:hAnsi="黑体" w:eastAsia="黑体" w:cs="黑体"/>
                <w:sz w:val="24"/>
              </w:rPr>
              <w:t>数字乡村建设</w:t>
            </w:r>
            <w:r>
              <w:rPr>
                <w:rFonts w:hint="eastAsia" w:ascii="黑体" w:hAnsi="黑体" w:eastAsia="黑体" w:cs="黑体"/>
                <w:sz w:val="24"/>
                <w:lang w:eastAsia="zh-CN"/>
              </w:rPr>
              <w:t>。</w:t>
            </w:r>
            <w:r>
              <w:rPr>
                <w:rFonts w:hint="eastAsia" w:ascii="仿宋" w:hAnsi="仿宋" w:eastAsia="仿宋" w:cs="仿宋"/>
                <w:sz w:val="24"/>
                <w:lang w:eastAsia="zh-CN"/>
              </w:rPr>
              <w:t>利用互联网、大数据等信息技术，提升农牧业农村牧区信息化、数字化发展水平</w:t>
            </w:r>
            <w:r>
              <w:rPr>
                <w:rFonts w:hint="eastAsia" w:ascii="仿宋" w:hAnsi="仿宋" w:eastAsia="仿宋" w:cs="仿宋"/>
                <w:sz w:val="24"/>
              </w:rPr>
              <w:t>。推进政务信息资源共享开放，</w:t>
            </w:r>
            <w:r>
              <w:rPr>
                <w:rFonts w:hint="eastAsia" w:ascii="仿宋" w:hAnsi="仿宋" w:eastAsia="仿宋" w:cs="仿宋"/>
                <w:sz w:val="24"/>
                <w:lang w:eastAsia="zh-CN"/>
              </w:rPr>
              <w:t>构建</w:t>
            </w:r>
            <w:r>
              <w:rPr>
                <w:rFonts w:hint="eastAsia" w:ascii="仿宋" w:hAnsi="仿宋" w:eastAsia="仿宋" w:cs="仿宋"/>
                <w:sz w:val="24"/>
              </w:rPr>
              <w:t>农村牧区政务信息资源“一张图”。</w:t>
            </w:r>
          </w:p>
          <w:p>
            <w:pPr>
              <w:keepNext w:val="0"/>
              <w:keepLines w:val="0"/>
              <w:pageBreakBefore w:val="0"/>
              <w:widowControl/>
              <w:kinsoku/>
              <w:wordWrap/>
              <w:overflowPunct/>
              <w:topLinePunct w:val="0"/>
              <w:autoSpaceDE/>
              <w:autoSpaceDN/>
              <w:bidi w:val="0"/>
              <w:adjustRightInd/>
              <w:snapToGrid/>
              <w:spacing w:line="380" w:lineRule="exact"/>
              <w:ind w:left="210" w:right="210" w:firstLine="480" w:firstLineChars="200"/>
              <w:jc w:val="left"/>
              <w:textAlignment w:val="auto"/>
              <w:rPr>
                <w:rFonts w:ascii="仿宋" w:hAnsi="仿宋" w:eastAsia="仿宋" w:cs="仿宋"/>
                <w:sz w:val="24"/>
              </w:rPr>
            </w:pPr>
            <w:r>
              <w:rPr>
                <w:rFonts w:hint="eastAsia" w:ascii="黑体" w:hAnsi="黑体" w:eastAsia="黑体" w:cs="黑体"/>
                <w:sz w:val="24"/>
                <w:lang w:val="en-US" w:eastAsia="zh-CN"/>
              </w:rPr>
              <w:t>6</w:t>
            </w:r>
            <w:r>
              <w:rPr>
                <w:rFonts w:ascii="黑体" w:hAnsi="黑体" w:eastAsia="黑体" w:cs="黑体"/>
                <w:sz w:val="24"/>
              </w:rPr>
              <w:t>.</w:t>
            </w:r>
            <w:r>
              <w:rPr>
                <w:rFonts w:hint="eastAsia" w:ascii="黑体" w:hAnsi="黑体" w:eastAsia="黑体" w:cs="黑体"/>
                <w:sz w:val="24"/>
              </w:rPr>
              <w:t>农村牧区“厕所革命”</w:t>
            </w:r>
            <w:r>
              <w:rPr>
                <w:rFonts w:hint="eastAsia" w:ascii="黑体" w:hAnsi="黑体" w:eastAsia="黑体" w:cs="黑体"/>
                <w:sz w:val="24"/>
                <w:lang w:eastAsia="zh-CN"/>
              </w:rPr>
              <w:t>。</w:t>
            </w:r>
            <w:r>
              <w:rPr>
                <w:rFonts w:hint="eastAsia" w:ascii="仿宋" w:hAnsi="仿宋" w:eastAsia="仿宋" w:cs="仿宋"/>
                <w:sz w:val="24"/>
              </w:rPr>
              <w:t>有序推进农村牧区卫生户厕改造工作，加快推进适合干旱、寒冷地区卫生厕所的创新</w:t>
            </w:r>
            <w:r>
              <w:rPr>
                <w:rFonts w:hint="eastAsia" w:ascii="仿宋" w:hAnsi="仿宋" w:eastAsia="仿宋" w:cs="仿宋"/>
                <w:sz w:val="24"/>
                <w:lang w:eastAsia="zh-CN"/>
              </w:rPr>
              <w:t>、</w:t>
            </w:r>
            <w:r>
              <w:rPr>
                <w:rFonts w:hint="eastAsia" w:ascii="仿宋" w:hAnsi="仿宋" w:eastAsia="仿宋" w:cs="仿宋"/>
                <w:sz w:val="24"/>
              </w:rPr>
              <w:t>应用</w:t>
            </w:r>
            <w:r>
              <w:rPr>
                <w:rFonts w:hint="eastAsia" w:ascii="仿宋" w:hAnsi="仿宋" w:eastAsia="仿宋" w:cs="仿宋"/>
                <w:sz w:val="24"/>
                <w:lang w:eastAsia="zh-CN"/>
              </w:rPr>
              <w:t>和</w:t>
            </w:r>
            <w:r>
              <w:rPr>
                <w:rFonts w:hint="eastAsia" w:ascii="仿宋" w:hAnsi="仿宋" w:eastAsia="仿宋" w:cs="仿宋"/>
                <w:sz w:val="24"/>
              </w:rPr>
              <w:t>推广，严格执行卫生户厕技术标准。城市近郊及其他环境容量较小地区的嘎查村，加快推进户用卫生厕所建设和改造，同步实施厕所粪污治理；其他地区按照群众接受、经济适用、使用和维护方便、不污染公共水体的要求，普及不同模式的卫生厕所。</w:t>
            </w:r>
          </w:p>
          <w:p>
            <w:pPr>
              <w:keepNext w:val="0"/>
              <w:keepLines w:val="0"/>
              <w:pageBreakBefore w:val="0"/>
              <w:widowControl/>
              <w:kinsoku/>
              <w:wordWrap/>
              <w:overflowPunct/>
              <w:topLinePunct w:val="0"/>
              <w:autoSpaceDE/>
              <w:autoSpaceDN/>
              <w:bidi w:val="0"/>
              <w:adjustRightInd/>
              <w:snapToGrid/>
              <w:spacing w:line="380" w:lineRule="exact"/>
              <w:ind w:left="210" w:right="210" w:firstLine="480" w:firstLineChars="200"/>
              <w:jc w:val="left"/>
              <w:textAlignment w:val="auto"/>
              <w:rPr>
                <w:rFonts w:ascii="仿宋" w:hAnsi="仿宋" w:eastAsia="仿宋" w:cs="仿宋"/>
                <w:sz w:val="24"/>
              </w:rPr>
            </w:pPr>
            <w:r>
              <w:rPr>
                <w:rFonts w:hint="eastAsia" w:ascii="黑体" w:hAnsi="黑体" w:eastAsia="黑体" w:cs="黑体"/>
                <w:sz w:val="24"/>
                <w:lang w:val="en-US" w:eastAsia="zh-CN"/>
              </w:rPr>
              <w:t>7</w:t>
            </w:r>
            <w:r>
              <w:rPr>
                <w:rFonts w:ascii="黑体" w:hAnsi="黑体" w:eastAsia="黑体" w:cs="黑体"/>
                <w:sz w:val="24"/>
              </w:rPr>
              <w:t>.农村牧区垃圾治理工程</w:t>
            </w:r>
            <w:r>
              <w:rPr>
                <w:rFonts w:hint="eastAsia" w:ascii="黑体" w:hAnsi="黑体" w:eastAsia="黑体" w:cs="黑体"/>
                <w:sz w:val="24"/>
                <w:lang w:eastAsia="zh-CN"/>
              </w:rPr>
              <w:t>。</w:t>
            </w:r>
            <w:r>
              <w:rPr>
                <w:rFonts w:hint="eastAsia" w:ascii="仿宋" w:hAnsi="仿宋" w:eastAsia="仿宋" w:cs="仿宋"/>
                <w:sz w:val="24"/>
              </w:rPr>
              <w:t>因地制宜确定农村牧区生活垃圾处理模式，交通便利且转运距离较近的</w:t>
            </w:r>
            <w:r>
              <w:rPr>
                <w:rFonts w:hint="eastAsia" w:ascii="仿宋" w:hAnsi="仿宋" w:eastAsia="仿宋" w:cs="仿宋"/>
                <w:sz w:val="24"/>
                <w:lang w:eastAsia="zh-CN"/>
              </w:rPr>
              <w:t>地区</w:t>
            </w:r>
            <w:r>
              <w:rPr>
                <w:rFonts w:hint="eastAsia" w:ascii="仿宋" w:hAnsi="仿宋" w:eastAsia="仿宋" w:cs="仿宋"/>
                <w:sz w:val="24"/>
              </w:rPr>
              <w:t>可依托城镇无害化处理设施集中处理，其他</w:t>
            </w:r>
            <w:r>
              <w:rPr>
                <w:rFonts w:hint="eastAsia" w:ascii="仿宋" w:hAnsi="仿宋" w:eastAsia="仿宋" w:cs="仿宋"/>
                <w:sz w:val="24"/>
                <w:lang w:eastAsia="zh-CN"/>
              </w:rPr>
              <w:t>地区</w:t>
            </w:r>
            <w:r>
              <w:rPr>
                <w:rFonts w:hint="eastAsia" w:ascii="仿宋" w:hAnsi="仿宋" w:eastAsia="仿宋" w:cs="仿宋"/>
                <w:sz w:val="24"/>
              </w:rPr>
              <w:t>可就近分散处理。总结推广农村牧区生活垃圾分类和资源化利用示范旗县经验，基本覆盖所有具备条件的旗县。</w:t>
            </w:r>
          </w:p>
          <w:p>
            <w:pPr>
              <w:keepNext w:val="0"/>
              <w:keepLines w:val="0"/>
              <w:pageBreakBefore w:val="0"/>
              <w:widowControl/>
              <w:kinsoku/>
              <w:wordWrap/>
              <w:overflowPunct/>
              <w:topLinePunct w:val="0"/>
              <w:autoSpaceDE/>
              <w:autoSpaceDN/>
              <w:bidi w:val="0"/>
              <w:adjustRightInd/>
              <w:snapToGrid/>
              <w:spacing w:line="380" w:lineRule="exact"/>
              <w:ind w:left="210" w:right="210" w:firstLine="480" w:firstLineChars="200"/>
              <w:jc w:val="left"/>
              <w:textAlignment w:val="auto"/>
              <w:rPr>
                <w:rFonts w:ascii="仿宋" w:hAnsi="仿宋" w:eastAsia="仿宋" w:cs="仿宋"/>
                <w:sz w:val="24"/>
              </w:rPr>
            </w:pPr>
            <w:r>
              <w:rPr>
                <w:rFonts w:hint="eastAsia" w:ascii="黑体" w:hAnsi="黑体" w:eastAsia="黑体" w:cs="黑体"/>
                <w:sz w:val="24"/>
                <w:lang w:val="en-US" w:eastAsia="zh-CN"/>
              </w:rPr>
              <w:t>8</w:t>
            </w:r>
            <w:r>
              <w:rPr>
                <w:rFonts w:ascii="黑体" w:hAnsi="黑体" w:eastAsia="黑体" w:cs="黑体"/>
                <w:sz w:val="24"/>
              </w:rPr>
              <w:t>.农村牧区生活污水治理工程</w:t>
            </w:r>
            <w:r>
              <w:rPr>
                <w:rFonts w:hint="eastAsia" w:ascii="黑体" w:hAnsi="黑体" w:eastAsia="黑体" w:cs="黑体"/>
                <w:sz w:val="24"/>
                <w:lang w:eastAsia="zh-CN"/>
              </w:rPr>
              <w:t>。</w:t>
            </w:r>
            <w:r>
              <w:rPr>
                <w:rFonts w:hint="eastAsia" w:ascii="仿宋" w:hAnsi="仿宋" w:eastAsia="仿宋" w:cs="仿宋"/>
                <w:sz w:val="24"/>
              </w:rPr>
              <w:t>有条件的地区推进城镇污水处理设施和服务向城镇近郊的农村牧区延伸，其他</w:t>
            </w:r>
            <w:r>
              <w:rPr>
                <w:rFonts w:hint="eastAsia" w:ascii="仿宋" w:hAnsi="仿宋" w:eastAsia="仿宋" w:cs="仿宋"/>
                <w:sz w:val="24"/>
                <w:lang w:eastAsia="zh-CN"/>
              </w:rPr>
              <w:t>地区</w:t>
            </w:r>
            <w:r>
              <w:rPr>
                <w:rFonts w:hint="eastAsia" w:ascii="仿宋" w:hAnsi="仿宋" w:eastAsia="仿宋" w:cs="仿宋"/>
                <w:sz w:val="24"/>
              </w:rPr>
              <w:t>以分散处理为主。开展生活污水源头减量和尾水回收利用。</w:t>
            </w:r>
          </w:p>
          <w:p>
            <w:pPr>
              <w:keepNext w:val="0"/>
              <w:keepLines w:val="0"/>
              <w:pageBreakBefore w:val="0"/>
              <w:widowControl/>
              <w:kinsoku/>
              <w:wordWrap/>
              <w:overflowPunct/>
              <w:topLinePunct w:val="0"/>
              <w:autoSpaceDE/>
              <w:autoSpaceDN/>
              <w:bidi w:val="0"/>
              <w:adjustRightInd/>
              <w:snapToGrid/>
              <w:spacing w:line="380" w:lineRule="exact"/>
              <w:ind w:left="210" w:right="210" w:firstLine="480" w:firstLineChars="200"/>
              <w:jc w:val="left"/>
              <w:textAlignment w:val="auto"/>
              <w:rPr>
                <w:rFonts w:hint="eastAsia" w:ascii="仿宋" w:hAnsi="仿宋" w:eastAsia="仿宋" w:cs="仿宋"/>
                <w:sz w:val="24"/>
                <w:lang w:val="en-US" w:eastAsia="zh-CN"/>
              </w:rPr>
            </w:pPr>
            <w:r>
              <w:rPr>
                <w:rFonts w:hint="eastAsia" w:ascii="黑体" w:hAnsi="黑体" w:eastAsia="黑体" w:cs="黑体"/>
                <w:sz w:val="24"/>
                <w:lang w:val="en-US" w:eastAsia="zh-CN"/>
              </w:rPr>
              <w:t>9</w:t>
            </w:r>
            <w:r>
              <w:rPr>
                <w:rFonts w:ascii="黑体" w:hAnsi="黑体" w:eastAsia="黑体" w:cs="黑体"/>
                <w:sz w:val="24"/>
              </w:rPr>
              <w:t>.</w:t>
            </w:r>
            <w:r>
              <w:rPr>
                <w:rFonts w:hint="eastAsia" w:ascii="黑体" w:hAnsi="黑体" w:eastAsia="黑体" w:cs="黑体"/>
                <w:sz w:val="24"/>
                <w:lang w:val="en-US" w:eastAsia="zh-CN"/>
              </w:rPr>
              <w:t>殡葬基础设施建设。</w:t>
            </w:r>
            <w:r>
              <w:rPr>
                <w:rFonts w:hint="eastAsia" w:ascii="仿宋" w:hAnsi="仿宋" w:eastAsia="仿宋" w:cs="仿宋"/>
                <w:sz w:val="24"/>
                <w:lang w:val="en-US" w:eastAsia="zh-CN"/>
              </w:rPr>
              <w:t>交通便利、人口众多、耕地较少的苏木乡镇、嘎查村要结合实际建立农村牧区公益性公墓或骨灰散撒区，不断健全殡葬服务设施。</w:t>
            </w:r>
          </w:p>
          <w:p>
            <w:pPr>
              <w:keepNext w:val="0"/>
              <w:keepLines w:val="0"/>
              <w:pageBreakBefore w:val="0"/>
              <w:widowControl/>
              <w:kinsoku/>
              <w:wordWrap/>
              <w:overflowPunct/>
              <w:topLinePunct w:val="0"/>
              <w:autoSpaceDE/>
              <w:autoSpaceDN/>
              <w:bidi w:val="0"/>
              <w:adjustRightInd/>
              <w:snapToGrid/>
              <w:spacing w:line="380" w:lineRule="exact"/>
              <w:ind w:left="210" w:right="210" w:firstLine="480" w:firstLineChars="200"/>
              <w:jc w:val="left"/>
              <w:textAlignment w:val="auto"/>
            </w:pPr>
            <w:r>
              <w:rPr>
                <w:rFonts w:hint="eastAsia" w:ascii="黑体" w:hAnsi="黑体" w:eastAsia="黑体" w:cs="黑体"/>
                <w:sz w:val="24"/>
                <w:lang w:val="en-US" w:eastAsia="zh-CN"/>
              </w:rPr>
              <w:t>10</w:t>
            </w:r>
            <w:r>
              <w:rPr>
                <w:rFonts w:ascii="黑体" w:hAnsi="黑体" w:eastAsia="黑体" w:cs="黑体"/>
                <w:sz w:val="24"/>
              </w:rPr>
              <w:t>.</w:t>
            </w:r>
            <w:r>
              <w:rPr>
                <w:rFonts w:hint="eastAsia" w:ascii="黑体" w:hAnsi="黑体" w:eastAsia="黑体" w:cs="黑体"/>
                <w:sz w:val="24"/>
              </w:rPr>
              <w:t>畜禽粪污资源化利用工程</w:t>
            </w:r>
            <w:r>
              <w:rPr>
                <w:rFonts w:hint="eastAsia" w:ascii="黑体" w:hAnsi="黑体" w:eastAsia="黑体" w:cs="黑体"/>
                <w:sz w:val="24"/>
                <w:lang w:eastAsia="zh-CN"/>
              </w:rPr>
              <w:t>。</w:t>
            </w:r>
            <w:r>
              <w:rPr>
                <w:rFonts w:hint="eastAsia" w:ascii="仿宋" w:hAnsi="仿宋" w:eastAsia="仿宋" w:cs="仿宋"/>
                <w:sz w:val="24"/>
              </w:rPr>
              <w:t>依托畜禽粪污资源化利用项目，</w:t>
            </w:r>
            <w:r>
              <w:rPr>
                <w:rFonts w:hint="eastAsia" w:ascii="仿宋" w:hAnsi="仿宋" w:eastAsia="仿宋" w:cs="仿宋"/>
                <w:sz w:val="24"/>
                <w:lang w:eastAsia="zh-CN"/>
              </w:rPr>
              <w:t>开展</w:t>
            </w:r>
            <w:r>
              <w:rPr>
                <w:rFonts w:hint="eastAsia" w:ascii="仿宋" w:hAnsi="仿宋" w:eastAsia="仿宋" w:cs="仿宋"/>
                <w:sz w:val="24"/>
              </w:rPr>
              <w:t>粪污资源化利用整旗县推进</w:t>
            </w:r>
            <w:r>
              <w:rPr>
                <w:rFonts w:hint="eastAsia" w:ascii="仿宋" w:hAnsi="仿宋" w:eastAsia="仿宋" w:cs="仿宋"/>
                <w:sz w:val="24"/>
                <w:lang w:eastAsia="zh-CN"/>
              </w:rPr>
              <w:t>工作</w:t>
            </w:r>
            <w:r>
              <w:rPr>
                <w:rFonts w:hint="eastAsia" w:ascii="仿宋" w:hAnsi="仿宋" w:eastAsia="仿宋" w:cs="仿宋"/>
                <w:sz w:val="24"/>
              </w:rPr>
              <w:t>，完善畜禽粪污资源化利用基础设施与配套装备，持续提高畜禽粪污综合利用率。</w:t>
            </w:r>
          </w:p>
        </w:tc>
      </w:tr>
      <w:bookmarkEnd w:id="378"/>
    </w:tbl>
    <w:p>
      <w:pPr>
        <w:pStyle w:val="4"/>
        <w:pageBreakBefore w:val="0"/>
        <w:widowControl w:val="0"/>
        <w:kinsoku/>
        <w:wordWrap/>
        <w:overflowPunct/>
        <w:topLinePunct w:val="0"/>
        <w:autoSpaceDE/>
        <w:autoSpaceDN/>
        <w:bidi w:val="0"/>
        <w:adjustRightInd/>
        <w:snapToGrid/>
        <w:spacing w:before="156" w:beforeLines="50" w:after="156" w:afterLines="50" w:line="600" w:lineRule="exact"/>
        <w:textAlignment w:val="auto"/>
        <w:rPr>
          <w:rFonts w:ascii="Calibri Light" w:hAnsi="Calibri Light" w:cs="Times New Roman"/>
          <w:b w:val="0"/>
          <w:bCs w:val="0"/>
          <w:sz w:val="32"/>
          <w:szCs w:val="32"/>
        </w:rPr>
      </w:pPr>
      <w:bookmarkStart w:id="379" w:name="_Toc1502"/>
      <w:bookmarkStart w:id="380" w:name="_Toc11154"/>
      <w:bookmarkStart w:id="381" w:name="_Toc20196"/>
      <w:bookmarkStart w:id="382" w:name="_Toc5297"/>
      <w:bookmarkStart w:id="383" w:name="_Toc734447694_WPSOffice_Level2"/>
      <w:r>
        <w:rPr>
          <w:rFonts w:hint="eastAsia" w:ascii="Calibri Light" w:hAnsi="Calibri Light" w:cs="Times New Roman"/>
          <w:b w:val="0"/>
          <w:bCs w:val="0"/>
          <w:sz w:val="32"/>
          <w:szCs w:val="32"/>
        </w:rPr>
        <w:t>第五节 提高公共服务供给能力</w:t>
      </w:r>
      <w:bookmarkEnd w:id="373"/>
      <w:bookmarkEnd w:id="374"/>
      <w:bookmarkEnd w:id="379"/>
      <w:bookmarkEnd w:id="380"/>
      <w:bookmarkEnd w:id="381"/>
      <w:bookmarkEnd w:id="382"/>
      <w:bookmarkEnd w:id="383"/>
    </w:p>
    <w:p>
      <w:pPr>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sz w:val="32"/>
          <w:szCs w:val="32"/>
        </w:rPr>
      </w:pPr>
      <w:r>
        <w:rPr>
          <w:rFonts w:hint="eastAsia" w:ascii="仿宋" w:hAnsi="仿宋" w:eastAsia="仿宋" w:cs="仿宋"/>
          <w:b/>
          <w:bCs/>
          <w:sz w:val="32"/>
          <w:szCs w:val="32"/>
        </w:rPr>
        <w:t>优先发展农村牧区教育事业。</w:t>
      </w:r>
      <w:r>
        <w:rPr>
          <w:rFonts w:hint="eastAsia" w:ascii="仿宋" w:hAnsi="仿宋" w:eastAsia="仿宋" w:cs="仿宋"/>
          <w:sz w:val="32"/>
          <w:szCs w:val="32"/>
        </w:rPr>
        <w:t>加强农村牧区普惠性幼儿园建设，</w:t>
      </w:r>
      <w:r>
        <w:rPr>
          <w:rFonts w:hint="eastAsia" w:ascii="仿宋" w:hAnsi="仿宋" w:eastAsia="仿宋" w:cs="仿宋"/>
          <w:sz w:val="32"/>
          <w:szCs w:val="32"/>
          <w:lang w:eastAsia="zh-CN"/>
        </w:rPr>
        <w:t>有需求</w:t>
      </w:r>
      <w:r>
        <w:rPr>
          <w:rFonts w:hint="eastAsia" w:ascii="仿宋" w:hAnsi="仿宋" w:eastAsia="仿宋" w:cs="仿宋"/>
          <w:sz w:val="32"/>
          <w:szCs w:val="32"/>
        </w:rPr>
        <w:t>的苏木乡镇至少办好1所公办幼儿园。持续改善农村牧区小规模学校、寄宿制学校办学条件，通过送教下乡、跟岗培养、城乡互动、校际互学等形式，提升教师教学能力，落实办学基本要求。建立乡村教师补充机制，通过公开招聘、农村牧区义务教育阶段学校教师特设岗位计划招聘等形式，补充配齐教师队伍，优化教师队伍结构。全面落实教师生活补贴政策，提高农村牧区教师待遇。建立县域内优质学校与农村牧区学校结对帮扶机制，发挥优质学校辐射带动作用，提升教育教学质量。完善义务教育阶段学校就近入学、电脑派位等招生录取办法，保障农牧民工随迁子女平等享受教育的</w:t>
      </w:r>
      <w:r>
        <w:rPr>
          <w:rFonts w:hint="eastAsia" w:ascii="仿宋" w:hAnsi="仿宋" w:eastAsia="仿宋" w:cs="仿宋"/>
          <w:sz w:val="32"/>
          <w:szCs w:val="32"/>
          <w:lang w:eastAsia="zh-CN"/>
        </w:rPr>
        <w:t>权利</w:t>
      </w:r>
      <w:r>
        <w:rPr>
          <w:rFonts w:hint="eastAsia" w:ascii="仿宋" w:hAnsi="仿宋" w:eastAsia="仿宋" w:cs="仿宋"/>
          <w:sz w:val="32"/>
          <w:szCs w:val="32"/>
        </w:rPr>
        <w:t>。到2025年</w:t>
      </w:r>
      <w:r>
        <w:rPr>
          <w:rFonts w:hint="eastAsia" w:ascii="仿宋" w:hAnsi="仿宋" w:eastAsia="仿宋" w:cs="仿宋"/>
          <w:sz w:val="32"/>
          <w:szCs w:val="32"/>
          <w:lang w:eastAsia="zh-CN"/>
        </w:rPr>
        <w:t>，</w:t>
      </w:r>
      <w:r>
        <w:rPr>
          <w:rFonts w:hint="eastAsia" w:ascii="仿宋" w:hAnsi="仿宋" w:eastAsia="仿宋" w:cs="仿宋"/>
          <w:sz w:val="32"/>
          <w:szCs w:val="32"/>
        </w:rPr>
        <w:t>全盟学前三年毛入园率达到95%以上，义务教育巩固率达到98%以上，加快实现义务教育优质均衡发展。</w:t>
      </w:r>
    </w:p>
    <w:p>
      <w:pPr>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sz w:val="32"/>
          <w:szCs w:val="32"/>
        </w:rPr>
      </w:pPr>
      <w:r>
        <w:rPr>
          <w:rFonts w:hint="eastAsia" w:ascii="仿宋" w:hAnsi="仿宋" w:eastAsia="仿宋" w:cs="仿宋"/>
          <w:b/>
          <w:bCs/>
          <w:sz w:val="32"/>
          <w:szCs w:val="32"/>
        </w:rPr>
        <w:t>加强健康乡村建设。</w:t>
      </w:r>
      <w:r>
        <w:rPr>
          <w:rFonts w:hint="eastAsia" w:ascii="仿宋" w:hAnsi="仿宋" w:eastAsia="仿宋" w:cs="仿宋"/>
          <w:sz w:val="32"/>
          <w:szCs w:val="32"/>
        </w:rPr>
        <w:t>坚持“大卫生、大健康”理念，推进健康农村牧区建设，落实基本公共卫生服务项目补助政策，</w:t>
      </w:r>
      <w:r>
        <w:rPr>
          <w:rFonts w:hint="eastAsia" w:ascii="仿宋" w:hAnsi="仿宋" w:eastAsia="仿宋" w:cs="仿宋"/>
          <w:sz w:val="32"/>
          <w:szCs w:val="32"/>
          <w:lang w:eastAsia="zh-CN"/>
        </w:rPr>
        <w:t>优化苏木乡镇卫生院、行政嘎查村卫生室设置</w:t>
      </w:r>
      <w:r>
        <w:rPr>
          <w:rFonts w:hint="eastAsia" w:ascii="仿宋" w:hAnsi="仿宋" w:eastAsia="仿宋" w:cs="仿宋"/>
          <w:sz w:val="32"/>
          <w:szCs w:val="32"/>
        </w:rPr>
        <w:t>，完善农村牧区基层卫生服务体系。加强全科医生培养和医共体建设，支持推动乡村医生申请执业（助理）医师资格</w:t>
      </w:r>
      <w:r>
        <w:rPr>
          <w:rFonts w:hint="eastAsia" w:ascii="仿宋" w:hAnsi="仿宋" w:eastAsia="仿宋" w:cs="仿宋"/>
          <w:sz w:val="32"/>
          <w:szCs w:val="32"/>
          <w:lang w:eastAsia="zh-CN"/>
        </w:rPr>
        <w:t>。</w:t>
      </w:r>
      <w:r>
        <w:rPr>
          <w:rFonts w:hint="eastAsia" w:ascii="仿宋" w:hAnsi="仿宋" w:eastAsia="仿宋" w:cs="仿宋"/>
          <w:sz w:val="32"/>
          <w:szCs w:val="32"/>
        </w:rPr>
        <w:t>提高基层卫生服务水平和服务能力，依托“互联网+医疗”，为农牧民</w:t>
      </w:r>
      <w:r>
        <w:rPr>
          <w:rFonts w:hint="eastAsia" w:ascii="仿宋" w:hAnsi="仿宋" w:eastAsia="仿宋" w:cs="仿宋"/>
          <w:sz w:val="32"/>
          <w:szCs w:val="32"/>
          <w:lang w:eastAsia="zh-CN"/>
        </w:rPr>
        <w:t>提供</w:t>
      </w:r>
      <w:r>
        <w:rPr>
          <w:rFonts w:hint="eastAsia" w:ascii="仿宋" w:hAnsi="仿宋" w:eastAsia="仿宋" w:cs="仿宋"/>
          <w:sz w:val="32"/>
          <w:szCs w:val="32"/>
        </w:rPr>
        <w:t>优质便捷的服务。进一步健全基层中医药（蒙医药）服务网络，创新中医药（蒙医药）人才培养模式，推广中医药（蒙医药）适宜技术，拓展基本公共卫生中医药（蒙医药）健康管理服务项目，促进基层中医药（蒙医药）事业发展</w:t>
      </w:r>
      <w:r>
        <w:rPr>
          <w:rFonts w:hint="eastAsia" w:ascii="仿宋" w:hAnsi="仿宋" w:eastAsia="仿宋" w:cs="仿宋"/>
          <w:sz w:val="32"/>
          <w:szCs w:val="32"/>
          <w:lang w:eastAsia="zh-CN"/>
        </w:rPr>
        <w:t>。</w:t>
      </w:r>
      <w:r>
        <w:rPr>
          <w:rFonts w:hint="eastAsia" w:ascii="仿宋" w:hAnsi="仿宋" w:eastAsia="仿宋" w:cs="仿宋"/>
          <w:sz w:val="32"/>
          <w:szCs w:val="32"/>
        </w:rPr>
        <w:t>深入开展健康素养提升行动，加强健康教育宣传，做好农牧区新冠肺炎、鼠疫等疫情防控常态化工作，加大重大传染病、地方病和慢性病防控力度。推动全民健身运动进农村牧区，深入开展农村牧区爱国卫生运动。开展和规范家庭医生签约服务，对农村牧区常住低收入人口高血压、糖尿病、结核病、严重精神障碍等4种慢病</w:t>
      </w:r>
      <w:r>
        <w:rPr>
          <w:rFonts w:hint="eastAsia" w:ascii="仿宋" w:hAnsi="仿宋" w:eastAsia="仿宋" w:cs="仿宋"/>
          <w:sz w:val="32"/>
          <w:szCs w:val="32"/>
          <w:lang w:eastAsia="zh-CN"/>
        </w:rPr>
        <w:t>和布病</w:t>
      </w:r>
      <w:r>
        <w:rPr>
          <w:rFonts w:hint="eastAsia" w:ascii="仿宋" w:hAnsi="仿宋" w:eastAsia="仿宋" w:cs="仿宋"/>
          <w:sz w:val="32"/>
          <w:szCs w:val="32"/>
        </w:rPr>
        <w:t>患者</w:t>
      </w:r>
      <w:r>
        <w:rPr>
          <w:rFonts w:hint="eastAsia" w:ascii="仿宋" w:hAnsi="仿宋" w:eastAsia="仿宋" w:cs="仿宋"/>
          <w:sz w:val="32"/>
          <w:szCs w:val="32"/>
          <w:lang w:eastAsia="zh-CN"/>
        </w:rPr>
        <w:t>，</w:t>
      </w:r>
      <w:r>
        <w:rPr>
          <w:rFonts w:hint="eastAsia" w:ascii="仿宋" w:hAnsi="仿宋" w:eastAsia="仿宋" w:cs="仿宋"/>
          <w:sz w:val="32"/>
          <w:szCs w:val="32"/>
        </w:rPr>
        <w:t>做到“应签尽签”</w:t>
      </w:r>
      <w:r>
        <w:rPr>
          <w:rFonts w:hint="eastAsia" w:ascii="仿宋" w:hAnsi="仿宋" w:eastAsia="仿宋" w:cs="仿宋"/>
          <w:sz w:val="32"/>
          <w:szCs w:val="32"/>
          <w:lang w:eastAsia="zh-CN"/>
        </w:rPr>
        <w:t>。</w:t>
      </w:r>
      <w:r>
        <w:rPr>
          <w:rFonts w:hint="eastAsia" w:ascii="仿宋" w:hAnsi="仿宋" w:eastAsia="仿宋" w:cs="仿宋"/>
          <w:sz w:val="32"/>
          <w:szCs w:val="32"/>
        </w:rPr>
        <w:t>到2025年，全盟苏木乡镇卫生院、社区卫生服务中心中医药（蒙医药）服务覆盖率达到100%，农村牧区医疗卫生服务得到有力保障。</w:t>
      </w:r>
    </w:p>
    <w:p>
      <w:pPr>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sz w:val="32"/>
          <w:szCs w:val="32"/>
        </w:rPr>
      </w:pPr>
      <w:r>
        <w:rPr>
          <w:rFonts w:hint="eastAsia" w:ascii="仿宋" w:hAnsi="仿宋" w:eastAsia="仿宋" w:cs="仿宋"/>
          <w:b/>
          <w:bCs/>
          <w:sz w:val="32"/>
          <w:szCs w:val="32"/>
        </w:rPr>
        <w:t>提升公共文化服务能力。</w:t>
      </w:r>
      <w:r>
        <w:rPr>
          <w:rFonts w:hint="eastAsia" w:ascii="仿宋" w:hAnsi="仿宋" w:eastAsia="仿宋" w:cs="仿宋"/>
          <w:sz w:val="32"/>
          <w:szCs w:val="32"/>
        </w:rPr>
        <w:t>抓好农村牧区文化惠民工程</w:t>
      </w:r>
      <w:r>
        <w:rPr>
          <w:rFonts w:hint="eastAsia" w:ascii="仿宋" w:hAnsi="仿宋" w:eastAsia="仿宋" w:cs="仿宋"/>
          <w:sz w:val="32"/>
          <w:szCs w:val="32"/>
          <w:lang w:eastAsia="zh-CN"/>
        </w:rPr>
        <w:t>，加强</w:t>
      </w:r>
      <w:r>
        <w:rPr>
          <w:rFonts w:hint="eastAsia" w:ascii="仿宋" w:hAnsi="仿宋" w:eastAsia="仿宋" w:cs="仿宋"/>
          <w:sz w:val="32"/>
          <w:szCs w:val="32"/>
        </w:rPr>
        <w:t>乡土文化人才培养，</w:t>
      </w:r>
      <w:r>
        <w:rPr>
          <w:rFonts w:hint="eastAsia" w:ascii="仿宋" w:hAnsi="仿宋" w:eastAsia="仿宋" w:cs="仿宋"/>
          <w:sz w:val="32"/>
          <w:szCs w:val="32"/>
          <w:lang w:eastAsia="zh-CN"/>
        </w:rPr>
        <w:t>强化</w:t>
      </w:r>
      <w:r>
        <w:rPr>
          <w:rFonts w:hint="eastAsia" w:ascii="仿宋" w:hAnsi="仿宋" w:eastAsia="仿宋" w:cs="仿宋"/>
          <w:sz w:val="32"/>
          <w:szCs w:val="32"/>
        </w:rPr>
        <w:t>健康文化教育</w:t>
      </w:r>
      <w:r>
        <w:rPr>
          <w:rFonts w:hint="eastAsia" w:ascii="仿宋" w:hAnsi="仿宋" w:eastAsia="仿宋" w:cs="仿宋"/>
          <w:sz w:val="32"/>
          <w:szCs w:val="32"/>
          <w:lang w:eastAsia="zh-CN"/>
        </w:rPr>
        <w:t>，</w:t>
      </w:r>
      <w:r>
        <w:rPr>
          <w:rFonts w:hint="eastAsia" w:ascii="仿宋" w:hAnsi="仿宋" w:eastAsia="仿宋" w:cs="仿宋"/>
          <w:sz w:val="32"/>
          <w:szCs w:val="32"/>
        </w:rPr>
        <w:t>提高农牧民健康素养。完善公共文化设施网络，以公共图书馆、文化馆、博物馆、村(社区)综合性文化服务中心为重点，以流动文化设施和数字文化设施为补充，统筹规划，均衡配置，推动各级公共文化设施基本达到国家建设标准。采取盘活存量、调整置换、集中利用等方式，着力推进苏木</w:t>
      </w:r>
      <w:r>
        <w:rPr>
          <w:rFonts w:hint="eastAsia" w:ascii="仿宋" w:hAnsi="仿宋" w:eastAsia="仿宋" w:cs="仿宋"/>
          <w:sz w:val="32"/>
          <w:szCs w:val="32"/>
          <w:lang w:eastAsia="zh-CN"/>
        </w:rPr>
        <w:t>乡</w:t>
      </w:r>
      <w:r>
        <w:rPr>
          <w:rFonts w:hint="eastAsia" w:ascii="仿宋" w:hAnsi="仿宋" w:eastAsia="仿宋" w:cs="仿宋"/>
          <w:sz w:val="32"/>
          <w:szCs w:val="32"/>
        </w:rPr>
        <w:t>镇(街道)和嘎查村(社区)综合性文化服务中心建设。到2025年，以政府主导、社会力量参与的现代公共文化服务体系进一步健全，农村牧区公共文化服务标准化、均等化水平进一步提高，农牧民公共文化活动权益和需求得到全面保障。</w:t>
      </w:r>
    </w:p>
    <w:p>
      <w:pPr>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sz w:val="32"/>
          <w:szCs w:val="32"/>
        </w:rPr>
      </w:pPr>
      <w:r>
        <w:rPr>
          <w:rFonts w:hint="eastAsia" w:ascii="仿宋" w:hAnsi="仿宋" w:eastAsia="仿宋" w:cs="仿宋"/>
          <w:b/>
          <w:bCs/>
          <w:sz w:val="32"/>
          <w:szCs w:val="32"/>
        </w:rPr>
        <w:t>推进社会保障体系建设。</w:t>
      </w:r>
      <w:r>
        <w:rPr>
          <w:rFonts w:hint="eastAsia" w:ascii="仿宋" w:hAnsi="仿宋" w:eastAsia="仿宋" w:cs="仿宋"/>
          <w:sz w:val="32"/>
          <w:szCs w:val="32"/>
        </w:rPr>
        <w:t>完善社会救助体系，推进低保制度城乡统筹发展，强化城乡低保规范管理，健全低保标准动态调整机制。</w:t>
      </w:r>
      <w:r>
        <w:rPr>
          <w:rFonts w:hint="eastAsia" w:ascii="仿宋" w:hAnsi="仿宋" w:eastAsia="仿宋" w:cs="仿宋"/>
          <w:sz w:val="32"/>
          <w:szCs w:val="32"/>
          <w:lang w:eastAsia="zh-CN"/>
        </w:rPr>
        <w:t>完善</w:t>
      </w:r>
      <w:r>
        <w:rPr>
          <w:rFonts w:hint="eastAsia" w:ascii="仿宋" w:hAnsi="仿宋" w:eastAsia="仿宋" w:cs="仿宋"/>
          <w:sz w:val="32"/>
          <w:szCs w:val="32"/>
        </w:rPr>
        <w:t>覆盖全民、城乡统筹、</w:t>
      </w:r>
      <w:r>
        <w:rPr>
          <w:rFonts w:hint="eastAsia" w:ascii="仿宋" w:hAnsi="仿宋" w:eastAsia="仿宋" w:cs="仿宋"/>
          <w:sz w:val="32"/>
          <w:szCs w:val="32"/>
          <w:lang w:eastAsia="zh-CN"/>
        </w:rPr>
        <w:t>公平统一</w:t>
      </w:r>
      <w:r>
        <w:rPr>
          <w:rFonts w:hint="eastAsia" w:ascii="仿宋" w:hAnsi="仿宋" w:eastAsia="仿宋" w:cs="仿宋"/>
          <w:sz w:val="32"/>
          <w:szCs w:val="32"/>
        </w:rPr>
        <w:t>、保障适度、可持续的多层次医疗保障体系。完善居民基本养老保险制度和缴费补贴政策，稳步提高基础养老金标准。健全县乡村衔接的三级养老服务网络，推进</w:t>
      </w:r>
      <w:r>
        <w:rPr>
          <w:rFonts w:hint="eastAsia" w:ascii="仿宋" w:hAnsi="仿宋" w:eastAsia="仿宋" w:cs="仿宋"/>
          <w:sz w:val="32"/>
          <w:szCs w:val="32"/>
          <w:lang w:eastAsia="zh-CN"/>
        </w:rPr>
        <w:t>苏木</w:t>
      </w:r>
      <w:r>
        <w:rPr>
          <w:rFonts w:hint="eastAsia" w:ascii="仿宋" w:hAnsi="仿宋" w:eastAsia="仿宋" w:cs="仿宋"/>
          <w:sz w:val="32"/>
          <w:szCs w:val="32"/>
        </w:rPr>
        <w:t>乡镇敬老院升级改造，推广农村牧区“互助幸福院”和牧民养老园区集中养老模式，加强农村牧区区域性综合敬老院建设。</w:t>
      </w:r>
      <w:bookmarkEnd w:id="375"/>
      <w:bookmarkEnd w:id="376"/>
      <w:bookmarkEnd w:id="377"/>
    </w:p>
    <w:p>
      <w:pPr>
        <w:pStyle w:val="2"/>
        <w:pageBreakBefore w:val="0"/>
        <w:widowControl w:val="0"/>
        <w:kinsoku/>
        <w:wordWrap/>
        <w:overflowPunct/>
        <w:topLinePunct w:val="0"/>
        <w:autoSpaceDE/>
        <w:autoSpaceDN/>
        <w:bidi w:val="0"/>
        <w:adjustRightInd/>
        <w:snapToGrid/>
        <w:spacing w:after="156" w:afterLines="50" w:line="600" w:lineRule="exact"/>
        <w:ind w:firstLine="643" w:firstLineChars="200"/>
        <w:textAlignment w:val="auto"/>
        <w:rPr>
          <w:sz w:val="32"/>
          <w:szCs w:val="32"/>
        </w:rPr>
      </w:pPr>
      <w:r>
        <w:rPr>
          <w:rFonts w:hint="eastAsia" w:ascii="仿宋" w:hAnsi="仿宋" w:eastAsia="仿宋" w:cs="仿宋"/>
          <w:b/>
          <w:bCs/>
          <w:sz w:val="32"/>
          <w:szCs w:val="32"/>
        </w:rPr>
        <w:t>提升嘎查村级综合服务能力。</w:t>
      </w:r>
      <w:r>
        <w:rPr>
          <w:rFonts w:hint="eastAsia" w:ascii="仿宋" w:hAnsi="仿宋" w:eastAsia="仿宋" w:cs="仿宋"/>
          <w:sz w:val="32"/>
          <w:szCs w:val="32"/>
        </w:rPr>
        <w:t>加强</w:t>
      </w:r>
      <w:r>
        <w:rPr>
          <w:rFonts w:hint="eastAsia" w:ascii="仿宋" w:hAnsi="仿宋" w:eastAsia="仿宋" w:cstheme="minorBidi"/>
          <w:sz w:val="32"/>
          <w:szCs w:val="32"/>
          <w:lang w:eastAsia="zh-CN"/>
        </w:rPr>
        <w:t>嘎查</w:t>
      </w:r>
      <w:r>
        <w:rPr>
          <w:rFonts w:hint="eastAsia" w:ascii="仿宋" w:hAnsi="仿宋" w:eastAsia="仿宋" w:cstheme="minorBidi"/>
          <w:sz w:val="32"/>
          <w:szCs w:val="32"/>
        </w:rPr>
        <w:t>村级综合服务设施建设，完善便民服务设施。制定</w:t>
      </w:r>
      <w:r>
        <w:rPr>
          <w:rFonts w:hint="eastAsia" w:ascii="仿宋" w:hAnsi="仿宋" w:eastAsia="仿宋" w:cstheme="minorBidi"/>
          <w:sz w:val="32"/>
          <w:szCs w:val="32"/>
          <w:lang w:eastAsia="zh-CN"/>
        </w:rPr>
        <w:t>嘎查</w:t>
      </w:r>
      <w:r>
        <w:rPr>
          <w:rFonts w:hint="eastAsia" w:ascii="仿宋" w:hAnsi="仿宋" w:eastAsia="仿宋" w:cstheme="minorBidi"/>
          <w:sz w:val="32"/>
          <w:szCs w:val="32"/>
        </w:rPr>
        <w:t>村级公共服务目录和代办政务服务指导目录，提供就业担保、社会救助、卫生健康、法律咨询等公共服务。健全农村牧区留守儿童、妇女、老年人、残疾人以及困境儿童关爱服务体系。加快苏木乡镇社会工作服务站建设，吸引社会工作人才提供专业服务。加快补齐殡葬基础设施短板，实现旗县殡仪馆全覆盖。</w:t>
      </w:r>
    </w:p>
    <w:tbl>
      <w:tblPr>
        <w:tblStyle w:val="26"/>
        <w:tblW w:w="8522"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shd w:val="clear" w:color="auto" w:fill="FFFFFF" w:themeFill="background1"/>
        <w:tblLayout w:type="fixed"/>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55" w:hRule="atLeast"/>
          <w:jc w:val="center"/>
        </w:trPr>
        <w:tc>
          <w:tcPr>
            <w:tcW w:w="8522" w:type="dxa"/>
            <w:tcBorders>
              <w:bottom w:val="single" w:color="auto" w:sz="4" w:space="0"/>
              <w:tl2br w:val="nil"/>
              <w:tr2bl w:val="nil"/>
            </w:tcBorders>
            <w:shd w:val="clear" w:color="auto" w:fill="FFFFFF" w:themeFill="background1"/>
          </w:tcPr>
          <w:p>
            <w:pPr>
              <w:spacing w:line="540" w:lineRule="exact"/>
              <w:ind w:left="210" w:right="210"/>
              <w:jc w:val="center"/>
              <w:rPr>
                <w:rFonts w:hint="eastAsia" w:ascii="宋体" w:hAnsi="宋体" w:eastAsia="黑体"/>
                <w:kern w:val="0"/>
                <w:sz w:val="28"/>
                <w:szCs w:val="28"/>
                <w:lang w:eastAsia="zh-CN"/>
              </w:rPr>
            </w:pPr>
            <w:r>
              <w:rPr>
                <w:rFonts w:hint="eastAsia" w:ascii="黑体" w:hAnsi="黑体" w:eastAsia="黑体" w:cs="黑体"/>
                <w:b w:val="0"/>
                <w:bCs w:val="0"/>
                <w:kern w:val="0"/>
                <w:sz w:val="28"/>
                <w:szCs w:val="28"/>
              </w:rPr>
              <w:t>专栏</w:t>
            </w:r>
            <w:r>
              <w:rPr>
                <w:rFonts w:hint="eastAsia" w:ascii="黑体" w:hAnsi="黑体" w:eastAsia="黑体" w:cs="黑体"/>
                <w:b w:val="0"/>
                <w:bCs w:val="0"/>
                <w:kern w:val="0"/>
                <w:sz w:val="28"/>
                <w:szCs w:val="28"/>
                <w:lang w:val="en-US" w:eastAsia="zh-CN"/>
              </w:rPr>
              <w:t>6</w:t>
            </w:r>
            <w:r>
              <w:rPr>
                <w:rFonts w:hint="eastAsia" w:ascii="黑体" w:hAnsi="黑体" w:eastAsia="黑体" w:cs="黑体"/>
                <w:b w:val="0"/>
                <w:bCs w:val="0"/>
                <w:kern w:val="0"/>
                <w:sz w:val="28"/>
                <w:szCs w:val="28"/>
              </w:rPr>
              <w:t xml:space="preserve">  </w:t>
            </w:r>
            <w:r>
              <w:rPr>
                <w:rFonts w:hint="eastAsia" w:ascii="黑体" w:hAnsi="黑体" w:eastAsia="黑体" w:cs="黑体"/>
                <w:b w:val="0"/>
                <w:bCs w:val="0"/>
                <w:kern w:val="0"/>
                <w:sz w:val="28"/>
                <w:szCs w:val="28"/>
                <w:lang w:eastAsia="zh-CN"/>
              </w:rPr>
              <w:t>农村牧区基本公共服务提升工程</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jc w:val="center"/>
        </w:trPr>
        <w:tc>
          <w:tcPr>
            <w:tcW w:w="8522" w:type="dxa"/>
            <w:tcBorders>
              <w:top w:val="single" w:color="auto" w:sz="4" w:space="0"/>
              <w:bottom w:val="single" w:color="auto" w:sz="4" w:space="0"/>
              <w:tl2br w:val="nil"/>
              <w:tr2bl w:val="nil"/>
            </w:tcBorders>
            <w:shd w:val="clear" w:color="auto" w:fill="FFFFFF" w:themeFill="background1"/>
          </w:tcPr>
          <w:p>
            <w:pPr>
              <w:keepNext w:val="0"/>
              <w:keepLines w:val="0"/>
              <w:pageBreakBefore w:val="0"/>
              <w:widowControl/>
              <w:kinsoku/>
              <w:wordWrap/>
              <w:overflowPunct/>
              <w:topLinePunct w:val="0"/>
              <w:autoSpaceDE/>
              <w:autoSpaceDN/>
              <w:bidi w:val="0"/>
              <w:adjustRightInd/>
              <w:snapToGrid/>
              <w:spacing w:line="380" w:lineRule="exact"/>
              <w:ind w:left="210" w:right="210" w:firstLine="480" w:firstLineChars="200"/>
              <w:jc w:val="left"/>
              <w:textAlignment w:val="auto"/>
              <w:rPr>
                <w:rFonts w:hint="eastAsia" w:ascii="仿宋" w:hAnsi="仿宋" w:eastAsia="仿宋" w:cs="仿宋"/>
                <w:sz w:val="24"/>
              </w:rPr>
            </w:pPr>
            <w:r>
              <w:rPr>
                <w:rFonts w:hint="eastAsia" w:ascii="黑体" w:hAnsi="黑体" w:eastAsia="黑体" w:cs="黑体"/>
                <w:sz w:val="24"/>
              </w:rPr>
              <w:t>1.农村牧区教育质量提升行动。</w:t>
            </w:r>
            <w:r>
              <w:rPr>
                <w:rFonts w:hint="eastAsia" w:ascii="仿宋" w:hAnsi="仿宋" w:eastAsia="仿宋" w:cs="仿宋"/>
                <w:sz w:val="24"/>
              </w:rPr>
              <w:t>加强农村牧区普惠性幼儿园或学前教育服务点建设，有需要的苏木乡镇至少办好1所公办幼儿园。支持每个旗县（市、区）至少办好1所优质普通高中。均衡配置县域教师资源，全面落实乡村教师乡镇工作补贴、集中连片特困地区生活补助和艰苦边远地区津贴等政策。</w:t>
            </w:r>
          </w:p>
          <w:p>
            <w:pPr>
              <w:keepNext w:val="0"/>
              <w:keepLines w:val="0"/>
              <w:pageBreakBefore w:val="0"/>
              <w:widowControl/>
              <w:kinsoku/>
              <w:wordWrap/>
              <w:overflowPunct/>
              <w:topLinePunct w:val="0"/>
              <w:autoSpaceDE/>
              <w:autoSpaceDN/>
              <w:bidi w:val="0"/>
              <w:adjustRightInd/>
              <w:snapToGrid/>
              <w:spacing w:line="380" w:lineRule="exact"/>
              <w:ind w:left="210" w:right="210" w:firstLine="480" w:firstLineChars="200"/>
              <w:jc w:val="left"/>
              <w:textAlignment w:val="auto"/>
              <w:rPr>
                <w:rFonts w:hint="eastAsia" w:ascii="仿宋" w:hAnsi="仿宋" w:eastAsia="仿宋" w:cs="仿宋"/>
                <w:sz w:val="24"/>
              </w:rPr>
            </w:pPr>
            <w:r>
              <w:rPr>
                <w:rFonts w:hint="eastAsia" w:ascii="黑体" w:hAnsi="黑体" w:eastAsia="黑体" w:cs="黑体"/>
                <w:sz w:val="24"/>
              </w:rPr>
              <w:t>2.乡村健康服务提升行动。</w:t>
            </w:r>
            <w:r>
              <w:rPr>
                <w:rFonts w:hint="eastAsia" w:ascii="仿宋" w:hAnsi="仿宋" w:eastAsia="仿宋" w:cs="仿宋"/>
                <w:sz w:val="24"/>
              </w:rPr>
              <w:t>加强嘎查村级卫生室标准化建设，依托现有资源，选建一批中心卫生院，建设一批农村牧区县域医疗卫生次中心。加快县域紧密型医共体建设，提高旗县级医院医疗服务水平。推动旗县级妇幼保健机构提高服务能力。</w:t>
            </w:r>
          </w:p>
          <w:p>
            <w:pPr>
              <w:keepNext w:val="0"/>
              <w:keepLines w:val="0"/>
              <w:pageBreakBefore w:val="0"/>
              <w:widowControl/>
              <w:kinsoku/>
              <w:wordWrap/>
              <w:overflowPunct/>
              <w:topLinePunct w:val="0"/>
              <w:autoSpaceDE/>
              <w:autoSpaceDN/>
              <w:bidi w:val="0"/>
              <w:adjustRightInd/>
              <w:snapToGrid/>
              <w:spacing w:line="380" w:lineRule="exact"/>
              <w:ind w:left="210" w:right="210" w:firstLine="480" w:firstLineChars="200"/>
              <w:jc w:val="left"/>
              <w:textAlignment w:val="auto"/>
            </w:pPr>
            <w:r>
              <w:rPr>
                <w:rFonts w:hint="eastAsia" w:ascii="黑体" w:hAnsi="黑体" w:eastAsia="黑体" w:cs="黑体"/>
                <w:sz w:val="24"/>
              </w:rPr>
              <w:t>3.农村牧区养老服务体系建设行动。</w:t>
            </w:r>
            <w:r>
              <w:rPr>
                <w:rFonts w:hint="eastAsia" w:ascii="仿宋" w:hAnsi="仿宋" w:eastAsia="仿宋" w:cs="仿宋"/>
                <w:sz w:val="24"/>
              </w:rPr>
              <w:t>提升旗县级特困供养服务机构失能照护和集中供养能力，每个旗县至少建有1所县级供养服务机构。拓展苏木乡镇敬老院区域养老服务中心功能，完善嘎查村级互助养老服务设施，解决农村牧区老年人生活照料、就餐就医等问题。</w:t>
            </w:r>
          </w:p>
        </w:tc>
      </w:tr>
    </w:tbl>
    <w:p>
      <w:pPr>
        <w:spacing w:after="156" w:afterLines="50" w:line="540" w:lineRule="exact"/>
        <w:ind w:firstLine="420" w:firstLineChars="200"/>
        <w:rPr>
          <w:rFonts w:ascii="仿宋" w:hAnsi="仿宋" w:eastAsia="仿宋" w:cstheme="minorBidi"/>
        </w:rPr>
      </w:pPr>
    </w:p>
    <w:p>
      <w:pPr>
        <w:pStyle w:val="3"/>
        <w:snapToGrid w:val="0"/>
        <w:spacing w:before="312" w:beforeLines="100" w:after="312" w:afterLines="100" w:line="540" w:lineRule="exact"/>
        <w:jc w:val="center"/>
        <w:rPr>
          <w:rFonts w:hint="eastAsia" w:ascii="方正小标宋简体" w:hAnsi="仿宋" w:eastAsia="方正小标宋简体" w:cs="黑体"/>
          <w:b w:val="0"/>
          <w:color w:val="000000" w:themeColor="text1"/>
          <w:sz w:val="32"/>
          <w:szCs w:val="32"/>
        </w:rPr>
      </w:pPr>
      <w:bookmarkStart w:id="384" w:name="_Toc1842"/>
      <w:bookmarkStart w:id="385" w:name="_Toc21610"/>
      <w:bookmarkStart w:id="386" w:name="_Toc59000551"/>
      <w:bookmarkStart w:id="387" w:name="_Toc58870166"/>
      <w:bookmarkStart w:id="388" w:name="_Toc28596"/>
      <w:bookmarkStart w:id="389" w:name="_Toc8545"/>
      <w:bookmarkStart w:id="390" w:name="_Toc57041438"/>
      <w:bookmarkStart w:id="391" w:name="_Toc14252"/>
      <w:bookmarkStart w:id="392" w:name="_Toc31308"/>
    </w:p>
    <w:p>
      <w:pPr>
        <w:rPr>
          <w:rFonts w:hint="eastAsia" w:ascii="方正小标宋简体" w:hAnsi="仿宋" w:eastAsia="方正小标宋简体" w:cs="黑体"/>
          <w:b w:val="0"/>
          <w:color w:val="000000" w:themeColor="text1"/>
          <w:sz w:val="32"/>
          <w:szCs w:val="32"/>
        </w:rPr>
      </w:pPr>
    </w:p>
    <w:p>
      <w:pPr>
        <w:pStyle w:val="2"/>
        <w:rPr>
          <w:rFonts w:hint="eastAsia" w:ascii="方正小标宋简体" w:hAnsi="仿宋" w:eastAsia="方正小标宋简体" w:cs="黑体"/>
          <w:b w:val="0"/>
          <w:color w:val="000000" w:themeColor="text1"/>
          <w:sz w:val="32"/>
          <w:szCs w:val="32"/>
        </w:rPr>
      </w:pPr>
    </w:p>
    <w:p>
      <w:pPr>
        <w:rPr>
          <w:rFonts w:hint="eastAsia" w:ascii="方正小标宋简体" w:hAnsi="仿宋" w:eastAsia="方正小标宋简体" w:cs="黑体"/>
          <w:b w:val="0"/>
          <w:color w:val="000000" w:themeColor="text1"/>
          <w:sz w:val="32"/>
          <w:szCs w:val="32"/>
        </w:rPr>
      </w:pPr>
    </w:p>
    <w:p>
      <w:pPr>
        <w:pStyle w:val="2"/>
        <w:rPr>
          <w:rFonts w:hint="eastAsia" w:ascii="方正小标宋简体" w:hAnsi="仿宋" w:eastAsia="方正小标宋简体" w:cs="黑体"/>
          <w:b w:val="0"/>
          <w:color w:val="000000" w:themeColor="text1"/>
          <w:sz w:val="32"/>
          <w:szCs w:val="32"/>
        </w:rPr>
      </w:pPr>
    </w:p>
    <w:p>
      <w:pPr>
        <w:rPr>
          <w:rFonts w:hint="eastAsia" w:ascii="方正小标宋简体" w:hAnsi="仿宋" w:eastAsia="方正小标宋简体" w:cs="黑体"/>
          <w:b w:val="0"/>
          <w:color w:val="000000" w:themeColor="text1"/>
          <w:sz w:val="32"/>
          <w:szCs w:val="32"/>
        </w:rPr>
      </w:pPr>
    </w:p>
    <w:p>
      <w:pPr>
        <w:pStyle w:val="2"/>
        <w:rPr>
          <w:rFonts w:hint="eastAsia" w:ascii="方正小标宋简体" w:hAnsi="仿宋" w:eastAsia="方正小标宋简体" w:cs="黑体"/>
          <w:b w:val="0"/>
          <w:color w:val="000000" w:themeColor="text1"/>
          <w:sz w:val="32"/>
          <w:szCs w:val="32"/>
        </w:rPr>
      </w:pPr>
    </w:p>
    <w:p>
      <w:pPr>
        <w:rPr>
          <w:rFonts w:hint="eastAsia" w:ascii="方正小标宋简体" w:hAnsi="仿宋" w:eastAsia="方正小标宋简体" w:cs="黑体"/>
          <w:b w:val="0"/>
          <w:color w:val="000000" w:themeColor="text1"/>
          <w:sz w:val="32"/>
          <w:szCs w:val="32"/>
        </w:rPr>
      </w:pPr>
    </w:p>
    <w:p>
      <w:pPr>
        <w:pStyle w:val="2"/>
        <w:rPr>
          <w:rFonts w:hint="eastAsia"/>
        </w:rPr>
      </w:pPr>
    </w:p>
    <w:p>
      <w:pPr>
        <w:pStyle w:val="2"/>
        <w:rPr>
          <w:rFonts w:hint="eastAsia" w:ascii="方正小标宋简体" w:hAnsi="仿宋" w:eastAsia="方正小标宋简体" w:cs="黑体"/>
          <w:b w:val="0"/>
          <w:color w:val="000000" w:themeColor="text1"/>
          <w:sz w:val="32"/>
          <w:szCs w:val="32"/>
        </w:rPr>
      </w:pPr>
    </w:p>
    <w:p>
      <w:pPr>
        <w:rPr>
          <w:rFonts w:hint="eastAsia" w:ascii="方正小标宋简体" w:hAnsi="仿宋" w:eastAsia="方正小标宋简体" w:cs="黑体"/>
          <w:b w:val="0"/>
          <w:color w:val="000000" w:themeColor="text1"/>
          <w:sz w:val="32"/>
          <w:szCs w:val="32"/>
        </w:rPr>
      </w:pPr>
    </w:p>
    <w:p>
      <w:pPr>
        <w:pStyle w:val="2"/>
        <w:rPr>
          <w:rFonts w:hint="eastAsia" w:ascii="方正小标宋简体" w:hAnsi="仿宋" w:eastAsia="方正小标宋简体" w:cs="黑体"/>
          <w:b w:val="0"/>
          <w:color w:val="000000" w:themeColor="text1"/>
          <w:sz w:val="32"/>
          <w:szCs w:val="32"/>
        </w:rPr>
      </w:pPr>
    </w:p>
    <w:p>
      <w:pPr>
        <w:rPr>
          <w:rFonts w:hint="eastAsia" w:ascii="方正小标宋简体" w:hAnsi="仿宋" w:eastAsia="方正小标宋简体" w:cs="黑体"/>
          <w:b w:val="0"/>
          <w:color w:val="000000" w:themeColor="text1"/>
          <w:sz w:val="32"/>
          <w:szCs w:val="32"/>
        </w:rPr>
      </w:pPr>
    </w:p>
    <w:p>
      <w:pPr>
        <w:pStyle w:val="2"/>
        <w:rPr>
          <w:rFonts w:hint="eastAsia" w:ascii="方正小标宋简体" w:hAnsi="仿宋" w:eastAsia="方正小标宋简体" w:cs="黑体"/>
          <w:b w:val="0"/>
          <w:color w:val="000000" w:themeColor="text1"/>
          <w:sz w:val="32"/>
          <w:szCs w:val="32"/>
        </w:rPr>
      </w:pPr>
    </w:p>
    <w:p>
      <w:pPr>
        <w:rPr>
          <w:rFonts w:hint="eastAsia" w:ascii="方正小标宋简体" w:hAnsi="仿宋" w:eastAsia="方正小标宋简体" w:cs="黑体"/>
          <w:b w:val="0"/>
          <w:color w:val="000000" w:themeColor="text1"/>
          <w:sz w:val="32"/>
          <w:szCs w:val="32"/>
        </w:rPr>
      </w:pPr>
    </w:p>
    <w:p>
      <w:pPr>
        <w:pStyle w:val="2"/>
        <w:rPr>
          <w:rFonts w:hint="eastAsia" w:ascii="方正小标宋简体" w:hAnsi="仿宋" w:eastAsia="方正小标宋简体" w:cs="黑体"/>
          <w:b w:val="0"/>
          <w:color w:val="000000" w:themeColor="text1"/>
          <w:sz w:val="32"/>
          <w:szCs w:val="32"/>
        </w:rPr>
      </w:pPr>
    </w:p>
    <w:p>
      <w:pPr>
        <w:rPr>
          <w:rFonts w:hint="eastAsia"/>
        </w:rPr>
      </w:pPr>
    </w:p>
    <w:p>
      <w:pPr>
        <w:pStyle w:val="3"/>
        <w:snapToGrid w:val="0"/>
        <w:spacing w:before="312" w:beforeLines="100" w:after="312" w:afterLines="100" w:line="540" w:lineRule="exact"/>
        <w:jc w:val="center"/>
        <w:rPr>
          <w:rFonts w:hint="eastAsia" w:ascii="方正小标宋简体" w:hAnsi="仿宋" w:eastAsia="方正小标宋简体" w:cs="黑体"/>
          <w:b w:val="0"/>
          <w:color w:val="000000" w:themeColor="text1"/>
          <w:sz w:val="32"/>
          <w:szCs w:val="32"/>
        </w:rPr>
      </w:pPr>
      <w:bookmarkStart w:id="393" w:name="_Toc694231440_WPSOffice_Level1"/>
    </w:p>
    <w:p>
      <w:pPr>
        <w:pStyle w:val="3"/>
        <w:snapToGrid w:val="0"/>
        <w:spacing w:before="312" w:beforeLines="100" w:after="312" w:afterLines="100" w:line="540" w:lineRule="exact"/>
        <w:jc w:val="center"/>
        <w:rPr>
          <w:rFonts w:ascii="方正小标宋简体" w:hAnsi="仿宋" w:eastAsia="方正小标宋简体" w:cs="黑体"/>
          <w:b w:val="0"/>
          <w:color w:val="000000" w:themeColor="text1"/>
          <w:sz w:val="44"/>
          <w:szCs w:val="44"/>
        </w:rPr>
      </w:pPr>
      <w:r>
        <w:rPr>
          <w:rFonts w:hint="eastAsia" w:ascii="方正小标宋简体" w:hAnsi="仿宋" w:eastAsia="方正小标宋简体" w:cs="黑体"/>
          <w:b w:val="0"/>
          <w:color w:val="000000" w:themeColor="text1"/>
          <w:sz w:val="44"/>
          <w:szCs w:val="44"/>
        </w:rPr>
        <w:t>第七章 深化农村牧区改革</w:t>
      </w:r>
      <w:bookmarkEnd w:id="384"/>
      <w:bookmarkEnd w:id="385"/>
      <w:bookmarkEnd w:id="386"/>
      <w:bookmarkEnd w:id="387"/>
      <w:bookmarkEnd w:id="388"/>
      <w:bookmarkEnd w:id="389"/>
      <w:bookmarkEnd w:id="390"/>
      <w:bookmarkEnd w:id="391"/>
      <w:bookmarkEnd w:id="392"/>
      <w:bookmarkEnd w:id="393"/>
    </w:p>
    <w:p>
      <w:pPr>
        <w:pageBreakBefore w:val="0"/>
        <w:widowControl w:val="0"/>
        <w:kinsoku/>
        <w:wordWrap/>
        <w:overflowPunct/>
        <w:topLinePunct w:val="0"/>
        <w:autoSpaceDE/>
        <w:autoSpaceDN/>
        <w:bidi w:val="0"/>
        <w:adjustRightInd/>
        <w:snapToGrid/>
        <w:spacing w:line="600" w:lineRule="exact"/>
        <w:ind w:firstLine="640" w:firstLineChars="200"/>
        <w:textAlignment w:val="auto"/>
        <w:rPr>
          <w:rFonts w:ascii="仿宋" w:hAnsi="仿宋" w:eastAsia="仿宋" w:cstheme="minorBidi"/>
          <w:sz w:val="32"/>
          <w:szCs w:val="32"/>
        </w:rPr>
      </w:pPr>
      <w:bookmarkStart w:id="394" w:name="_Toc58870186"/>
      <w:bookmarkStart w:id="395" w:name="_Toc57041439"/>
      <w:bookmarkStart w:id="396" w:name="_Toc9462"/>
      <w:bookmarkStart w:id="397" w:name="_Toc59000559"/>
      <w:bookmarkStart w:id="398" w:name="_Toc1211"/>
      <w:r>
        <w:rPr>
          <w:rFonts w:hint="eastAsia" w:ascii="仿宋" w:hAnsi="仿宋" w:eastAsia="仿宋" w:cstheme="minorBidi"/>
          <w:sz w:val="32"/>
          <w:szCs w:val="32"/>
        </w:rPr>
        <w:t>加快推进农村牧区重点领域和关键环节改革，促进城乡要素平等交换、双向流动，促进</w:t>
      </w:r>
      <w:r>
        <w:rPr>
          <w:rFonts w:hint="eastAsia" w:ascii="仿宋" w:hAnsi="仿宋" w:eastAsia="仿宋" w:cstheme="minorBidi"/>
          <w:sz w:val="32"/>
          <w:szCs w:val="32"/>
          <w:lang w:eastAsia="zh-CN"/>
        </w:rPr>
        <w:t>资源</w:t>
      </w:r>
      <w:r>
        <w:rPr>
          <w:rFonts w:hint="eastAsia" w:ascii="仿宋" w:hAnsi="仿宋" w:eastAsia="仿宋" w:cstheme="minorBidi"/>
          <w:sz w:val="32"/>
          <w:szCs w:val="32"/>
        </w:rPr>
        <w:t>要素更多向农村牧区集聚，增强农村牧区发展活力。</w:t>
      </w:r>
    </w:p>
    <w:p>
      <w:pPr>
        <w:pStyle w:val="4"/>
        <w:pageBreakBefore w:val="0"/>
        <w:widowControl w:val="0"/>
        <w:kinsoku/>
        <w:wordWrap/>
        <w:overflowPunct/>
        <w:topLinePunct w:val="0"/>
        <w:autoSpaceDE/>
        <w:autoSpaceDN/>
        <w:bidi w:val="0"/>
        <w:adjustRightInd/>
        <w:snapToGrid/>
        <w:spacing w:before="156" w:beforeLines="50" w:after="156" w:afterLines="50" w:line="600" w:lineRule="exact"/>
        <w:ind w:firstLine="640" w:firstLineChars="200"/>
        <w:textAlignment w:val="auto"/>
        <w:rPr>
          <w:rFonts w:ascii="仿宋" w:hAnsi="仿宋" w:eastAsia="仿宋" w:cstheme="minorBidi"/>
          <w:b w:val="0"/>
          <w:bCs w:val="0"/>
          <w:sz w:val="32"/>
          <w:szCs w:val="32"/>
        </w:rPr>
      </w:pPr>
      <w:bookmarkStart w:id="399" w:name="_Toc24641"/>
      <w:bookmarkStart w:id="400" w:name="_Toc10277"/>
      <w:bookmarkStart w:id="401" w:name="_Toc1551257770_WPSOffice_Level2"/>
      <w:bookmarkStart w:id="402" w:name="_Toc18959"/>
      <w:bookmarkStart w:id="403" w:name="_Toc29123"/>
      <w:r>
        <w:rPr>
          <w:rFonts w:hint="eastAsia" w:ascii="Calibri Light" w:hAnsi="Calibri Light" w:cs="Times New Roman"/>
          <w:b w:val="0"/>
          <w:bCs w:val="0"/>
          <w:sz w:val="32"/>
          <w:szCs w:val="32"/>
        </w:rPr>
        <w:t>第一节</w:t>
      </w:r>
      <w:r>
        <w:rPr>
          <w:rFonts w:ascii="Calibri Light" w:hAnsi="Calibri Light" w:cs="Times New Roman"/>
          <w:b w:val="0"/>
          <w:bCs w:val="0"/>
          <w:sz w:val="32"/>
          <w:szCs w:val="32"/>
        </w:rPr>
        <w:t xml:space="preserve"> </w:t>
      </w:r>
      <w:r>
        <w:rPr>
          <w:rFonts w:hint="eastAsia" w:ascii="Calibri Light" w:hAnsi="Calibri Light" w:cs="Times New Roman"/>
          <w:b w:val="0"/>
          <w:bCs w:val="0"/>
          <w:sz w:val="32"/>
          <w:szCs w:val="32"/>
        </w:rPr>
        <w:t>推进牧区现代化示范区建设</w:t>
      </w:r>
      <w:bookmarkEnd w:id="399"/>
      <w:bookmarkEnd w:id="400"/>
      <w:bookmarkEnd w:id="401"/>
      <w:bookmarkEnd w:id="402"/>
      <w:bookmarkEnd w:id="403"/>
    </w:p>
    <w:p>
      <w:pPr>
        <w:pageBreakBefore w:val="0"/>
        <w:widowControl w:val="0"/>
        <w:kinsoku/>
        <w:wordWrap/>
        <w:overflowPunct/>
        <w:topLinePunct w:val="0"/>
        <w:autoSpaceDE/>
        <w:autoSpaceDN/>
        <w:bidi w:val="0"/>
        <w:adjustRightInd/>
        <w:snapToGrid/>
        <w:spacing w:after="156" w:afterLines="50" w:line="600" w:lineRule="exact"/>
        <w:ind w:firstLine="640" w:firstLineChars="200"/>
        <w:textAlignment w:val="auto"/>
        <w:rPr>
          <w:rFonts w:ascii="仿宋" w:hAnsi="仿宋" w:eastAsia="仿宋" w:cstheme="minorBidi"/>
          <w:sz w:val="32"/>
          <w:szCs w:val="32"/>
        </w:rPr>
      </w:pPr>
      <w:r>
        <w:rPr>
          <w:rFonts w:hint="eastAsia" w:ascii="仿宋" w:hAnsi="仿宋" w:eastAsia="仿宋" w:cstheme="minorBidi"/>
          <w:sz w:val="32"/>
          <w:szCs w:val="32"/>
        </w:rPr>
        <w:t>全面推进阿巴嘎旗牧区现代化建设，创新牧区现代化模式，为全盟、全区牧区现代化建设探索模式、积累经验、提供示范。科学把握牧区特点，坚持因地制宜，探索草原牧区实施乡村振兴模式，</w:t>
      </w:r>
      <w:r>
        <w:rPr>
          <w:rFonts w:hint="eastAsia" w:ascii="仿宋" w:hAnsi="仿宋" w:eastAsia="仿宋" w:cstheme="minorBidi"/>
          <w:sz w:val="32"/>
          <w:szCs w:val="32"/>
          <w:lang w:eastAsia="zh-CN"/>
        </w:rPr>
        <w:t>重点</w:t>
      </w:r>
      <w:r>
        <w:rPr>
          <w:rFonts w:hint="eastAsia" w:ascii="仿宋" w:hAnsi="仿宋" w:eastAsia="仿宋" w:cstheme="minorBidi"/>
          <w:sz w:val="32"/>
          <w:szCs w:val="32"/>
        </w:rPr>
        <w:t>通过强化草原生态保护、产业体系建设、社会化服务组织建设等形式推动畜牧业生产方式和经营方式创新，全力打造牧区乡村振兴示范区。推进市场服务与政府保障有机结合，建立“政府+企业”牧区社会化服务模式，建立“政府+企业”饲草料三级供应保障模式，建设阿巴嘎旗饲草料储备交易中心。推进特色农畜产品线下标准化与线上追溯销售有机结合，建立“云端牧场”管理模式，建设阿巴嘎旗牧区现代化数据中心，建立“科研机构”服务模式。</w:t>
      </w:r>
    </w:p>
    <w:p>
      <w:pPr>
        <w:pStyle w:val="4"/>
        <w:pageBreakBefore w:val="0"/>
        <w:widowControl w:val="0"/>
        <w:kinsoku/>
        <w:wordWrap/>
        <w:overflowPunct/>
        <w:topLinePunct w:val="0"/>
        <w:autoSpaceDE/>
        <w:autoSpaceDN/>
        <w:bidi w:val="0"/>
        <w:adjustRightInd/>
        <w:snapToGrid/>
        <w:spacing w:before="156" w:beforeLines="50" w:after="156" w:afterLines="50" w:line="600" w:lineRule="exact"/>
        <w:textAlignment w:val="auto"/>
        <w:rPr>
          <w:rFonts w:ascii="Calibri Light" w:hAnsi="Calibri Light" w:cs="Times New Roman"/>
          <w:b w:val="0"/>
          <w:bCs w:val="0"/>
          <w:sz w:val="32"/>
          <w:szCs w:val="32"/>
        </w:rPr>
      </w:pPr>
      <w:bookmarkStart w:id="404" w:name="_Toc20924"/>
      <w:bookmarkStart w:id="405" w:name="_Toc27497"/>
      <w:bookmarkStart w:id="406" w:name="_Toc40444174_WPSOffice_Level2"/>
      <w:bookmarkStart w:id="407" w:name="_Toc10409"/>
      <w:bookmarkStart w:id="408" w:name="_Toc18040"/>
      <w:r>
        <w:rPr>
          <w:rFonts w:hint="eastAsia" w:ascii="Calibri Light" w:hAnsi="Calibri Light" w:cs="Times New Roman"/>
          <w:b w:val="0"/>
          <w:bCs w:val="0"/>
          <w:sz w:val="32"/>
          <w:szCs w:val="32"/>
        </w:rPr>
        <w:t>第二节 健全城乡融合发展机制</w:t>
      </w:r>
      <w:bookmarkEnd w:id="404"/>
      <w:bookmarkEnd w:id="405"/>
      <w:bookmarkEnd w:id="406"/>
      <w:bookmarkEnd w:id="407"/>
      <w:bookmarkEnd w:id="408"/>
    </w:p>
    <w:p>
      <w:pPr>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sz w:val="32"/>
          <w:szCs w:val="32"/>
        </w:rPr>
      </w:pPr>
      <w:r>
        <w:rPr>
          <w:rFonts w:hint="eastAsia" w:ascii="仿宋" w:hAnsi="仿宋" w:eastAsia="仿宋" w:cs="仿宋"/>
          <w:b/>
          <w:bCs/>
          <w:sz w:val="32"/>
          <w:szCs w:val="32"/>
        </w:rPr>
        <w:t>推</w:t>
      </w:r>
      <w:r>
        <w:rPr>
          <w:rFonts w:hint="eastAsia" w:ascii="仿宋" w:hAnsi="仿宋" w:eastAsia="仿宋" w:cs="仿宋"/>
          <w:b/>
          <w:bCs/>
          <w:sz w:val="32"/>
          <w:szCs w:val="32"/>
          <w:lang w:eastAsia="zh-CN"/>
        </w:rPr>
        <w:t>进</w:t>
      </w:r>
      <w:r>
        <w:rPr>
          <w:rFonts w:hint="eastAsia" w:ascii="仿宋" w:hAnsi="仿宋" w:eastAsia="仿宋" w:cs="仿宋"/>
          <w:b/>
          <w:bCs/>
          <w:sz w:val="32"/>
          <w:szCs w:val="32"/>
        </w:rPr>
        <w:t>新型城镇化战略。</w:t>
      </w:r>
      <w:r>
        <w:rPr>
          <w:rFonts w:hint="eastAsia" w:ascii="仿宋" w:hAnsi="仿宋" w:eastAsia="仿宋" w:cs="仿宋"/>
          <w:sz w:val="32"/>
          <w:szCs w:val="32"/>
        </w:rPr>
        <w:t>完善县域产业、教育、医疗、养老、环保等政策体系，加快推进</w:t>
      </w:r>
      <w:r>
        <w:rPr>
          <w:rFonts w:hint="eastAsia" w:ascii="仿宋" w:hAnsi="仿宋" w:eastAsia="仿宋" w:cs="仿宋"/>
          <w:sz w:val="32"/>
          <w:szCs w:val="32"/>
          <w:lang w:eastAsia="zh-CN"/>
        </w:rPr>
        <w:t>基层</w:t>
      </w:r>
      <w:r>
        <w:rPr>
          <w:rFonts w:hint="eastAsia" w:ascii="仿宋" w:hAnsi="仿宋" w:eastAsia="仿宋" w:cs="仿宋"/>
          <w:sz w:val="32"/>
          <w:szCs w:val="32"/>
        </w:rPr>
        <w:t>公共基础设施建设、运营、管护一体化发展。推进以县域为载体的城镇化建设，促进在县域就业的农牧民就近就业和就地市民化。积极推进扩权强镇，赋予旗县更多资源整合使用权，建设一批重点苏木乡镇，强化旗县所在地综合服务能力和苏木乡镇服务农牧民区域中心功能，加快形成功能衔接互补的建管格局。</w:t>
      </w:r>
    </w:p>
    <w:p>
      <w:pPr>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sz w:val="32"/>
          <w:szCs w:val="32"/>
        </w:rPr>
      </w:pPr>
      <w:r>
        <w:rPr>
          <w:rFonts w:hint="eastAsia" w:ascii="仿宋" w:hAnsi="仿宋" w:eastAsia="仿宋" w:cs="仿宋"/>
          <w:b/>
          <w:bCs/>
          <w:sz w:val="32"/>
          <w:szCs w:val="32"/>
        </w:rPr>
        <w:t>促进城乡人力资源双向流动。</w:t>
      </w:r>
      <w:r>
        <w:rPr>
          <w:rFonts w:hint="eastAsia" w:ascii="仿宋" w:hAnsi="仿宋" w:eastAsia="仿宋" w:cs="仿宋"/>
          <w:bCs/>
          <w:sz w:val="32"/>
          <w:szCs w:val="32"/>
        </w:rPr>
        <w:t>建立健全农村牧区人才振兴体制机制，完善人才引进、培养、使用、评价和激励机制。</w:t>
      </w:r>
      <w:r>
        <w:rPr>
          <w:rFonts w:hint="eastAsia" w:ascii="仿宋" w:hAnsi="仿宋" w:eastAsia="仿宋" w:cs="仿宋"/>
          <w:bCs/>
          <w:sz w:val="32"/>
          <w:szCs w:val="32"/>
          <w:lang w:eastAsia="zh-CN"/>
        </w:rPr>
        <w:t>加强</w:t>
      </w:r>
      <w:r>
        <w:rPr>
          <w:rFonts w:hint="eastAsia" w:ascii="仿宋" w:hAnsi="仿宋" w:eastAsia="仿宋" w:cs="仿宋"/>
          <w:bCs/>
          <w:sz w:val="32"/>
          <w:szCs w:val="32"/>
        </w:rPr>
        <w:t>城乡人才合作交流，</w:t>
      </w:r>
      <w:r>
        <w:rPr>
          <w:rFonts w:hint="eastAsia" w:ascii="仿宋" w:hAnsi="仿宋" w:eastAsia="仿宋" w:cs="仿宋"/>
          <w:bCs/>
          <w:sz w:val="32"/>
          <w:szCs w:val="32"/>
          <w:lang w:eastAsia="zh-CN"/>
        </w:rPr>
        <w:t>推动建立</w:t>
      </w:r>
      <w:r>
        <w:rPr>
          <w:rFonts w:hint="eastAsia" w:ascii="仿宋" w:hAnsi="仿宋" w:eastAsia="仿宋" w:cs="仿宋"/>
          <w:bCs/>
          <w:sz w:val="32"/>
          <w:szCs w:val="32"/>
        </w:rPr>
        <w:t>城市教科文卫体等工作人员定期服务农村牧区工作</w:t>
      </w:r>
      <w:r>
        <w:rPr>
          <w:rFonts w:hint="eastAsia" w:ascii="仿宋" w:hAnsi="仿宋" w:eastAsia="仿宋" w:cs="仿宋"/>
          <w:bCs/>
          <w:sz w:val="32"/>
          <w:szCs w:val="32"/>
          <w:lang w:eastAsia="zh-CN"/>
        </w:rPr>
        <w:t>机制</w:t>
      </w:r>
      <w:r>
        <w:rPr>
          <w:rFonts w:hint="eastAsia" w:ascii="仿宋" w:hAnsi="仿宋" w:eastAsia="仿宋" w:cs="仿宋"/>
          <w:bCs/>
          <w:sz w:val="32"/>
          <w:szCs w:val="32"/>
        </w:rPr>
        <w:t>。健全农牧业转移人口市民化配套政策体系，完善财政转移支付与农牧业转移人口市民化挂钩相关政策，建立城镇建设用地年度指标分配同吸纳农村牧区转移人口落户数量和提供保障性住房规模挂钩机制，促进农牧业转移人口有序有效融入城市。依法保障进城落户农牧民土地承包权、宅基地使用权、集体收益分配权，建立农村牧区产权流转市场体系，健全农牧户“三权”市场化退出机制和配套政策。</w:t>
      </w:r>
    </w:p>
    <w:p>
      <w:pPr>
        <w:pageBreakBefore w:val="0"/>
        <w:widowControl w:val="0"/>
        <w:kinsoku/>
        <w:wordWrap/>
        <w:overflowPunct/>
        <w:topLinePunct w:val="0"/>
        <w:autoSpaceDE/>
        <w:autoSpaceDN/>
        <w:bidi w:val="0"/>
        <w:adjustRightInd/>
        <w:snapToGrid/>
        <w:spacing w:line="600" w:lineRule="exact"/>
        <w:ind w:firstLine="643" w:firstLineChars="200"/>
        <w:textAlignment w:val="auto"/>
        <w:rPr>
          <w:rFonts w:ascii="仿宋" w:hAnsi="仿宋" w:eastAsia="仿宋" w:cs="仿宋"/>
          <w:bCs/>
          <w:sz w:val="32"/>
          <w:szCs w:val="32"/>
        </w:rPr>
      </w:pPr>
      <w:r>
        <w:rPr>
          <w:rFonts w:hint="eastAsia" w:ascii="仿宋" w:hAnsi="仿宋" w:eastAsia="仿宋" w:cs="仿宋"/>
          <w:b/>
          <w:bCs w:val="0"/>
          <w:sz w:val="32"/>
          <w:szCs w:val="32"/>
        </w:rPr>
        <w:t>引导社会资本投向农牧业农村牧区。</w:t>
      </w:r>
      <w:r>
        <w:rPr>
          <w:rFonts w:hint="eastAsia" w:ascii="仿宋" w:hAnsi="仿宋" w:eastAsia="仿宋" w:cs="仿宋"/>
          <w:bCs/>
          <w:sz w:val="32"/>
          <w:szCs w:val="32"/>
        </w:rPr>
        <w:t>深化“放管服”改革，持续改善农村牧区营商环境，引导鼓励工商资本投入现代农牧业、农村牧区产业、生态治理、基础设施和公共服务建设。建立社会资本投资农牧业农村牧区指引目录，</w:t>
      </w:r>
      <w:r>
        <w:rPr>
          <w:rFonts w:hint="eastAsia" w:ascii="仿宋" w:hAnsi="仿宋" w:eastAsia="仿宋" w:cs="仿宋"/>
          <w:bCs/>
          <w:sz w:val="32"/>
          <w:szCs w:val="32"/>
          <w:lang w:eastAsia="zh-CN"/>
        </w:rPr>
        <w:t>强化</w:t>
      </w:r>
      <w:r>
        <w:rPr>
          <w:rFonts w:hint="eastAsia" w:ascii="仿宋" w:hAnsi="仿宋" w:eastAsia="仿宋" w:cs="仿宋"/>
          <w:bCs/>
          <w:sz w:val="32"/>
          <w:szCs w:val="32"/>
        </w:rPr>
        <w:t>政府投入引领，发挥乡村振兴基金撬动金融资本</w:t>
      </w:r>
      <w:r>
        <w:rPr>
          <w:rFonts w:hint="eastAsia" w:ascii="仿宋" w:hAnsi="仿宋" w:eastAsia="仿宋" w:cs="仿宋"/>
          <w:bCs/>
          <w:sz w:val="32"/>
          <w:szCs w:val="32"/>
          <w:lang w:eastAsia="zh-CN"/>
        </w:rPr>
        <w:t>和</w:t>
      </w:r>
      <w:r>
        <w:rPr>
          <w:rFonts w:hint="eastAsia" w:ascii="仿宋" w:hAnsi="仿宋" w:eastAsia="仿宋" w:cs="仿宋"/>
          <w:bCs/>
          <w:sz w:val="32"/>
          <w:szCs w:val="32"/>
        </w:rPr>
        <w:t>社会力量作用，重点支持农村牧区产业发展。在不新增地方政府隐性债务前提下，引导银行业金融机构把农村牧区基础设施建设作为投资重点，拓展乡村建设资金来源渠道，加大对农村牧区基础设施建设的信贷支持力度。引导大中型银行进一步下沉服务重心，优化县域网点设置。</w:t>
      </w:r>
    </w:p>
    <w:p>
      <w:pPr>
        <w:pStyle w:val="4"/>
        <w:pageBreakBefore w:val="0"/>
        <w:widowControl w:val="0"/>
        <w:kinsoku/>
        <w:wordWrap/>
        <w:overflowPunct/>
        <w:topLinePunct w:val="0"/>
        <w:autoSpaceDE/>
        <w:autoSpaceDN/>
        <w:bidi w:val="0"/>
        <w:adjustRightInd/>
        <w:snapToGrid/>
        <w:spacing w:before="156" w:beforeLines="50" w:after="156" w:afterLines="50" w:line="600" w:lineRule="exact"/>
        <w:textAlignment w:val="auto"/>
        <w:rPr>
          <w:rFonts w:ascii="Calibri Light" w:hAnsi="Calibri Light" w:cs="Times New Roman"/>
          <w:b w:val="0"/>
          <w:bCs w:val="0"/>
          <w:sz w:val="32"/>
          <w:szCs w:val="32"/>
        </w:rPr>
      </w:pPr>
      <w:bookmarkStart w:id="409" w:name="_Toc26141"/>
      <w:bookmarkStart w:id="410" w:name="_Toc18440"/>
      <w:bookmarkStart w:id="411" w:name="_Toc24871"/>
      <w:bookmarkStart w:id="412" w:name="_Toc805913336_WPSOffice_Level2"/>
      <w:bookmarkStart w:id="413" w:name="_Toc31285"/>
      <w:r>
        <w:rPr>
          <w:rFonts w:hint="eastAsia" w:ascii="Calibri Light" w:hAnsi="Calibri Light" w:cs="Times New Roman"/>
          <w:b w:val="0"/>
          <w:bCs w:val="0"/>
          <w:sz w:val="32"/>
          <w:szCs w:val="32"/>
        </w:rPr>
        <w:t>第三节 深化农村牧区土地制度改革</w:t>
      </w:r>
      <w:bookmarkEnd w:id="409"/>
      <w:bookmarkEnd w:id="410"/>
      <w:bookmarkEnd w:id="411"/>
      <w:bookmarkEnd w:id="412"/>
      <w:bookmarkEnd w:id="413"/>
    </w:p>
    <w:p>
      <w:pPr>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sz w:val="32"/>
          <w:szCs w:val="32"/>
        </w:rPr>
      </w:pPr>
      <w:bookmarkStart w:id="414" w:name="_Toc59000560"/>
      <w:bookmarkStart w:id="415" w:name="_Toc57041442"/>
      <w:bookmarkStart w:id="416" w:name="_Toc56894087"/>
      <w:bookmarkStart w:id="417" w:name="_Toc58870187"/>
      <w:r>
        <w:rPr>
          <w:rFonts w:hint="eastAsia" w:ascii="仿宋" w:hAnsi="仿宋" w:eastAsia="仿宋" w:cs="仿宋"/>
          <w:b/>
          <w:bCs/>
          <w:sz w:val="32"/>
          <w:szCs w:val="32"/>
        </w:rPr>
        <w:t>巩固</w:t>
      </w:r>
      <w:r>
        <w:rPr>
          <w:rFonts w:hint="eastAsia" w:ascii="仿宋" w:hAnsi="仿宋" w:eastAsia="仿宋" w:cs="仿宋"/>
          <w:b/>
          <w:bCs/>
          <w:sz w:val="32"/>
          <w:szCs w:val="32"/>
          <w:lang w:eastAsia="zh-CN"/>
        </w:rPr>
        <w:t>和</w:t>
      </w:r>
      <w:r>
        <w:rPr>
          <w:rFonts w:hint="eastAsia" w:ascii="仿宋" w:hAnsi="仿宋" w:eastAsia="仿宋" w:cs="仿宋"/>
          <w:b/>
          <w:bCs/>
          <w:sz w:val="32"/>
          <w:szCs w:val="32"/>
        </w:rPr>
        <w:t>完善农村牧区基本经营制度。</w:t>
      </w:r>
      <w:r>
        <w:rPr>
          <w:rFonts w:hint="eastAsia" w:ascii="仿宋" w:hAnsi="仿宋" w:eastAsia="仿宋" w:cs="仿宋"/>
          <w:sz w:val="32"/>
          <w:szCs w:val="32"/>
        </w:rPr>
        <w:t>落实中央关于保持农村土地承包关系稳定并长久不变的政策，</w:t>
      </w:r>
      <w:r>
        <w:rPr>
          <w:rFonts w:hint="eastAsia" w:ascii="仿宋" w:hAnsi="仿宋" w:eastAsia="仿宋" w:cs="仿宋"/>
          <w:sz w:val="32"/>
          <w:szCs w:val="32"/>
          <w:lang w:eastAsia="zh-CN"/>
        </w:rPr>
        <w:t>强化</w:t>
      </w:r>
      <w:r>
        <w:rPr>
          <w:rFonts w:hint="eastAsia" w:ascii="仿宋" w:hAnsi="仿宋" w:eastAsia="仿宋" w:cs="仿宋"/>
          <w:sz w:val="32"/>
          <w:szCs w:val="32"/>
        </w:rPr>
        <w:t>双层经营体制。完善农村牧区承包地“三权分置”，探索集体所有权、农牧户承包权、土地经营权分置的有效实现形式。加强农村牧区土地承包合同管理，规范土地经营权有序流转，完善土地承包信息数据库和应用平台，提高土地承包管理信息化水平。稳妥推进农牧户土地经营权入股农牧业产业化经营试点，按照“土地经营权入股+保底收益+按股分红”的模式，完善农企利益联结机制。</w:t>
      </w:r>
    </w:p>
    <w:bookmarkEnd w:id="414"/>
    <w:bookmarkEnd w:id="415"/>
    <w:bookmarkEnd w:id="416"/>
    <w:bookmarkEnd w:id="417"/>
    <w:p>
      <w:pPr>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sz w:val="32"/>
          <w:szCs w:val="32"/>
          <w:lang w:eastAsia="zh-CN"/>
        </w:rPr>
      </w:pPr>
      <w:r>
        <w:rPr>
          <w:rFonts w:hint="eastAsia" w:ascii="仿宋" w:hAnsi="仿宋" w:eastAsia="仿宋" w:cs="仿宋"/>
          <w:b/>
          <w:bCs/>
          <w:sz w:val="32"/>
          <w:szCs w:val="32"/>
          <w:lang w:eastAsia="zh-CN"/>
        </w:rPr>
        <w:t>优化农村牧区土地资源配置</w:t>
      </w:r>
      <w:r>
        <w:rPr>
          <w:rFonts w:hint="eastAsia" w:ascii="仿宋" w:hAnsi="仿宋" w:eastAsia="仿宋" w:cs="仿宋"/>
          <w:b/>
          <w:bCs/>
          <w:sz w:val="32"/>
          <w:szCs w:val="32"/>
        </w:rPr>
        <w:t>。</w:t>
      </w:r>
      <w:r>
        <w:rPr>
          <w:rFonts w:hint="eastAsia" w:ascii="仿宋" w:hAnsi="仿宋" w:eastAsia="仿宋" w:cs="仿宋"/>
          <w:sz w:val="32"/>
          <w:szCs w:val="32"/>
        </w:rPr>
        <w:t>把处理好农牧民与土地的关系作为改革主线，</w:t>
      </w:r>
      <w:r>
        <w:rPr>
          <w:rFonts w:hint="eastAsia" w:ascii="仿宋" w:hAnsi="仿宋" w:eastAsia="仿宋" w:cs="仿宋"/>
          <w:sz w:val="32"/>
          <w:szCs w:val="32"/>
          <w:lang w:eastAsia="zh-CN"/>
        </w:rPr>
        <w:t>完善土地有偿使用制度，</w:t>
      </w:r>
      <w:r>
        <w:rPr>
          <w:rFonts w:hint="eastAsia" w:ascii="仿宋" w:hAnsi="仿宋" w:eastAsia="仿宋" w:cs="仿宋"/>
          <w:sz w:val="32"/>
          <w:szCs w:val="32"/>
        </w:rPr>
        <w:t>建立</w:t>
      </w:r>
      <w:r>
        <w:rPr>
          <w:rFonts w:hint="eastAsia" w:ascii="仿宋" w:hAnsi="仿宋" w:eastAsia="仿宋" w:cs="仿宋"/>
          <w:sz w:val="32"/>
          <w:szCs w:val="32"/>
          <w:lang w:eastAsia="zh-CN"/>
        </w:rPr>
        <w:t>健全</w:t>
      </w:r>
      <w:r>
        <w:rPr>
          <w:rFonts w:hint="eastAsia" w:ascii="仿宋" w:hAnsi="仿宋" w:eastAsia="仿宋" w:cs="仿宋"/>
          <w:sz w:val="32"/>
          <w:szCs w:val="32"/>
        </w:rPr>
        <w:t>城乡统一的建设用地市场。</w:t>
      </w:r>
      <w:r>
        <w:rPr>
          <w:rFonts w:hint="eastAsia" w:ascii="仿宋" w:hAnsi="仿宋" w:eastAsia="仿宋" w:cs="仿宋"/>
          <w:sz w:val="32"/>
          <w:szCs w:val="32"/>
          <w:lang w:eastAsia="zh-CN"/>
        </w:rPr>
        <w:t>盘活农村牧区存量建设用地，优先保障农村牧区产业发展和建设用地。依据国土空间规划，以苏木乡镇或嘎查村为单位开展全域土地综合整治。稳妥有序推进</w:t>
      </w:r>
      <w:r>
        <w:rPr>
          <w:rFonts w:hint="eastAsia" w:ascii="仿宋" w:hAnsi="仿宋" w:eastAsia="仿宋" w:cs="仿宋"/>
          <w:sz w:val="32"/>
          <w:szCs w:val="32"/>
        </w:rPr>
        <w:t>农村牧区集体经营性建设</w:t>
      </w:r>
      <w:r>
        <w:rPr>
          <w:rFonts w:hint="eastAsia" w:ascii="仿宋" w:hAnsi="仿宋" w:eastAsia="仿宋" w:cs="仿宋"/>
          <w:sz w:val="32"/>
          <w:szCs w:val="32"/>
          <w:lang w:eastAsia="zh-CN"/>
        </w:rPr>
        <w:t>用地入市工作</w:t>
      </w:r>
      <w:r>
        <w:rPr>
          <w:rFonts w:hint="eastAsia" w:ascii="仿宋" w:hAnsi="仿宋" w:eastAsia="仿宋" w:cs="仿宋"/>
          <w:sz w:val="32"/>
          <w:szCs w:val="32"/>
        </w:rPr>
        <w:t>，明确入市主体、范围和</w:t>
      </w:r>
      <w:r>
        <w:rPr>
          <w:rFonts w:hint="eastAsia" w:ascii="仿宋" w:hAnsi="仿宋" w:eastAsia="仿宋" w:cs="仿宋"/>
          <w:sz w:val="32"/>
          <w:szCs w:val="32"/>
          <w:lang w:eastAsia="zh-CN"/>
        </w:rPr>
        <w:t>权能。建立</w:t>
      </w:r>
      <w:r>
        <w:rPr>
          <w:rFonts w:hint="eastAsia" w:ascii="仿宋" w:hAnsi="仿宋" w:eastAsia="仿宋" w:cs="仿宋"/>
          <w:sz w:val="32"/>
          <w:szCs w:val="32"/>
        </w:rPr>
        <w:t>农村牧区土地征收</w:t>
      </w:r>
      <w:r>
        <w:rPr>
          <w:rFonts w:hint="eastAsia" w:ascii="仿宋" w:hAnsi="仿宋" w:eastAsia="仿宋" w:cs="仿宋"/>
          <w:sz w:val="32"/>
          <w:szCs w:val="32"/>
          <w:lang w:eastAsia="zh-CN"/>
        </w:rPr>
        <w:t>公共利益认定机制</w:t>
      </w:r>
      <w:r>
        <w:rPr>
          <w:rFonts w:hint="eastAsia" w:ascii="仿宋" w:hAnsi="仿宋" w:eastAsia="仿宋" w:cs="仿宋"/>
          <w:sz w:val="32"/>
          <w:szCs w:val="32"/>
        </w:rPr>
        <w:t>，缩小征地范围，规范征地程序，维护被征地农牧民和嘎查村集体权益。</w:t>
      </w:r>
      <w:bookmarkStart w:id="418" w:name="_Toc12675"/>
      <w:bookmarkStart w:id="419" w:name="_Toc57041444"/>
      <w:bookmarkStart w:id="420" w:name="_Toc13831"/>
      <w:bookmarkStart w:id="421" w:name="_Toc59000563"/>
      <w:bookmarkStart w:id="422" w:name="_Toc58870190"/>
      <w:r>
        <w:rPr>
          <w:rFonts w:hint="eastAsia" w:ascii="仿宋" w:hAnsi="仿宋" w:eastAsia="仿宋" w:cs="仿宋"/>
          <w:sz w:val="32"/>
          <w:szCs w:val="32"/>
          <w:lang w:eastAsia="zh-CN"/>
        </w:rPr>
        <w:t>鼓励对依法登记的农村牧区建设用地进行复合利用，发展休闲农牧业、民宿、农畜产品加工、农村牧区电商等。</w:t>
      </w:r>
    </w:p>
    <w:p>
      <w:pPr>
        <w:pageBreakBefore w:val="0"/>
        <w:widowControl w:val="0"/>
        <w:kinsoku/>
        <w:wordWrap/>
        <w:overflowPunct/>
        <w:topLinePunct w:val="0"/>
        <w:autoSpaceDE/>
        <w:autoSpaceDN/>
        <w:bidi w:val="0"/>
        <w:adjustRightInd/>
        <w:snapToGrid/>
        <w:spacing w:line="600" w:lineRule="exact"/>
        <w:ind w:firstLine="643" w:firstLineChars="200"/>
        <w:textAlignment w:val="auto"/>
        <w:rPr>
          <w:rFonts w:ascii="仿宋" w:hAnsi="仿宋" w:eastAsia="仿宋" w:cstheme="minorBidi"/>
          <w:color w:val="000000" w:themeColor="text1"/>
          <w:sz w:val="32"/>
          <w:szCs w:val="32"/>
        </w:rPr>
      </w:pPr>
      <w:r>
        <w:rPr>
          <w:rFonts w:hint="eastAsia" w:ascii="仿宋" w:hAnsi="仿宋" w:eastAsia="仿宋" w:cs="仿宋"/>
          <w:b/>
          <w:bCs/>
          <w:sz w:val="32"/>
          <w:szCs w:val="32"/>
        </w:rPr>
        <w:t>稳慎推进宅基地改革。</w:t>
      </w:r>
      <w:r>
        <w:rPr>
          <w:rFonts w:hint="eastAsia" w:ascii="仿宋" w:hAnsi="仿宋" w:eastAsia="仿宋" w:cs="仿宋"/>
          <w:sz w:val="32"/>
          <w:szCs w:val="32"/>
        </w:rPr>
        <w:t>稳妥开展农村牧区闲置宅基地和闲置农房盘活利用工作，加快</w:t>
      </w:r>
      <w:r>
        <w:rPr>
          <w:rFonts w:hint="eastAsia" w:ascii="仿宋" w:hAnsi="仿宋" w:eastAsia="仿宋" w:cstheme="minorBidi"/>
          <w:sz w:val="32"/>
          <w:szCs w:val="32"/>
        </w:rPr>
        <w:t>推进农村牧区宅基地使用权确权登记颁证。完善宅基地集体所有权行使机制，指导农村牧区集体经济组织制定宅基地管理章程。</w:t>
      </w:r>
      <w:r>
        <w:rPr>
          <w:rFonts w:hint="eastAsia" w:ascii="仿宋" w:hAnsi="仿宋" w:eastAsia="仿宋" w:cstheme="minorBidi"/>
          <w:color w:val="000000" w:themeColor="text1"/>
          <w:sz w:val="32"/>
          <w:szCs w:val="32"/>
        </w:rPr>
        <w:t>完善宅基地审批制度，健全宅基地监管机制，依法落实“一户一宅”要求，防止乱占耕地建房现象发生。推进宅基地数字化管理，逐步形成宅基地信息“一张图”。建立宅基地征收、流转、退出、经营等收益主要由农牧民获得的保障机制。创新宅基地增值收益集体部分使用方式，探索集体成员长期分享宅基地增值收益的有效途径。</w:t>
      </w:r>
    </w:p>
    <w:bookmarkEnd w:id="418"/>
    <w:bookmarkEnd w:id="419"/>
    <w:bookmarkEnd w:id="420"/>
    <w:bookmarkEnd w:id="421"/>
    <w:bookmarkEnd w:id="422"/>
    <w:p>
      <w:pPr>
        <w:pStyle w:val="4"/>
        <w:pageBreakBefore w:val="0"/>
        <w:widowControl w:val="0"/>
        <w:kinsoku/>
        <w:wordWrap/>
        <w:overflowPunct/>
        <w:topLinePunct w:val="0"/>
        <w:autoSpaceDE/>
        <w:autoSpaceDN/>
        <w:bidi w:val="0"/>
        <w:adjustRightInd/>
        <w:snapToGrid/>
        <w:spacing w:before="156" w:beforeLines="50" w:after="156" w:afterLines="50" w:line="600" w:lineRule="exact"/>
        <w:textAlignment w:val="auto"/>
        <w:rPr>
          <w:rFonts w:ascii="Calibri Light" w:hAnsi="Calibri Light" w:cs="Times New Roman"/>
          <w:b w:val="0"/>
          <w:bCs w:val="0"/>
          <w:sz w:val="32"/>
          <w:szCs w:val="32"/>
        </w:rPr>
      </w:pPr>
      <w:bookmarkStart w:id="423" w:name="_Toc21691"/>
      <w:bookmarkStart w:id="424" w:name="_Toc31163"/>
      <w:bookmarkStart w:id="425" w:name="_Toc14932"/>
      <w:bookmarkStart w:id="426" w:name="_Toc1580775498_WPSOffice_Level2"/>
      <w:bookmarkStart w:id="427" w:name="_Toc23955"/>
      <w:r>
        <w:rPr>
          <w:rFonts w:hint="eastAsia" w:ascii="Calibri Light" w:hAnsi="Calibri Light" w:cs="Times New Roman"/>
          <w:b w:val="0"/>
          <w:bCs w:val="0"/>
          <w:sz w:val="32"/>
          <w:szCs w:val="32"/>
        </w:rPr>
        <w:t xml:space="preserve">第四节 </w:t>
      </w:r>
      <w:r>
        <w:rPr>
          <w:rFonts w:hint="eastAsia" w:ascii="Calibri Light" w:hAnsi="Calibri Light" w:cs="Times New Roman"/>
          <w:b w:val="0"/>
          <w:bCs w:val="0"/>
          <w:sz w:val="32"/>
          <w:szCs w:val="32"/>
          <w:lang w:eastAsia="zh-CN"/>
        </w:rPr>
        <w:t>加强</w:t>
      </w:r>
      <w:r>
        <w:rPr>
          <w:rFonts w:hint="eastAsia" w:ascii="Calibri Light" w:hAnsi="Calibri Light" w:cs="Times New Roman"/>
          <w:b w:val="0"/>
          <w:bCs w:val="0"/>
          <w:sz w:val="32"/>
          <w:szCs w:val="32"/>
        </w:rPr>
        <w:t>农村牧区集体产权制度改革</w:t>
      </w:r>
      <w:bookmarkEnd w:id="423"/>
      <w:bookmarkEnd w:id="424"/>
      <w:bookmarkEnd w:id="425"/>
      <w:bookmarkEnd w:id="426"/>
      <w:bookmarkEnd w:id="427"/>
    </w:p>
    <w:p>
      <w:pPr>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sz w:val="32"/>
          <w:szCs w:val="32"/>
        </w:rPr>
      </w:pPr>
      <w:r>
        <w:rPr>
          <w:rFonts w:hint="eastAsia" w:ascii="仿宋" w:hAnsi="仿宋" w:eastAsia="仿宋" w:cs="仿宋"/>
          <w:b/>
          <w:bCs/>
          <w:sz w:val="32"/>
          <w:szCs w:val="32"/>
        </w:rPr>
        <w:t>推进经营性资产股份合作制改革。</w:t>
      </w:r>
      <w:r>
        <w:rPr>
          <w:rFonts w:hint="eastAsia" w:ascii="仿宋" w:hAnsi="仿宋" w:eastAsia="仿宋" w:cs="仿宋"/>
          <w:sz w:val="32"/>
          <w:szCs w:val="32"/>
        </w:rPr>
        <w:t>巩固农村牧区集体产权制度改革成果，构建“归属清晰、权能完整、流转顺畅、保护严格”的农村牧区集体产权制度。积极发展农牧民股份合作，赋予农牧民对集体资产股份占有、收益、有偿退出及抵押、担保和继承的权利，健全交易、监管、收益分配制度，促进集体资产保值增值，加快集体经营性资产股份合作制改革</w:t>
      </w:r>
      <w:r>
        <w:rPr>
          <w:rFonts w:hint="eastAsia" w:ascii="仿宋" w:hAnsi="仿宋" w:eastAsia="仿宋" w:cs="仿宋"/>
          <w:sz w:val="32"/>
          <w:szCs w:val="32"/>
          <w:lang w:eastAsia="zh-CN"/>
        </w:rPr>
        <w:t>进程</w:t>
      </w:r>
      <w:r>
        <w:rPr>
          <w:rFonts w:hint="eastAsia" w:ascii="仿宋" w:hAnsi="仿宋" w:eastAsia="仿宋" w:cs="仿宋"/>
          <w:sz w:val="32"/>
          <w:szCs w:val="32"/>
        </w:rPr>
        <w:t>。</w:t>
      </w:r>
    </w:p>
    <w:p>
      <w:pPr>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sz w:val="32"/>
          <w:szCs w:val="32"/>
        </w:rPr>
      </w:pPr>
      <w:bookmarkStart w:id="428" w:name="_Toc10000"/>
      <w:r>
        <w:rPr>
          <w:rFonts w:hint="eastAsia" w:ascii="仿宋" w:hAnsi="仿宋" w:eastAsia="仿宋" w:cs="仿宋"/>
          <w:b/>
          <w:bCs/>
          <w:sz w:val="32"/>
          <w:szCs w:val="32"/>
        </w:rPr>
        <w:t>发展新型农村牧区集体经济。</w:t>
      </w:r>
      <w:r>
        <w:rPr>
          <w:rFonts w:hint="eastAsia" w:ascii="仿宋" w:hAnsi="仿宋" w:eastAsia="仿宋" w:cs="仿宋"/>
          <w:sz w:val="32"/>
          <w:szCs w:val="32"/>
        </w:rPr>
        <w:t>积极探索集体经济发展壮大</w:t>
      </w:r>
      <w:r>
        <w:rPr>
          <w:rFonts w:hint="eastAsia" w:ascii="仿宋" w:hAnsi="仿宋" w:eastAsia="仿宋" w:cs="仿宋"/>
          <w:sz w:val="32"/>
          <w:szCs w:val="32"/>
          <w:lang w:eastAsia="zh-CN"/>
        </w:rPr>
        <w:t>的</w:t>
      </w:r>
      <w:r>
        <w:rPr>
          <w:rFonts w:hint="eastAsia" w:ascii="仿宋" w:hAnsi="仿宋" w:eastAsia="仿宋" w:cs="仿宋"/>
          <w:sz w:val="32"/>
          <w:szCs w:val="32"/>
        </w:rPr>
        <w:t>有效途径，指导集体经济组织管好用好集体资产和资源。推广资产经营型、资源开发型、服务创新型、乡村旅游型、产业带动型、联合经营型等经营模式发展集体经济，通过资源变资产、资产变资金、农牧民变股东，盘活利用集体资产资源，发展壮大集体经济。实施发展壮大嘎查村级集体经济项目，提升嘎查村集体经济发展水平</w:t>
      </w:r>
      <w:bookmarkStart w:id="429" w:name="_Toc58870193"/>
      <w:bookmarkStart w:id="430" w:name="_Toc57041447"/>
      <w:bookmarkStart w:id="431" w:name="_Toc59000566"/>
      <w:bookmarkStart w:id="432" w:name="_Toc23193"/>
      <w:r>
        <w:rPr>
          <w:rFonts w:hint="eastAsia" w:ascii="仿宋" w:hAnsi="仿宋" w:eastAsia="仿宋" w:cs="仿宋"/>
          <w:sz w:val="32"/>
          <w:szCs w:val="32"/>
          <w:lang w:eastAsia="zh-CN"/>
        </w:rPr>
        <w:t>。</w:t>
      </w:r>
      <w:r>
        <w:rPr>
          <w:rFonts w:hint="eastAsia" w:ascii="仿宋" w:hAnsi="仿宋" w:eastAsia="仿宋" w:cs="仿宋"/>
          <w:sz w:val="32"/>
          <w:szCs w:val="32"/>
        </w:rPr>
        <w:t>到2025年，集体经济年收入低于10万元的嘎查村全部清零。</w:t>
      </w:r>
    </w:p>
    <w:bookmarkEnd w:id="428"/>
    <w:bookmarkEnd w:id="429"/>
    <w:bookmarkEnd w:id="430"/>
    <w:bookmarkEnd w:id="431"/>
    <w:bookmarkEnd w:id="432"/>
    <w:p>
      <w:pPr>
        <w:pageBreakBefore w:val="0"/>
        <w:widowControl w:val="0"/>
        <w:numPr>
          <w:ilvl w:val="255"/>
          <w:numId w:val="0"/>
        </w:numPr>
        <w:kinsoku/>
        <w:wordWrap/>
        <w:overflowPunct/>
        <w:topLinePunct w:val="0"/>
        <w:autoSpaceDE/>
        <w:autoSpaceDN/>
        <w:bidi w:val="0"/>
        <w:adjustRightInd/>
        <w:snapToGrid/>
        <w:spacing w:line="600" w:lineRule="exact"/>
        <w:ind w:firstLine="643" w:firstLineChars="200"/>
        <w:jc w:val="both"/>
        <w:textAlignment w:val="auto"/>
        <w:rPr>
          <w:rFonts w:ascii="仿宋" w:hAnsi="仿宋" w:eastAsia="仿宋" w:cstheme="minorBidi"/>
          <w:sz w:val="32"/>
          <w:szCs w:val="32"/>
        </w:rPr>
      </w:pPr>
      <w:r>
        <w:rPr>
          <w:rFonts w:hint="eastAsia" w:ascii="仿宋" w:hAnsi="仿宋" w:eastAsia="仿宋" w:cs="仿宋"/>
          <w:b/>
          <w:bCs/>
          <w:sz w:val="32"/>
          <w:szCs w:val="32"/>
        </w:rPr>
        <w:t>加强集体资产监督管理。</w:t>
      </w:r>
      <w:r>
        <w:rPr>
          <w:rFonts w:hint="eastAsia" w:ascii="仿宋" w:hAnsi="仿宋" w:eastAsia="仿宋" w:cs="仿宋"/>
          <w:sz w:val="32"/>
          <w:szCs w:val="32"/>
        </w:rPr>
        <w:t>巩固集体资产清产核资成果，</w:t>
      </w:r>
      <w:r>
        <w:rPr>
          <w:rFonts w:hint="eastAsia" w:ascii="仿宋" w:hAnsi="仿宋" w:eastAsia="仿宋" w:cs="仿宋"/>
          <w:sz w:val="32"/>
          <w:szCs w:val="32"/>
          <w:lang w:eastAsia="zh-CN"/>
        </w:rPr>
        <w:t>加强</w:t>
      </w:r>
      <w:r>
        <w:rPr>
          <w:rFonts w:hint="eastAsia" w:ascii="仿宋" w:hAnsi="仿宋" w:eastAsia="仿宋" w:cs="仿宋"/>
          <w:sz w:val="32"/>
          <w:szCs w:val="32"/>
        </w:rPr>
        <w:t>集体资产台账</w:t>
      </w:r>
      <w:r>
        <w:rPr>
          <w:rFonts w:hint="eastAsia" w:ascii="仿宋" w:hAnsi="仿宋" w:eastAsia="仿宋" w:cs="仿宋"/>
          <w:sz w:val="32"/>
          <w:szCs w:val="32"/>
          <w:lang w:eastAsia="zh-CN"/>
        </w:rPr>
        <w:t>式管理</w:t>
      </w:r>
      <w:r>
        <w:rPr>
          <w:rFonts w:hint="eastAsia" w:ascii="仿宋" w:hAnsi="仿宋" w:eastAsia="仿宋" w:cs="仿宋"/>
          <w:sz w:val="32"/>
          <w:szCs w:val="32"/>
        </w:rPr>
        <w:t>，定期开展农村牧区集体资产清查，防止资产流失。建立和完善农村牧区集体资产登记、保管、使用和处置等各项制度，加快集体资产监督管理平台建设，推动农村牧区集体资产财务管理制度化、规范化、信息化。依托嘎查村务监督委员会，落实民主理财、规范财务公开，切实维护集体成员的监督管理权</w:t>
      </w:r>
      <w:r>
        <w:rPr>
          <w:rFonts w:hint="eastAsia" w:ascii="仿宋" w:hAnsi="仿宋" w:eastAsia="仿宋" w:cstheme="minorBidi"/>
          <w:sz w:val="32"/>
          <w:szCs w:val="32"/>
        </w:rPr>
        <w:t>。加强农村牧区集体经济组织审计监督</w:t>
      </w:r>
      <w:r>
        <w:rPr>
          <w:rFonts w:hint="eastAsia" w:ascii="仿宋" w:hAnsi="仿宋" w:eastAsia="仿宋" w:cstheme="minorBidi"/>
          <w:sz w:val="32"/>
          <w:szCs w:val="32"/>
          <w:lang w:eastAsia="zh-CN"/>
        </w:rPr>
        <w:t>工作</w:t>
      </w:r>
      <w:r>
        <w:rPr>
          <w:rFonts w:hint="eastAsia" w:ascii="仿宋" w:hAnsi="仿宋" w:eastAsia="仿宋" w:cstheme="minorBidi"/>
          <w:sz w:val="32"/>
          <w:szCs w:val="32"/>
        </w:rPr>
        <w:t>，</w:t>
      </w:r>
      <w:r>
        <w:rPr>
          <w:rFonts w:hint="eastAsia" w:ascii="仿宋" w:hAnsi="仿宋" w:eastAsia="仿宋" w:cstheme="minorBidi"/>
          <w:sz w:val="32"/>
          <w:szCs w:val="32"/>
          <w:lang w:eastAsia="zh-CN"/>
        </w:rPr>
        <w:t>开展</w:t>
      </w:r>
      <w:r>
        <w:rPr>
          <w:rFonts w:hint="eastAsia" w:ascii="仿宋" w:hAnsi="仿宋" w:eastAsia="仿宋" w:cstheme="minorBidi"/>
          <w:sz w:val="32"/>
          <w:szCs w:val="32"/>
        </w:rPr>
        <w:t>嘎查村干部任期和离任经济责任等专项审计，建立问题移交、定期通报和责任追究查处制度，防止侵占集体资产。加大对集体财务管理混乱嘎查村的整顿力度，坚决防止和纠正发生在群众身边的腐败行为。</w:t>
      </w:r>
    </w:p>
    <w:bookmarkEnd w:id="394"/>
    <w:bookmarkEnd w:id="395"/>
    <w:bookmarkEnd w:id="396"/>
    <w:bookmarkEnd w:id="397"/>
    <w:bookmarkEnd w:id="398"/>
    <w:p>
      <w:pPr>
        <w:pStyle w:val="4"/>
        <w:spacing w:before="156" w:beforeLines="50" w:after="156" w:afterLines="50" w:line="540" w:lineRule="exact"/>
        <w:rPr>
          <w:rFonts w:ascii="Calibri Light" w:hAnsi="Calibri Light" w:cs="Times New Roman"/>
          <w:b w:val="0"/>
          <w:bCs w:val="0"/>
          <w:sz w:val="32"/>
          <w:szCs w:val="32"/>
        </w:rPr>
      </w:pPr>
      <w:bookmarkStart w:id="433" w:name="_Toc115491055_WPSOffice_Level2"/>
      <w:bookmarkStart w:id="434" w:name="_Toc59000567"/>
      <w:bookmarkStart w:id="435" w:name="_Toc27370"/>
      <w:bookmarkStart w:id="436" w:name="_Toc15963"/>
      <w:bookmarkStart w:id="437" w:name="_Toc32313"/>
      <w:bookmarkStart w:id="438" w:name="_Toc11365"/>
      <w:bookmarkStart w:id="439" w:name="_Toc58870194"/>
      <w:r>
        <w:rPr>
          <w:rFonts w:hint="eastAsia" w:ascii="Calibri Light" w:hAnsi="Calibri Light" w:cs="Times New Roman"/>
          <w:b w:val="0"/>
          <w:bCs w:val="0"/>
          <w:sz w:val="32"/>
          <w:szCs w:val="32"/>
        </w:rPr>
        <w:t xml:space="preserve">第五节 </w:t>
      </w:r>
      <w:r>
        <w:rPr>
          <w:rFonts w:hint="eastAsia" w:ascii="Calibri Light" w:hAnsi="Calibri Light" w:cs="Times New Roman"/>
          <w:b w:val="0"/>
          <w:bCs w:val="0"/>
          <w:sz w:val="32"/>
          <w:szCs w:val="32"/>
          <w:lang w:eastAsia="zh-CN"/>
        </w:rPr>
        <w:t>强化</w:t>
      </w:r>
      <w:r>
        <w:rPr>
          <w:rFonts w:hint="eastAsia" w:ascii="Calibri Light" w:hAnsi="Calibri Light" w:cs="Times New Roman"/>
          <w:b w:val="0"/>
          <w:bCs w:val="0"/>
          <w:sz w:val="32"/>
          <w:szCs w:val="32"/>
        </w:rPr>
        <w:t>农垦改革</w:t>
      </w:r>
      <w:bookmarkEnd w:id="433"/>
      <w:bookmarkEnd w:id="434"/>
      <w:bookmarkEnd w:id="435"/>
      <w:bookmarkEnd w:id="436"/>
      <w:bookmarkEnd w:id="437"/>
      <w:bookmarkEnd w:id="438"/>
      <w:bookmarkEnd w:id="439"/>
    </w:p>
    <w:p>
      <w:pPr>
        <w:pageBreakBefore w:val="0"/>
        <w:widowControl w:val="0"/>
        <w:numPr>
          <w:ilvl w:val="255"/>
          <w:numId w:val="0"/>
        </w:numPr>
        <w:kinsoku/>
        <w:wordWrap/>
        <w:overflowPunct/>
        <w:topLinePunct w:val="0"/>
        <w:autoSpaceDE/>
        <w:autoSpaceDN/>
        <w:bidi w:val="0"/>
        <w:adjustRightInd/>
        <w:snapToGrid/>
        <w:spacing w:line="600" w:lineRule="exact"/>
        <w:ind w:firstLine="640" w:firstLineChars="200"/>
        <w:textAlignment w:val="auto"/>
        <w:rPr>
          <w:rFonts w:ascii="仿宋" w:hAnsi="仿宋" w:eastAsia="仿宋" w:cstheme="minorBidi"/>
          <w:color w:val="000000" w:themeColor="text1"/>
          <w:sz w:val="32"/>
          <w:szCs w:val="32"/>
        </w:rPr>
      </w:pPr>
      <w:r>
        <w:rPr>
          <w:rFonts w:hint="eastAsia" w:ascii="仿宋" w:hAnsi="仿宋" w:eastAsia="仿宋" w:cstheme="minorBidi"/>
          <w:sz w:val="32"/>
          <w:szCs w:val="32"/>
        </w:rPr>
        <w:t>在全面完成农垦国有土地使用权确权登记发证的基础上，推进农垦资源资产化、资产资本化、资本股份化</w:t>
      </w:r>
      <w:r>
        <w:rPr>
          <w:rFonts w:hint="eastAsia" w:ascii="仿宋" w:hAnsi="仿宋" w:eastAsia="仿宋" w:cstheme="minorBidi"/>
          <w:sz w:val="32"/>
          <w:szCs w:val="32"/>
          <w:lang w:eastAsia="zh-CN"/>
        </w:rPr>
        <w:t>，</w:t>
      </w:r>
      <w:r>
        <w:rPr>
          <w:rFonts w:hint="eastAsia" w:ascii="仿宋" w:hAnsi="仿宋" w:eastAsia="仿宋" w:cstheme="minorBidi"/>
          <w:sz w:val="32"/>
          <w:szCs w:val="32"/>
        </w:rPr>
        <w:t>采取授权、委托、购买服务等方式彻底剥离场办社会职能，加强</w:t>
      </w:r>
      <w:r>
        <w:rPr>
          <w:rFonts w:hint="eastAsia" w:ascii="仿宋" w:hAnsi="仿宋" w:eastAsia="仿宋" w:cstheme="minorBidi"/>
          <w:sz w:val="32"/>
          <w:szCs w:val="32"/>
          <w:lang w:eastAsia="zh-CN"/>
        </w:rPr>
        <w:t>协调</w:t>
      </w:r>
      <w:r>
        <w:rPr>
          <w:rFonts w:hint="eastAsia" w:ascii="仿宋" w:hAnsi="仿宋" w:eastAsia="仿宋" w:cstheme="minorBidi"/>
          <w:sz w:val="32"/>
          <w:szCs w:val="32"/>
        </w:rPr>
        <w:t>指导。通过深化农垦改革，推进垦区集团化、农牧场企业化，完善农垦企业法人治理结构和内部运行机制，使农垦企业能够充分发挥市场配置资源的决定性作用。</w:t>
      </w:r>
      <w:r>
        <w:rPr>
          <w:rFonts w:hint="eastAsia" w:ascii="仿宋" w:hAnsi="仿宋" w:eastAsia="仿宋" w:cstheme="minorBidi"/>
          <w:color w:val="000000" w:themeColor="text1"/>
          <w:sz w:val="32"/>
          <w:szCs w:val="32"/>
        </w:rPr>
        <w:t>推动有条件的农牧场进行公司化改革，探索组建区域性、专业化企业集团，逐步向现代企业化方向发展。完善职工承包租赁经营管理制度，探索推进土地资源资产化和资本化，鼓励有条件的垦区通过授权经营、作价出资（入股）等方式，提高土地资源利用效率。</w:t>
      </w:r>
    </w:p>
    <w:p>
      <w:pPr>
        <w:pStyle w:val="4"/>
        <w:pageBreakBefore w:val="0"/>
        <w:widowControl w:val="0"/>
        <w:kinsoku/>
        <w:wordWrap/>
        <w:overflowPunct/>
        <w:topLinePunct w:val="0"/>
        <w:autoSpaceDE/>
        <w:autoSpaceDN/>
        <w:bidi w:val="0"/>
        <w:adjustRightInd/>
        <w:snapToGrid/>
        <w:spacing w:before="156" w:beforeLines="50" w:after="156" w:afterLines="50" w:line="600" w:lineRule="exact"/>
        <w:textAlignment w:val="auto"/>
        <w:rPr>
          <w:rFonts w:ascii="Calibri Light" w:hAnsi="Calibri Light" w:cs="Times New Roman"/>
          <w:b w:val="0"/>
          <w:bCs w:val="0"/>
          <w:sz w:val="32"/>
          <w:szCs w:val="32"/>
        </w:rPr>
      </w:pPr>
      <w:bookmarkStart w:id="440" w:name="_Toc5896"/>
      <w:bookmarkStart w:id="441" w:name="_Toc8658"/>
      <w:bookmarkStart w:id="442" w:name="_Toc22714"/>
      <w:bookmarkStart w:id="443" w:name="_Toc1319728686_WPSOffice_Level2"/>
      <w:bookmarkStart w:id="444" w:name="_Toc18485"/>
      <w:bookmarkStart w:id="445" w:name="_Toc58870140"/>
      <w:bookmarkStart w:id="446" w:name="_Toc59000538"/>
      <w:bookmarkStart w:id="447" w:name="_Toc26578"/>
      <w:bookmarkStart w:id="448" w:name="_Toc56852710"/>
      <w:bookmarkStart w:id="449" w:name="_Toc14981"/>
      <w:bookmarkStart w:id="450" w:name="_Toc57041453"/>
      <w:bookmarkStart w:id="451" w:name="_Toc58870217"/>
      <w:bookmarkStart w:id="452" w:name="_Toc59000590"/>
      <w:r>
        <w:rPr>
          <w:rFonts w:hint="eastAsia" w:ascii="Calibri Light" w:hAnsi="Calibri Light" w:cs="Times New Roman"/>
          <w:b w:val="0"/>
          <w:bCs w:val="0"/>
          <w:sz w:val="32"/>
          <w:szCs w:val="32"/>
        </w:rPr>
        <w:t>第六节 扩大农牧业对外开放</w:t>
      </w:r>
      <w:bookmarkEnd w:id="440"/>
      <w:bookmarkEnd w:id="441"/>
      <w:bookmarkEnd w:id="442"/>
      <w:bookmarkEnd w:id="443"/>
      <w:bookmarkEnd w:id="444"/>
    </w:p>
    <w:p>
      <w:pPr>
        <w:pageBreakBefore w:val="0"/>
        <w:widowControl w:val="0"/>
        <w:kinsoku/>
        <w:wordWrap/>
        <w:overflowPunct/>
        <w:topLinePunct w:val="0"/>
        <w:autoSpaceDE/>
        <w:autoSpaceDN/>
        <w:bidi w:val="0"/>
        <w:adjustRightInd/>
        <w:snapToGrid/>
        <w:spacing w:after="156" w:afterLines="50" w:line="600" w:lineRule="exact"/>
        <w:ind w:firstLine="640" w:firstLineChars="200"/>
        <w:textAlignment w:val="auto"/>
        <w:rPr>
          <w:rFonts w:hint="eastAsia" w:ascii="仿宋" w:hAnsi="仿宋" w:eastAsia="仿宋" w:cstheme="minorBidi"/>
          <w:sz w:val="32"/>
          <w:szCs w:val="32"/>
        </w:rPr>
      </w:pPr>
      <w:r>
        <w:rPr>
          <w:rFonts w:hint="eastAsia" w:ascii="仿宋" w:hAnsi="仿宋" w:eastAsia="仿宋" w:cstheme="minorBidi"/>
          <w:sz w:val="32"/>
          <w:szCs w:val="32"/>
        </w:rPr>
        <w:t>加强与</w:t>
      </w:r>
      <w:r>
        <w:rPr>
          <w:rFonts w:hint="eastAsia" w:ascii="仿宋" w:hAnsi="仿宋" w:eastAsia="仿宋" w:cstheme="minorBidi"/>
          <w:sz w:val="32"/>
          <w:szCs w:val="32"/>
          <w:lang w:eastAsia="zh-CN"/>
        </w:rPr>
        <w:t>临近地区和区内外重点</w:t>
      </w:r>
      <w:r>
        <w:rPr>
          <w:rFonts w:hint="eastAsia" w:ascii="仿宋" w:hAnsi="仿宋" w:eastAsia="仿宋" w:cstheme="minorBidi"/>
          <w:sz w:val="32"/>
          <w:szCs w:val="32"/>
        </w:rPr>
        <w:t>区域</w:t>
      </w:r>
      <w:r>
        <w:rPr>
          <w:rFonts w:hint="eastAsia" w:ascii="仿宋" w:hAnsi="仿宋" w:eastAsia="仿宋" w:cstheme="minorBidi"/>
          <w:sz w:val="32"/>
          <w:szCs w:val="32"/>
          <w:lang w:eastAsia="zh-CN"/>
        </w:rPr>
        <w:t>农牧业发展</w:t>
      </w:r>
      <w:r>
        <w:rPr>
          <w:rFonts w:hint="eastAsia" w:ascii="仿宋" w:hAnsi="仿宋" w:eastAsia="仿宋" w:cstheme="minorBidi"/>
          <w:sz w:val="32"/>
          <w:szCs w:val="32"/>
        </w:rPr>
        <w:t>交流</w:t>
      </w:r>
      <w:r>
        <w:rPr>
          <w:rFonts w:hint="eastAsia" w:ascii="仿宋" w:hAnsi="仿宋" w:eastAsia="仿宋" w:cstheme="minorBidi"/>
          <w:sz w:val="32"/>
          <w:szCs w:val="32"/>
          <w:lang w:eastAsia="zh-CN"/>
        </w:rPr>
        <w:t>与</w:t>
      </w:r>
      <w:r>
        <w:rPr>
          <w:rFonts w:hint="eastAsia" w:ascii="仿宋" w:hAnsi="仿宋" w:eastAsia="仿宋" w:cstheme="minorBidi"/>
          <w:sz w:val="32"/>
          <w:szCs w:val="32"/>
        </w:rPr>
        <w:t>合作，</w:t>
      </w:r>
      <w:r>
        <w:rPr>
          <w:rFonts w:hint="eastAsia" w:ascii="仿宋" w:hAnsi="仿宋" w:eastAsia="仿宋" w:cstheme="minorBidi"/>
          <w:sz w:val="32"/>
          <w:szCs w:val="32"/>
          <w:lang w:eastAsia="zh-CN"/>
        </w:rPr>
        <w:t>借助</w:t>
      </w:r>
      <w:r>
        <w:rPr>
          <w:rFonts w:hint="eastAsia" w:ascii="仿宋" w:hAnsi="仿宋" w:eastAsia="仿宋" w:cstheme="minorBidi"/>
          <w:sz w:val="32"/>
          <w:szCs w:val="32"/>
        </w:rPr>
        <w:t>优质农畜产品</w:t>
      </w:r>
      <w:r>
        <w:rPr>
          <w:rFonts w:hint="eastAsia" w:ascii="仿宋" w:hAnsi="仿宋" w:eastAsia="仿宋" w:cstheme="minorBidi"/>
          <w:sz w:val="32"/>
          <w:szCs w:val="32"/>
          <w:lang w:eastAsia="zh-CN"/>
        </w:rPr>
        <w:t>品质和</w:t>
      </w:r>
      <w:r>
        <w:rPr>
          <w:rFonts w:hint="eastAsia" w:ascii="仿宋" w:hAnsi="仿宋" w:eastAsia="仿宋" w:cstheme="minorBidi"/>
          <w:sz w:val="32"/>
          <w:szCs w:val="32"/>
        </w:rPr>
        <w:t>品牌效应，推动</w:t>
      </w:r>
      <w:r>
        <w:rPr>
          <w:rFonts w:hint="eastAsia" w:ascii="仿宋" w:hAnsi="仿宋" w:eastAsia="仿宋" w:cstheme="minorBidi"/>
          <w:sz w:val="32"/>
          <w:szCs w:val="32"/>
          <w:lang w:eastAsia="zh-CN"/>
        </w:rPr>
        <w:t>我盟</w:t>
      </w:r>
      <w:r>
        <w:rPr>
          <w:rFonts w:hint="eastAsia" w:ascii="仿宋" w:hAnsi="仿宋" w:eastAsia="仿宋" w:cstheme="minorBidi"/>
          <w:sz w:val="32"/>
          <w:szCs w:val="32"/>
        </w:rPr>
        <w:t>优质绿色农畜产品生产基地建设</w:t>
      </w:r>
      <w:r>
        <w:rPr>
          <w:rFonts w:hint="eastAsia" w:ascii="仿宋" w:hAnsi="仿宋" w:eastAsia="仿宋" w:cstheme="minorBidi"/>
          <w:sz w:val="32"/>
          <w:szCs w:val="32"/>
          <w:lang w:eastAsia="zh-CN"/>
        </w:rPr>
        <w:t>，</w:t>
      </w:r>
      <w:r>
        <w:rPr>
          <w:rFonts w:hint="eastAsia" w:ascii="仿宋" w:hAnsi="仿宋" w:eastAsia="仿宋" w:cstheme="minorBidi"/>
          <w:sz w:val="32"/>
          <w:szCs w:val="32"/>
        </w:rPr>
        <w:t>深度融入新发展格局。充分发挥二连浩特</w:t>
      </w:r>
      <w:r>
        <w:rPr>
          <w:rFonts w:hint="eastAsia" w:ascii="仿宋" w:hAnsi="仿宋" w:eastAsia="仿宋" w:cstheme="minorBidi"/>
          <w:sz w:val="32"/>
          <w:szCs w:val="32"/>
          <w:lang w:eastAsia="zh-CN"/>
        </w:rPr>
        <w:t>市</w:t>
      </w:r>
      <w:r>
        <w:rPr>
          <w:rFonts w:hint="eastAsia" w:ascii="仿宋" w:hAnsi="仿宋" w:eastAsia="仿宋" w:cstheme="minorBidi"/>
          <w:sz w:val="32"/>
          <w:szCs w:val="32"/>
        </w:rPr>
        <w:t>口岸优势，依托中蒙二连浩特</w:t>
      </w:r>
      <w:r>
        <w:rPr>
          <w:rFonts w:ascii="仿宋" w:hAnsi="仿宋" w:eastAsia="仿宋" w:cstheme="minorBidi"/>
          <w:sz w:val="32"/>
          <w:szCs w:val="32"/>
        </w:rPr>
        <w:t>——</w:t>
      </w:r>
      <w:r>
        <w:rPr>
          <w:rFonts w:hint="eastAsia" w:ascii="仿宋" w:hAnsi="仿宋" w:eastAsia="仿宋" w:cstheme="minorBidi"/>
          <w:sz w:val="32"/>
          <w:szCs w:val="32"/>
        </w:rPr>
        <w:t>扎门乌德跨境经济合作区，深化与蒙古</w:t>
      </w:r>
      <w:r>
        <w:rPr>
          <w:rFonts w:hint="eastAsia" w:ascii="仿宋" w:hAnsi="仿宋" w:eastAsia="仿宋" w:cstheme="minorBidi"/>
          <w:sz w:val="32"/>
          <w:szCs w:val="32"/>
          <w:lang w:eastAsia="zh-CN"/>
        </w:rPr>
        <w:t>国</w:t>
      </w:r>
      <w:r>
        <w:rPr>
          <w:rFonts w:hint="eastAsia" w:ascii="仿宋" w:hAnsi="仿宋" w:eastAsia="仿宋" w:cstheme="minorBidi"/>
          <w:sz w:val="32"/>
          <w:szCs w:val="32"/>
        </w:rPr>
        <w:t>等</w:t>
      </w:r>
      <w:r>
        <w:rPr>
          <w:rFonts w:hint="eastAsia" w:ascii="仿宋" w:hAnsi="仿宋" w:eastAsia="仿宋" w:cstheme="minorBidi"/>
          <w:sz w:val="32"/>
          <w:szCs w:val="32"/>
          <w:lang w:eastAsia="zh-CN"/>
        </w:rPr>
        <w:t>地区</w:t>
      </w:r>
      <w:r>
        <w:rPr>
          <w:rFonts w:hint="eastAsia" w:ascii="仿宋" w:hAnsi="仿宋" w:eastAsia="仿宋" w:cstheme="minorBidi"/>
          <w:sz w:val="32"/>
          <w:szCs w:val="32"/>
        </w:rPr>
        <w:t>“一带一路”沿线国家农牧业协同发展，推动口岸优势转化为经济优势。</w:t>
      </w:r>
    </w:p>
    <w:tbl>
      <w:tblPr>
        <w:tblStyle w:val="26"/>
        <w:tblW w:w="8578"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shd w:val="clear" w:color="auto" w:fill="FFFFFF" w:themeFill="background1"/>
        <w:tblLayout w:type="fixed"/>
        <w:tblCellMar>
          <w:top w:w="0" w:type="dxa"/>
          <w:left w:w="108" w:type="dxa"/>
          <w:bottom w:w="0" w:type="dxa"/>
          <w:right w:w="108" w:type="dxa"/>
        </w:tblCellMar>
      </w:tblPr>
      <w:tblGrid>
        <w:gridCol w:w="8578"/>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shd w:val="clear" w:color="auto" w:fill="FFFFFF" w:themeFill="background1"/>
        </w:tblPrEx>
        <w:trPr>
          <w:trHeight w:val="179" w:hRule="atLeast"/>
          <w:jc w:val="center"/>
        </w:trPr>
        <w:tc>
          <w:tcPr>
            <w:tcW w:w="8578" w:type="dxa"/>
            <w:tcBorders>
              <w:bottom w:val="single" w:color="auto" w:sz="4" w:space="0"/>
              <w:tl2br w:val="nil"/>
              <w:tr2bl w:val="nil"/>
            </w:tcBorders>
            <w:shd w:val="clear" w:color="auto" w:fill="FFFFFF" w:themeFill="background1"/>
          </w:tcPr>
          <w:p>
            <w:pPr>
              <w:spacing w:line="540" w:lineRule="exact"/>
              <w:ind w:left="210" w:right="210"/>
              <w:jc w:val="center"/>
              <w:rPr>
                <w:rFonts w:ascii="Times New Roman" w:hAnsi="Times New Roman" w:eastAsia="楷体" w:cs="Times New Roman"/>
                <w:sz w:val="28"/>
                <w:szCs w:val="28"/>
              </w:rPr>
            </w:pPr>
            <w:r>
              <w:rPr>
                <w:rFonts w:hint="eastAsia" w:ascii="黑体" w:hAnsi="黑体" w:eastAsia="黑体" w:cs="黑体"/>
                <w:b w:val="0"/>
                <w:bCs w:val="0"/>
                <w:sz w:val="28"/>
                <w:szCs w:val="28"/>
              </w:rPr>
              <w:t>专栏</w:t>
            </w:r>
            <w:r>
              <w:rPr>
                <w:rFonts w:hint="eastAsia" w:ascii="黑体" w:hAnsi="黑体" w:eastAsia="黑体" w:cs="黑体"/>
                <w:b w:val="0"/>
                <w:bCs w:val="0"/>
                <w:sz w:val="28"/>
                <w:szCs w:val="28"/>
                <w:lang w:val="en-US" w:eastAsia="zh-CN"/>
              </w:rPr>
              <w:t>7</w:t>
            </w:r>
            <w:r>
              <w:rPr>
                <w:rFonts w:hint="eastAsia" w:ascii="黑体" w:hAnsi="黑体" w:eastAsia="黑体" w:cs="黑体"/>
                <w:b w:val="0"/>
                <w:bCs w:val="0"/>
                <w:sz w:val="28"/>
                <w:szCs w:val="28"/>
              </w:rPr>
              <w:t xml:space="preserve">  </w:t>
            </w:r>
            <w:r>
              <w:rPr>
                <w:rFonts w:hint="eastAsia" w:ascii="黑体" w:hAnsi="黑体" w:eastAsia="黑体" w:cs="黑体"/>
                <w:b w:val="0"/>
                <w:bCs w:val="0"/>
                <w:sz w:val="28"/>
                <w:szCs w:val="28"/>
                <w:lang w:eastAsia="zh-CN"/>
              </w:rPr>
              <w:t>新一轮</w:t>
            </w:r>
            <w:r>
              <w:rPr>
                <w:rFonts w:hint="eastAsia" w:ascii="黑体" w:hAnsi="黑体" w:eastAsia="黑体" w:cs="黑体"/>
                <w:b w:val="0"/>
                <w:bCs w:val="0"/>
                <w:sz w:val="28"/>
                <w:szCs w:val="28"/>
              </w:rPr>
              <w:t>农村牧区改革工程</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558" w:hRule="atLeast"/>
          <w:jc w:val="center"/>
        </w:trPr>
        <w:tc>
          <w:tcPr>
            <w:tcW w:w="8578" w:type="dxa"/>
            <w:tcBorders>
              <w:top w:val="single" w:color="auto" w:sz="4" w:space="0"/>
              <w:bottom w:val="single" w:color="auto" w:sz="4" w:space="0"/>
              <w:tl2br w:val="nil"/>
              <w:tr2bl w:val="nil"/>
            </w:tcBorders>
            <w:shd w:val="clear" w:color="auto" w:fill="FFFFFF" w:themeFill="background1"/>
          </w:tcPr>
          <w:p>
            <w:pPr>
              <w:pStyle w:val="22"/>
              <w:spacing w:before="0" w:beforeAutospacing="0" w:after="0" w:afterAutospacing="0" w:line="400" w:lineRule="exact"/>
              <w:ind w:left="210" w:right="210" w:firstLine="480" w:firstLineChars="200"/>
              <w:jc w:val="both"/>
              <w:rPr>
                <w:rFonts w:ascii="Times New Roman" w:hAnsi="Times New Roman" w:eastAsia="仿宋" w:cs="Times New Roman"/>
                <w:kern w:val="2"/>
              </w:rPr>
            </w:pPr>
            <w:r>
              <w:rPr>
                <w:rFonts w:hint="eastAsia" w:ascii="黑体" w:hAnsi="黑体" w:eastAsia="黑体" w:cs="黑体"/>
                <w:kern w:val="2"/>
              </w:rPr>
              <w:t>1.牧区现代化试点项目</w:t>
            </w:r>
            <w:r>
              <w:rPr>
                <w:rFonts w:hint="eastAsia" w:ascii="黑体" w:hAnsi="黑体" w:eastAsia="黑体" w:cs="黑体"/>
                <w:kern w:val="2"/>
                <w:lang w:eastAsia="zh-CN"/>
              </w:rPr>
              <w:t>。</w:t>
            </w:r>
            <w:r>
              <w:rPr>
                <w:rFonts w:hint="eastAsia" w:ascii="Times New Roman" w:hAnsi="Times New Roman" w:eastAsia="仿宋" w:cs="Times New Roman"/>
                <w:kern w:val="2"/>
              </w:rPr>
              <w:t>有效利用自治区专项资金，加大盟旗两级支持力度，统筹推进牧区现代化试点工作，探索践行以生态优先、绿色发展为导向的牧区高质量发展新路子。</w:t>
            </w:r>
          </w:p>
          <w:p>
            <w:pPr>
              <w:pStyle w:val="22"/>
              <w:spacing w:before="0" w:beforeAutospacing="0" w:after="0" w:afterAutospacing="0" w:line="400" w:lineRule="exact"/>
              <w:ind w:left="210" w:right="210" w:firstLine="480" w:firstLineChars="200"/>
              <w:jc w:val="both"/>
              <w:rPr>
                <w:rFonts w:ascii="Times New Roman" w:hAnsi="Times New Roman" w:eastAsia="仿宋" w:cs="Times New Roman"/>
                <w:kern w:val="2"/>
              </w:rPr>
            </w:pPr>
            <w:r>
              <w:rPr>
                <w:rFonts w:hint="eastAsia" w:ascii="黑体" w:hAnsi="黑体" w:eastAsia="黑体" w:cs="黑体"/>
                <w:kern w:val="2"/>
              </w:rPr>
              <w:t>2.县乡村基本公共服务一体化</w:t>
            </w:r>
            <w:r>
              <w:rPr>
                <w:rFonts w:hint="eastAsia" w:ascii="黑体" w:hAnsi="黑体" w:eastAsia="黑体" w:cs="黑体"/>
                <w:kern w:val="2"/>
                <w:lang w:eastAsia="zh-CN"/>
              </w:rPr>
              <w:t>发展</w:t>
            </w:r>
            <w:r>
              <w:rPr>
                <w:rFonts w:hint="eastAsia" w:ascii="黑体" w:hAnsi="黑体" w:eastAsia="黑体" w:cs="黑体"/>
                <w:kern w:val="2"/>
                <w:lang w:val="en-US" w:eastAsia="zh-CN"/>
              </w:rPr>
              <w:t>。</w:t>
            </w:r>
            <w:r>
              <w:rPr>
                <w:rFonts w:hint="eastAsia" w:ascii="Times New Roman" w:hAnsi="Times New Roman" w:eastAsia="仿宋" w:cs="Times New Roman"/>
                <w:kern w:val="2"/>
              </w:rPr>
              <w:t>推动各类资源向基层</w:t>
            </w:r>
            <w:r>
              <w:rPr>
                <w:rFonts w:hint="eastAsia" w:ascii="Times New Roman" w:hAnsi="Times New Roman" w:eastAsia="仿宋" w:cs="Times New Roman"/>
                <w:kern w:val="2"/>
                <w:lang w:eastAsia="zh-CN"/>
              </w:rPr>
              <w:t>倾斜</w:t>
            </w:r>
            <w:r>
              <w:rPr>
                <w:rFonts w:hint="eastAsia" w:ascii="Times New Roman" w:hAnsi="Times New Roman" w:eastAsia="仿宋" w:cs="Times New Roman"/>
                <w:kern w:val="2"/>
              </w:rPr>
              <w:t>，开展县乡村基本公共服务一体化</w:t>
            </w:r>
            <w:r>
              <w:rPr>
                <w:rFonts w:hint="eastAsia" w:ascii="Times New Roman" w:hAnsi="Times New Roman" w:eastAsia="仿宋" w:cs="Times New Roman"/>
                <w:kern w:val="2"/>
                <w:lang w:eastAsia="zh-CN"/>
              </w:rPr>
              <w:t>试点示范</w:t>
            </w:r>
            <w:r>
              <w:rPr>
                <w:rFonts w:hint="eastAsia" w:ascii="Times New Roman" w:hAnsi="Times New Roman" w:eastAsia="仿宋" w:cs="Times New Roman"/>
                <w:kern w:val="2"/>
              </w:rPr>
              <w:t>，赋予县域更多资源整合使用权，推动县乡村基本公共服务功能衔接互补。</w:t>
            </w:r>
          </w:p>
          <w:p>
            <w:pPr>
              <w:pStyle w:val="22"/>
              <w:spacing w:before="0" w:beforeAutospacing="0" w:after="0" w:afterAutospacing="0" w:line="400" w:lineRule="exact"/>
              <w:ind w:left="210" w:right="210" w:firstLine="480" w:firstLineChars="200"/>
              <w:jc w:val="both"/>
              <w:rPr>
                <w:rFonts w:hint="eastAsia" w:ascii="Times New Roman" w:hAnsi="Times New Roman" w:eastAsia="仿宋" w:cs="Times New Roman"/>
                <w:kern w:val="2"/>
              </w:rPr>
            </w:pPr>
            <w:r>
              <w:rPr>
                <w:rFonts w:hint="eastAsia" w:ascii="黑体" w:hAnsi="黑体" w:eastAsia="黑体" w:cs="黑体"/>
                <w:kern w:val="2"/>
              </w:rPr>
              <w:t>3.</w:t>
            </w:r>
            <w:r>
              <w:rPr>
                <w:rFonts w:hint="eastAsia" w:ascii="黑体" w:hAnsi="黑体" w:eastAsia="黑体" w:cs="黑体"/>
                <w:kern w:val="2"/>
                <w:lang w:eastAsia="zh-CN"/>
              </w:rPr>
              <w:t>农</w:t>
            </w:r>
            <w:r>
              <w:rPr>
                <w:rFonts w:hint="eastAsia" w:ascii="黑体" w:hAnsi="黑体" w:eastAsia="黑体" w:cs="黑体"/>
                <w:kern w:val="2"/>
              </w:rPr>
              <w:t>村</w:t>
            </w:r>
            <w:r>
              <w:rPr>
                <w:rFonts w:hint="eastAsia" w:ascii="黑体" w:hAnsi="黑体" w:eastAsia="黑体" w:cs="黑体"/>
                <w:kern w:val="2"/>
                <w:lang w:eastAsia="zh-CN"/>
              </w:rPr>
              <w:t>牧区</w:t>
            </w:r>
            <w:r>
              <w:rPr>
                <w:rFonts w:hint="eastAsia" w:ascii="黑体" w:hAnsi="黑体" w:eastAsia="黑体" w:cs="黑体"/>
                <w:kern w:val="2"/>
              </w:rPr>
              <w:t>招才引智行动</w:t>
            </w:r>
            <w:r>
              <w:rPr>
                <w:rFonts w:hint="eastAsia" w:ascii="黑体" w:hAnsi="黑体" w:eastAsia="黑体" w:cs="黑体"/>
                <w:kern w:val="2"/>
                <w:lang w:eastAsia="zh-CN"/>
              </w:rPr>
              <w:t>。</w:t>
            </w:r>
            <w:r>
              <w:rPr>
                <w:rFonts w:hint="eastAsia" w:ascii="Times New Roman" w:hAnsi="Times New Roman" w:eastAsia="仿宋" w:cs="Times New Roman"/>
                <w:kern w:val="2"/>
              </w:rPr>
              <w:t>建立城市人才定期服务乡村制度，</w:t>
            </w:r>
            <w:r>
              <w:rPr>
                <w:rFonts w:hint="eastAsia" w:ascii="Times New Roman" w:hAnsi="Times New Roman" w:eastAsia="仿宋" w:cs="Times New Roman"/>
                <w:kern w:val="2"/>
                <w:lang w:eastAsia="zh-CN"/>
              </w:rPr>
              <w:t>每年</w:t>
            </w:r>
            <w:r>
              <w:rPr>
                <w:rFonts w:hint="eastAsia" w:ascii="Times New Roman" w:hAnsi="Times New Roman" w:eastAsia="仿宋" w:cs="Times New Roman"/>
                <w:kern w:val="2"/>
              </w:rPr>
              <w:t>引导优秀教师、医生、科技人员、社会工作者等为基层提供服务。</w:t>
            </w:r>
          </w:p>
          <w:p>
            <w:pPr>
              <w:pStyle w:val="22"/>
              <w:spacing w:before="0" w:beforeAutospacing="0" w:after="0" w:afterAutospacing="0" w:line="400" w:lineRule="exact"/>
              <w:ind w:left="210" w:right="210" w:firstLine="480" w:firstLineChars="200"/>
              <w:jc w:val="both"/>
              <w:rPr>
                <w:rFonts w:ascii="Times New Roman" w:hAnsi="Times New Roman" w:eastAsia="仿宋" w:cs="Times New Roman"/>
                <w:kern w:val="2"/>
              </w:rPr>
            </w:pPr>
            <w:r>
              <w:rPr>
                <w:rFonts w:hint="eastAsia" w:ascii="黑体" w:hAnsi="黑体" w:eastAsia="黑体" w:cs="黑体"/>
                <w:kern w:val="2"/>
                <w:lang w:val="en-US" w:eastAsia="zh-CN"/>
              </w:rPr>
              <w:t>4</w:t>
            </w:r>
            <w:r>
              <w:rPr>
                <w:rFonts w:hint="eastAsia" w:ascii="黑体" w:hAnsi="黑体" w:eastAsia="黑体" w:cs="黑体"/>
                <w:kern w:val="2"/>
              </w:rPr>
              <w:t>.乡村振兴金融服务行动。</w:t>
            </w:r>
            <w:r>
              <w:rPr>
                <w:rFonts w:hint="eastAsia" w:ascii="Times New Roman" w:hAnsi="Times New Roman" w:eastAsia="仿宋" w:cs="Times New Roman"/>
                <w:kern w:val="2"/>
              </w:rPr>
              <w:t>推动金融机构不断优化扩大县域金融服务覆盖面，开发一批适合农牧业农村牧区特点的金融产品和服务。</w:t>
            </w:r>
          </w:p>
        </w:tc>
      </w:tr>
    </w:tbl>
    <w:p>
      <w:pPr>
        <w:pStyle w:val="3"/>
        <w:snapToGrid w:val="0"/>
        <w:spacing w:before="312" w:beforeLines="100" w:after="312" w:afterLines="100" w:line="540" w:lineRule="exact"/>
        <w:jc w:val="center"/>
        <w:rPr>
          <w:rFonts w:hint="eastAsia" w:ascii="方正小标宋简体" w:hAnsi="仿宋" w:eastAsia="方正小标宋简体" w:cs="黑体"/>
          <w:b w:val="0"/>
          <w:color w:val="000000" w:themeColor="text1"/>
          <w:sz w:val="32"/>
          <w:szCs w:val="32"/>
        </w:rPr>
      </w:pPr>
      <w:bookmarkStart w:id="453" w:name="_Toc12946"/>
      <w:bookmarkStart w:id="454" w:name="_Toc5878"/>
      <w:bookmarkStart w:id="455" w:name="_Toc16127"/>
      <w:bookmarkStart w:id="456" w:name="_Toc394"/>
    </w:p>
    <w:p>
      <w:pPr>
        <w:pStyle w:val="3"/>
        <w:snapToGrid w:val="0"/>
        <w:spacing w:before="312" w:beforeLines="100" w:after="312" w:afterLines="100" w:line="540" w:lineRule="exact"/>
        <w:jc w:val="center"/>
        <w:rPr>
          <w:rFonts w:ascii="方正小标宋简体" w:hAnsi="仿宋" w:eastAsia="方正小标宋简体" w:cs="黑体"/>
          <w:b w:val="0"/>
          <w:color w:val="000000" w:themeColor="text1"/>
          <w:sz w:val="44"/>
          <w:szCs w:val="44"/>
        </w:rPr>
      </w:pPr>
      <w:bookmarkStart w:id="457" w:name="_Toc260404896_WPSOffice_Level1"/>
      <w:r>
        <w:rPr>
          <w:rFonts w:hint="eastAsia" w:ascii="方正小标宋简体" w:hAnsi="仿宋" w:eastAsia="方正小标宋简体" w:cs="黑体"/>
          <w:b w:val="0"/>
          <w:color w:val="000000" w:themeColor="text1"/>
          <w:sz w:val="44"/>
          <w:szCs w:val="44"/>
        </w:rPr>
        <w:t>第八章 增进农牧民多维福祉</w:t>
      </w:r>
      <w:bookmarkEnd w:id="453"/>
      <w:bookmarkEnd w:id="454"/>
      <w:bookmarkEnd w:id="455"/>
      <w:bookmarkEnd w:id="456"/>
      <w:bookmarkEnd w:id="457"/>
    </w:p>
    <w:p>
      <w:pPr>
        <w:pageBreakBefore w:val="0"/>
        <w:widowControl w:val="0"/>
        <w:kinsoku/>
        <w:wordWrap/>
        <w:overflowPunct/>
        <w:topLinePunct w:val="0"/>
        <w:autoSpaceDE/>
        <w:autoSpaceDN/>
        <w:bidi w:val="0"/>
        <w:adjustRightInd/>
        <w:snapToGrid/>
        <w:spacing w:line="600" w:lineRule="exact"/>
        <w:ind w:firstLine="640" w:firstLineChars="200"/>
        <w:textAlignment w:val="auto"/>
        <w:rPr>
          <w:rFonts w:ascii="仿宋" w:hAnsi="仿宋" w:eastAsia="仿宋" w:cstheme="minorBidi"/>
          <w:sz w:val="32"/>
          <w:szCs w:val="32"/>
        </w:rPr>
      </w:pPr>
      <w:r>
        <w:rPr>
          <w:rFonts w:hint="eastAsia" w:ascii="仿宋" w:hAnsi="仿宋" w:eastAsia="仿宋" w:cstheme="minorBidi"/>
          <w:sz w:val="32"/>
          <w:szCs w:val="32"/>
        </w:rPr>
        <w:t>坚持以人民</w:t>
      </w:r>
      <w:r>
        <w:rPr>
          <w:rFonts w:hint="eastAsia" w:ascii="仿宋" w:hAnsi="仿宋" w:eastAsia="仿宋" w:cstheme="minorBidi"/>
          <w:sz w:val="32"/>
          <w:szCs w:val="32"/>
          <w:lang w:eastAsia="zh-CN"/>
        </w:rPr>
        <w:t>群众</w:t>
      </w:r>
      <w:r>
        <w:rPr>
          <w:rFonts w:hint="eastAsia" w:ascii="仿宋" w:hAnsi="仿宋" w:eastAsia="仿宋" w:cstheme="minorBidi"/>
          <w:sz w:val="32"/>
          <w:szCs w:val="32"/>
        </w:rPr>
        <w:t>为中心，</w:t>
      </w:r>
      <w:r>
        <w:rPr>
          <w:rFonts w:hint="eastAsia" w:ascii="仿宋" w:hAnsi="仿宋" w:eastAsia="仿宋" w:cstheme="minorBidi"/>
          <w:sz w:val="32"/>
          <w:szCs w:val="32"/>
          <w:lang w:eastAsia="zh-CN"/>
        </w:rPr>
        <w:t>持续</w:t>
      </w:r>
      <w:r>
        <w:rPr>
          <w:rFonts w:hint="eastAsia" w:ascii="仿宋" w:hAnsi="仿宋" w:eastAsia="仿宋" w:cstheme="minorBidi"/>
          <w:sz w:val="32"/>
          <w:szCs w:val="32"/>
        </w:rPr>
        <w:t>推进巩固拓展脱贫攻坚成果同乡村振兴有效衔接</w:t>
      </w:r>
      <w:r>
        <w:rPr>
          <w:rFonts w:hint="eastAsia" w:ascii="仿宋" w:hAnsi="仿宋" w:eastAsia="仿宋" w:cstheme="minorBidi"/>
          <w:sz w:val="32"/>
          <w:szCs w:val="32"/>
          <w:lang w:eastAsia="zh-CN"/>
        </w:rPr>
        <w:t>工作</w:t>
      </w:r>
      <w:r>
        <w:rPr>
          <w:rFonts w:hint="eastAsia" w:ascii="仿宋" w:hAnsi="仿宋" w:eastAsia="仿宋" w:cstheme="minorBidi"/>
          <w:sz w:val="32"/>
          <w:szCs w:val="32"/>
        </w:rPr>
        <w:t>，多渠道增加农牧民收入，增进农牧民多维福祉，营造良好发展环境，让农牧民获得感更足、幸福感更强、安全感更有保障。</w:t>
      </w:r>
      <w:bookmarkStart w:id="458" w:name="_Toc60561667"/>
      <w:bookmarkStart w:id="459" w:name="_Toc57041428"/>
      <w:bookmarkStart w:id="460" w:name="_Toc59000527"/>
      <w:bookmarkStart w:id="461" w:name="_Toc58870119"/>
    </w:p>
    <w:p>
      <w:pPr>
        <w:pStyle w:val="4"/>
        <w:pageBreakBefore w:val="0"/>
        <w:widowControl w:val="0"/>
        <w:kinsoku/>
        <w:wordWrap/>
        <w:overflowPunct/>
        <w:topLinePunct w:val="0"/>
        <w:autoSpaceDE/>
        <w:autoSpaceDN/>
        <w:bidi w:val="0"/>
        <w:adjustRightInd/>
        <w:snapToGrid/>
        <w:spacing w:before="156" w:beforeLines="50" w:after="156" w:afterLines="50" w:line="600" w:lineRule="exact"/>
        <w:textAlignment w:val="auto"/>
        <w:rPr>
          <w:rFonts w:ascii="Calibri Light" w:hAnsi="Calibri Light" w:cs="Times New Roman"/>
          <w:b w:val="0"/>
          <w:bCs w:val="0"/>
          <w:szCs w:val="36"/>
        </w:rPr>
      </w:pPr>
      <w:bookmarkStart w:id="462" w:name="_Toc2830"/>
      <w:bookmarkStart w:id="463" w:name="_Toc14935"/>
      <w:bookmarkStart w:id="464" w:name="_Toc88062995_WPSOffice_Level2"/>
      <w:bookmarkStart w:id="465" w:name="_Toc4282"/>
      <w:bookmarkStart w:id="466" w:name="_Toc15344"/>
      <w:r>
        <w:rPr>
          <w:rFonts w:hint="eastAsia" w:ascii="Calibri Light" w:hAnsi="Calibri Light" w:cs="Times New Roman"/>
          <w:b w:val="0"/>
          <w:bCs w:val="0"/>
          <w:szCs w:val="36"/>
        </w:rPr>
        <w:t xml:space="preserve">第一节 </w:t>
      </w:r>
      <w:r>
        <w:rPr>
          <w:rFonts w:hint="eastAsia" w:ascii="Calibri Light" w:hAnsi="Calibri Light" w:cs="Times New Roman"/>
          <w:b w:val="0"/>
          <w:bCs w:val="0"/>
          <w:szCs w:val="36"/>
          <w:lang w:eastAsia="zh-CN"/>
        </w:rPr>
        <w:t>实现</w:t>
      </w:r>
      <w:r>
        <w:rPr>
          <w:rFonts w:hint="eastAsia" w:ascii="Calibri Light" w:hAnsi="Calibri Light" w:cs="Times New Roman"/>
          <w:b w:val="0"/>
          <w:bCs w:val="0"/>
          <w:szCs w:val="36"/>
        </w:rPr>
        <w:t>巩固拓展脱贫攻坚成果同乡村振兴</w:t>
      </w:r>
      <w:bookmarkStart w:id="467" w:name="_Toc66980813"/>
      <w:r>
        <w:rPr>
          <w:rFonts w:hint="eastAsia" w:ascii="Calibri Light" w:hAnsi="Calibri Light" w:cs="Times New Roman"/>
          <w:b w:val="0"/>
          <w:bCs w:val="0"/>
          <w:szCs w:val="36"/>
        </w:rPr>
        <w:t>有效衔接</w:t>
      </w:r>
      <w:bookmarkEnd w:id="462"/>
      <w:bookmarkEnd w:id="463"/>
      <w:bookmarkEnd w:id="464"/>
      <w:bookmarkEnd w:id="465"/>
      <w:bookmarkEnd w:id="466"/>
      <w:bookmarkEnd w:id="467"/>
    </w:p>
    <w:p>
      <w:pPr>
        <w:pageBreakBefore w:val="0"/>
        <w:widowControl w:val="0"/>
        <w:tabs>
          <w:tab w:val="left" w:pos="830"/>
        </w:tabs>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color w:val="000000" w:themeColor="text1"/>
          <w:sz w:val="32"/>
          <w:szCs w:val="32"/>
        </w:rPr>
      </w:pPr>
      <w:r>
        <w:rPr>
          <w:rFonts w:hint="eastAsia" w:ascii="仿宋" w:hAnsi="仿宋" w:eastAsia="仿宋" w:cs="仿宋"/>
          <w:b/>
          <w:bCs/>
          <w:sz w:val="32"/>
          <w:szCs w:val="32"/>
        </w:rPr>
        <w:t>坚持“过渡期”内帮扶政策总体稳定。</w:t>
      </w:r>
      <w:r>
        <w:rPr>
          <w:rFonts w:hint="eastAsia" w:ascii="仿宋" w:hAnsi="仿宋" w:eastAsia="仿宋" w:cs="仿宋"/>
          <w:color w:val="000000" w:themeColor="text1"/>
          <w:sz w:val="32"/>
          <w:szCs w:val="32"/>
        </w:rPr>
        <w:t>5年“过渡期”内，严格落实“四不摘”政策要求，保持最低生活保障、特困救助供养、临时救助等兜底救助类政策稳定，落实教育、医疗、住房等民生保障普惠政策，优化产业扶贫和就业扶持等发展类政策，稳定财政支持政策。组织开展巩固脱贫攻坚成果考核工作，将巩固拓展脱贫攻坚成果纳入盟旗党政领导班子和领导干部推进乡村振兴战略实绩考核范围，改进考核方式，强化结果运用，坚决守住不发生规模性返贫的底线。</w:t>
      </w:r>
    </w:p>
    <w:p>
      <w:pPr>
        <w:pageBreakBefore w:val="0"/>
        <w:widowControl w:val="0"/>
        <w:tabs>
          <w:tab w:val="left" w:pos="830"/>
        </w:tabs>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color w:val="000000" w:themeColor="text1"/>
          <w:sz w:val="32"/>
          <w:szCs w:val="32"/>
        </w:rPr>
      </w:pPr>
      <w:r>
        <w:rPr>
          <w:rFonts w:hint="eastAsia" w:ascii="仿宋" w:hAnsi="仿宋" w:eastAsia="仿宋" w:cs="仿宋"/>
          <w:b/>
          <w:bCs/>
          <w:sz w:val="32"/>
          <w:szCs w:val="32"/>
        </w:rPr>
        <w:t>持续巩固“两不愁三保障”成果。</w:t>
      </w:r>
      <w:r>
        <w:rPr>
          <w:rFonts w:hint="eastAsia" w:ascii="仿宋" w:hAnsi="仿宋" w:eastAsia="仿宋" w:cs="仿宋"/>
          <w:color w:val="000000" w:themeColor="text1"/>
          <w:sz w:val="32"/>
          <w:szCs w:val="32"/>
        </w:rPr>
        <w:t>巩固教育脱贫攻坚成果，完善控辍保学工作机制。巩固健康扶贫、医保扶贫成果，有效防范因病返贫致贫风险。稳步扩大农村牧区医疗卫生服务覆盖范围。落实分类资助参保政策，加强脱贫人口参保动员工作，建立农村牧区脱贫人口住房安全动态监测机制，保障低收入人口基本住房安全。巩固维护好已建农村牧区供水工程成果，不断提升农村牧区供水保障水平。</w:t>
      </w:r>
    </w:p>
    <w:p>
      <w:pPr>
        <w:pageBreakBefore w:val="0"/>
        <w:widowControl w:val="0"/>
        <w:tabs>
          <w:tab w:val="left" w:pos="830"/>
        </w:tabs>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color w:val="000000" w:themeColor="text1"/>
          <w:sz w:val="32"/>
          <w:szCs w:val="32"/>
        </w:rPr>
      </w:pPr>
      <w:r>
        <w:rPr>
          <w:rFonts w:hint="eastAsia" w:ascii="仿宋" w:hAnsi="仿宋" w:eastAsia="仿宋" w:cs="仿宋"/>
          <w:b/>
          <w:bCs/>
          <w:sz w:val="32"/>
          <w:szCs w:val="32"/>
        </w:rPr>
        <w:t>健全防止返贫动态监测和精准帮扶机制。</w:t>
      </w:r>
      <w:r>
        <w:rPr>
          <w:rFonts w:hint="eastAsia" w:ascii="仿宋" w:hAnsi="仿宋" w:eastAsia="仿宋" w:cs="仿宋"/>
          <w:color w:val="000000" w:themeColor="text1"/>
          <w:sz w:val="32"/>
          <w:szCs w:val="32"/>
        </w:rPr>
        <w:t>对脱贫不稳定户、边缘易致贫户以及因病因灾因意外事故等刚性支出较大或收入大幅缩减导致基本生活出现严重困难户，开展常态化监测预警，建立健全快速发现和响应机制。实时监测水旱灾害、气象灾害、地震灾害、地质灾害、生物灾害、火灾以及疫情等各类重大突发公共事件带来的影响，全力防范大宗农副产品价格持续大幅下跌、农村牧区劳动力失业明显增多、农村牧区产业项目失败</w:t>
      </w:r>
      <w:r>
        <w:rPr>
          <w:rFonts w:hint="eastAsia" w:ascii="仿宋" w:hAnsi="仿宋" w:eastAsia="仿宋" w:cs="仿宋"/>
          <w:color w:val="000000" w:themeColor="text1"/>
          <w:sz w:val="32"/>
          <w:szCs w:val="32"/>
          <w:lang w:eastAsia="zh-CN"/>
        </w:rPr>
        <w:t>等因素</w:t>
      </w:r>
      <w:r>
        <w:rPr>
          <w:rFonts w:hint="eastAsia" w:ascii="仿宋" w:hAnsi="仿宋" w:eastAsia="仿宋" w:cs="仿宋"/>
          <w:color w:val="000000" w:themeColor="text1"/>
          <w:sz w:val="32"/>
          <w:szCs w:val="32"/>
        </w:rPr>
        <w:t>造成的返贫现象，及时排查预警区域性、规模性返贫风险，制定防范措施，落实帮扶举措，实行动态清零。</w:t>
      </w:r>
    </w:p>
    <w:p>
      <w:pPr>
        <w:pageBreakBefore w:val="0"/>
        <w:widowControl w:val="0"/>
        <w:tabs>
          <w:tab w:val="left" w:pos="830"/>
        </w:tabs>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color w:val="000000" w:themeColor="text1"/>
          <w:sz w:val="32"/>
          <w:szCs w:val="32"/>
        </w:rPr>
      </w:pPr>
      <w:r>
        <w:rPr>
          <w:rFonts w:hint="eastAsia" w:ascii="仿宋" w:hAnsi="仿宋" w:eastAsia="仿宋" w:cs="仿宋"/>
          <w:b/>
          <w:bCs/>
          <w:sz w:val="32"/>
          <w:szCs w:val="32"/>
        </w:rPr>
        <w:t>强化易地扶贫搬迁后续扶持。</w:t>
      </w:r>
      <w:r>
        <w:rPr>
          <w:rFonts w:hint="eastAsia" w:ascii="仿宋" w:hAnsi="仿宋" w:eastAsia="仿宋" w:cs="仿宋"/>
          <w:color w:val="000000" w:themeColor="text1"/>
          <w:sz w:val="32"/>
          <w:szCs w:val="32"/>
        </w:rPr>
        <w:t>聚焦原深度贫困地区、集中安置区，从就业需要、产业发展、扶贫扶智和后续配套设施提升等方面，分区分类做好易地扶贫搬迁后续扶持工作。多措并举提高搬迁群众务工就业和自主创业能力，确保有劳动力的搬迁家庭至少有一人实现就业。完善安置区配套基础设施和公共服务设施，提升社区管理服务水平。</w:t>
      </w:r>
    </w:p>
    <w:p>
      <w:pPr>
        <w:pageBreakBefore w:val="0"/>
        <w:widowControl w:val="0"/>
        <w:tabs>
          <w:tab w:val="left" w:pos="830"/>
        </w:tabs>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color w:val="000000" w:themeColor="text1"/>
          <w:sz w:val="32"/>
          <w:szCs w:val="32"/>
        </w:rPr>
      </w:pPr>
      <w:r>
        <w:rPr>
          <w:rFonts w:hint="eastAsia" w:ascii="仿宋" w:hAnsi="仿宋" w:eastAsia="仿宋" w:cs="仿宋"/>
          <w:b/>
          <w:bCs/>
          <w:sz w:val="32"/>
          <w:szCs w:val="32"/>
        </w:rPr>
        <w:t>加强扶贫项目资产管理。</w:t>
      </w:r>
      <w:r>
        <w:rPr>
          <w:rFonts w:hint="eastAsia" w:ascii="仿宋" w:hAnsi="仿宋" w:eastAsia="仿宋" w:cs="仿宋"/>
          <w:color w:val="000000" w:themeColor="text1"/>
          <w:sz w:val="32"/>
          <w:szCs w:val="32"/>
        </w:rPr>
        <w:t>分类摸清各类扶贫项目形成的资产底数，依据项目资金构成和实施方式，科学合理界定个人资产、集体资产、国有资产等资产权属，形成公益性资产、经营性资产及确权到农牧户或其他经营主体的扶贫资产台账。落实公益性资产管护主体，加强后续管理，确保持续发挥作用。明晰经营性资产产权关系，防止资产流失和被侵占，科学制定运营方案和收益分配机制，资产收益重点用于项目运行管护、巩固拓展脱贫攻坚成果、后续产业发展、补齐产业短板、</w:t>
      </w:r>
      <w:r>
        <w:rPr>
          <w:rFonts w:hint="eastAsia" w:ascii="仿宋" w:hAnsi="仿宋" w:eastAsia="仿宋" w:cs="仿宋"/>
          <w:color w:val="000000" w:themeColor="text1"/>
          <w:sz w:val="32"/>
          <w:szCs w:val="32"/>
          <w:lang w:eastAsia="zh-CN"/>
        </w:rPr>
        <w:t>嘎查</w:t>
      </w:r>
      <w:r>
        <w:rPr>
          <w:rFonts w:hint="eastAsia" w:ascii="仿宋" w:hAnsi="仿宋" w:eastAsia="仿宋" w:cs="仿宋"/>
          <w:color w:val="000000" w:themeColor="text1"/>
          <w:sz w:val="32"/>
          <w:szCs w:val="32"/>
        </w:rPr>
        <w:t>村级公益事业等。</w:t>
      </w:r>
    </w:p>
    <w:p>
      <w:pPr>
        <w:pageBreakBefore w:val="0"/>
        <w:widowControl w:val="0"/>
        <w:tabs>
          <w:tab w:val="left" w:pos="830"/>
        </w:tabs>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color w:val="000000" w:themeColor="text1"/>
          <w:sz w:val="32"/>
          <w:szCs w:val="32"/>
        </w:rPr>
      </w:pPr>
      <w:r>
        <w:rPr>
          <w:rFonts w:hint="eastAsia" w:ascii="仿宋" w:hAnsi="仿宋" w:eastAsia="仿宋" w:cs="仿宋"/>
          <w:b/>
          <w:bCs/>
          <w:sz w:val="32"/>
          <w:szCs w:val="32"/>
        </w:rPr>
        <w:t>推动脱贫地区特色产业可持续发展。</w:t>
      </w:r>
      <w:r>
        <w:rPr>
          <w:rFonts w:hint="eastAsia" w:ascii="仿宋" w:hAnsi="仿宋" w:eastAsia="仿宋" w:cs="仿宋"/>
          <w:color w:val="000000" w:themeColor="text1"/>
          <w:sz w:val="32"/>
          <w:szCs w:val="32"/>
        </w:rPr>
        <w:t>组织脱贫旗县编制“十四五”乡村特色产业发展规划，实施脱贫地区特色种养业提升行动，在主导产业发展、重大项目布局、补齐公共服务短板等方面给予脱贫地区支持，专家队伍长期跟踪帮扶，持续推动脱贫地区产业可持续发展，提升现代农牧业、光伏、旅游、电商和生态等优势特色产业发展水平。拓展脱贫地区农畜产品销售渠道，完善线上线下销售渠道体系，支持销售企业、电商、批发市场与脱贫地区精准对接。继续大力实施消费帮扶，持续扩大脱贫地区产品供给规模。</w:t>
      </w:r>
    </w:p>
    <w:p>
      <w:pPr>
        <w:pageBreakBefore w:val="0"/>
        <w:widowControl w:val="0"/>
        <w:tabs>
          <w:tab w:val="left" w:pos="830"/>
        </w:tabs>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color w:val="000000" w:themeColor="text1"/>
          <w:sz w:val="32"/>
          <w:szCs w:val="32"/>
        </w:rPr>
      </w:pPr>
      <w:r>
        <w:rPr>
          <w:rFonts w:hint="eastAsia" w:ascii="仿宋" w:hAnsi="仿宋" w:eastAsia="仿宋" w:cs="仿宋"/>
          <w:b/>
          <w:bCs/>
          <w:sz w:val="32"/>
          <w:szCs w:val="32"/>
        </w:rPr>
        <w:t>促进脱贫人口稳定就业。</w:t>
      </w:r>
      <w:r>
        <w:rPr>
          <w:rFonts w:hint="eastAsia" w:ascii="仿宋" w:hAnsi="仿宋" w:eastAsia="仿宋" w:cs="仿宋"/>
          <w:color w:val="000000" w:themeColor="text1"/>
          <w:sz w:val="32"/>
          <w:szCs w:val="32"/>
        </w:rPr>
        <w:t>落实优惠政策，鼓励企业吸纳和稳定就业岗位。扩大脱贫地区农村</w:t>
      </w:r>
      <w:r>
        <w:rPr>
          <w:rFonts w:hint="eastAsia" w:ascii="仿宋" w:hAnsi="仿宋" w:eastAsia="仿宋" w:cs="仿宋"/>
          <w:color w:val="000000" w:themeColor="text1"/>
          <w:sz w:val="32"/>
          <w:szCs w:val="32"/>
          <w:lang w:eastAsia="zh-CN"/>
        </w:rPr>
        <w:t>牧区</w:t>
      </w:r>
      <w:r>
        <w:rPr>
          <w:rFonts w:hint="eastAsia" w:ascii="仿宋" w:hAnsi="仿宋" w:eastAsia="仿宋" w:cs="仿宋"/>
          <w:color w:val="000000" w:themeColor="text1"/>
          <w:sz w:val="32"/>
          <w:szCs w:val="32"/>
        </w:rPr>
        <w:t>劳动力转移就业，大规模开展职业技能培训，加大脱贫人口有组织劳务输出力度。支持“以工代赈”增加就业岗位和多渠道灵活就业，开发公益性岗位，延续扶贫车间支持政策。鼓励引导返乡入乡留乡人员创办农畜产品加工实体、农牧民合作社等经营主体，带动脱贫人口、农村牧区低收入人口就业。建立农牧民在乡务工就业监测制度，跟踪掌握农牧民就业状况。</w:t>
      </w:r>
    </w:p>
    <w:p>
      <w:pPr>
        <w:pageBreakBefore w:val="0"/>
        <w:widowControl w:val="0"/>
        <w:tabs>
          <w:tab w:val="left" w:pos="830"/>
        </w:tabs>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color w:val="000000" w:themeColor="text1"/>
          <w:sz w:val="32"/>
          <w:szCs w:val="32"/>
        </w:rPr>
      </w:pPr>
      <w:r>
        <w:rPr>
          <w:rFonts w:hint="eastAsia" w:ascii="仿宋" w:hAnsi="仿宋" w:eastAsia="仿宋" w:cs="仿宋"/>
          <w:b/>
          <w:bCs/>
          <w:sz w:val="32"/>
          <w:szCs w:val="32"/>
        </w:rPr>
        <w:t>改善脱贫地区发展条件。</w:t>
      </w:r>
      <w:r>
        <w:rPr>
          <w:rFonts w:hint="eastAsia" w:ascii="仿宋" w:hAnsi="仿宋" w:eastAsia="仿宋" w:cs="仿宋"/>
          <w:color w:val="000000" w:themeColor="text1"/>
          <w:sz w:val="32"/>
          <w:szCs w:val="32"/>
        </w:rPr>
        <w:t>扩大脱贫地区基础设施建设覆盖面，促进县域内整体提升。在脱贫地区继续实施农村牧区危房改造，持续改善交通、人居环境、水利、通讯网络、广播电视、物流电商等方面硬件条件。持续支持脱贫地区人居环境整治提升和农村</w:t>
      </w:r>
      <w:r>
        <w:rPr>
          <w:rFonts w:hint="eastAsia" w:ascii="仿宋" w:hAnsi="仿宋" w:eastAsia="仿宋" w:cs="仿宋"/>
          <w:color w:val="000000" w:themeColor="text1"/>
          <w:sz w:val="32"/>
          <w:szCs w:val="32"/>
          <w:lang w:eastAsia="zh-CN"/>
        </w:rPr>
        <w:t>牧区</w:t>
      </w:r>
      <w:r>
        <w:rPr>
          <w:rFonts w:hint="eastAsia" w:ascii="仿宋" w:hAnsi="仿宋" w:eastAsia="仿宋" w:cs="仿宋"/>
          <w:color w:val="000000" w:themeColor="text1"/>
          <w:sz w:val="32"/>
          <w:szCs w:val="32"/>
        </w:rPr>
        <w:t>道路、中小型水利工程、县乡村三级物流体系、农村牧区电网等基础设施建设，推进农村牧区客运发展。进一步提升教育、医疗卫生等公共服务水平，普遍增加公费师范生培养供给，实施订单定向免费医学生培养，加大支持脱贫地区医疗卫生机构基础设施建设和设备配备力度。</w:t>
      </w:r>
    </w:p>
    <w:p>
      <w:pPr>
        <w:ind w:firstLine="643" w:firstLineChars="200"/>
        <w:rPr>
          <w:rFonts w:hint="eastAsia" w:ascii="仿宋" w:hAnsi="仿宋" w:eastAsia="仿宋" w:cs="仿宋"/>
          <w:sz w:val="32"/>
          <w:szCs w:val="32"/>
        </w:rPr>
      </w:pPr>
      <w:r>
        <w:rPr>
          <w:rFonts w:hint="eastAsia" w:ascii="仿宋" w:hAnsi="仿宋" w:eastAsia="仿宋" w:cs="仿宋"/>
          <w:b/>
          <w:bCs/>
          <w:sz w:val="32"/>
          <w:szCs w:val="32"/>
          <w:lang w:eastAsia="zh-CN"/>
        </w:rPr>
        <w:t>健全低收入人口常态化帮扶机制。</w:t>
      </w:r>
      <w:r>
        <w:rPr>
          <w:rFonts w:hint="eastAsia" w:ascii="仿宋" w:hAnsi="仿宋" w:eastAsia="仿宋" w:cs="仿宋"/>
          <w:b w:val="0"/>
          <w:bCs w:val="0"/>
          <w:sz w:val="32"/>
          <w:szCs w:val="32"/>
        </w:rPr>
        <w:t>建立农村牧区</w:t>
      </w:r>
      <w:r>
        <w:rPr>
          <w:rFonts w:hint="eastAsia" w:ascii="仿宋" w:hAnsi="仿宋" w:eastAsia="仿宋" w:cs="仿宋"/>
          <w:b w:val="0"/>
          <w:bCs w:val="0"/>
          <w:sz w:val="32"/>
          <w:szCs w:val="32"/>
          <w:lang w:eastAsia="zh-CN"/>
        </w:rPr>
        <w:t>低</w:t>
      </w:r>
      <w:r>
        <w:rPr>
          <w:rFonts w:hint="eastAsia" w:ascii="仿宋" w:hAnsi="仿宋" w:eastAsia="仿宋" w:cs="仿宋"/>
          <w:b w:val="0"/>
          <w:bCs w:val="0"/>
          <w:sz w:val="32"/>
          <w:szCs w:val="32"/>
        </w:rPr>
        <w:t>收入人口动态监测信息库，</w:t>
      </w:r>
      <w:r>
        <w:rPr>
          <w:rFonts w:hint="eastAsia" w:ascii="仿宋" w:hAnsi="仿宋" w:eastAsia="仿宋" w:cs="仿宋"/>
          <w:b w:val="0"/>
          <w:bCs w:val="0"/>
          <w:sz w:val="32"/>
          <w:szCs w:val="32"/>
          <w:lang w:eastAsia="zh-CN"/>
        </w:rPr>
        <w:t>完善</w:t>
      </w:r>
      <w:r>
        <w:rPr>
          <w:rFonts w:hint="eastAsia" w:ascii="仿宋" w:hAnsi="仿宋" w:eastAsia="仿宋" w:cs="仿宋"/>
          <w:b w:val="0"/>
          <w:bCs w:val="0"/>
          <w:sz w:val="32"/>
          <w:szCs w:val="32"/>
        </w:rPr>
        <w:t>多部门联动风险预警、研判和处置机制，做到早发现、早帮扶。</w:t>
      </w:r>
      <w:r>
        <w:rPr>
          <w:rFonts w:hint="eastAsia" w:ascii="仿宋" w:hAnsi="仿宋" w:eastAsia="仿宋" w:cs="仿宋"/>
          <w:b w:val="0"/>
          <w:bCs w:val="0"/>
          <w:sz w:val="32"/>
          <w:szCs w:val="32"/>
          <w:lang w:eastAsia="zh-CN"/>
        </w:rPr>
        <w:t>对于</w:t>
      </w:r>
      <w:r>
        <w:rPr>
          <w:rFonts w:hint="eastAsia" w:ascii="仿宋" w:hAnsi="仿宋" w:eastAsia="仿宋" w:cs="仿宋"/>
          <w:b w:val="0"/>
          <w:bCs w:val="0"/>
          <w:sz w:val="32"/>
          <w:szCs w:val="32"/>
        </w:rPr>
        <w:t>脱贫人口中完全丧失劳动能力或部分丧失劳动能力且无法通过产业就业获得稳定收入的人口</w:t>
      </w:r>
      <w:r>
        <w:rPr>
          <w:rFonts w:hint="eastAsia" w:ascii="仿宋" w:hAnsi="仿宋" w:eastAsia="仿宋" w:cs="仿宋"/>
          <w:b w:val="0"/>
          <w:bCs w:val="0"/>
          <w:sz w:val="32"/>
          <w:szCs w:val="32"/>
          <w:lang w:eastAsia="zh-CN"/>
        </w:rPr>
        <w:t>，按规定及时</w:t>
      </w:r>
      <w:r>
        <w:rPr>
          <w:rFonts w:hint="eastAsia" w:ascii="仿宋" w:hAnsi="仿宋" w:eastAsia="仿宋" w:cs="仿宋"/>
          <w:b w:val="0"/>
          <w:bCs w:val="0"/>
          <w:sz w:val="32"/>
          <w:szCs w:val="32"/>
        </w:rPr>
        <w:t>纳入</w:t>
      </w:r>
      <w:r>
        <w:rPr>
          <w:rFonts w:hint="eastAsia" w:ascii="仿宋" w:hAnsi="仿宋" w:eastAsia="仿宋" w:cs="仿宋"/>
          <w:b w:val="0"/>
          <w:bCs w:val="0"/>
          <w:sz w:val="32"/>
          <w:szCs w:val="32"/>
          <w:lang w:eastAsia="zh-CN"/>
        </w:rPr>
        <w:t>低</w:t>
      </w:r>
      <w:r>
        <w:rPr>
          <w:rFonts w:hint="eastAsia" w:ascii="仿宋" w:hAnsi="仿宋" w:eastAsia="仿宋" w:cs="仿宋"/>
          <w:sz w:val="32"/>
          <w:szCs w:val="32"/>
          <w:lang w:eastAsia="zh-CN"/>
        </w:rPr>
        <w:t>保、特困等</w:t>
      </w:r>
      <w:r>
        <w:rPr>
          <w:rFonts w:hint="eastAsia" w:ascii="仿宋" w:hAnsi="仿宋" w:eastAsia="仿宋" w:cs="仿宋"/>
          <w:sz w:val="32"/>
          <w:szCs w:val="32"/>
        </w:rPr>
        <w:t>相应救助帮扶范围。</w:t>
      </w:r>
      <w:r>
        <w:rPr>
          <w:rFonts w:hint="eastAsia" w:ascii="仿宋" w:hAnsi="仿宋" w:eastAsia="仿宋" w:cs="仿宋"/>
          <w:sz w:val="32"/>
          <w:szCs w:val="32"/>
          <w:lang w:eastAsia="zh-CN"/>
        </w:rPr>
        <w:t>对于</w:t>
      </w:r>
      <w:r>
        <w:rPr>
          <w:rFonts w:hint="eastAsia" w:ascii="仿宋" w:hAnsi="仿宋" w:eastAsia="仿宋" w:cs="仿宋"/>
          <w:sz w:val="32"/>
          <w:szCs w:val="32"/>
        </w:rPr>
        <w:t>有劳动能力的低收入人口，</w:t>
      </w:r>
      <w:r>
        <w:rPr>
          <w:rFonts w:hint="eastAsia" w:ascii="仿宋" w:hAnsi="仿宋" w:eastAsia="仿宋" w:cs="仿宋"/>
          <w:sz w:val="32"/>
          <w:szCs w:val="32"/>
          <w:lang w:eastAsia="zh-CN"/>
        </w:rPr>
        <w:t>坚持</w:t>
      </w:r>
      <w:r>
        <w:rPr>
          <w:rFonts w:hint="eastAsia" w:ascii="仿宋" w:hAnsi="仿宋" w:eastAsia="仿宋" w:cs="仿宋"/>
          <w:sz w:val="32"/>
          <w:szCs w:val="32"/>
        </w:rPr>
        <w:t>开发式帮扶</w:t>
      </w:r>
      <w:r>
        <w:rPr>
          <w:rFonts w:hint="eastAsia" w:ascii="仿宋" w:hAnsi="仿宋" w:eastAsia="仿宋" w:cs="仿宋"/>
          <w:sz w:val="32"/>
          <w:szCs w:val="32"/>
          <w:lang w:eastAsia="zh-CN"/>
        </w:rPr>
        <w:t>，通过</w:t>
      </w:r>
      <w:r>
        <w:rPr>
          <w:rFonts w:hint="eastAsia" w:ascii="仿宋" w:hAnsi="仿宋" w:eastAsia="仿宋" w:cs="仿宋"/>
          <w:sz w:val="32"/>
          <w:szCs w:val="32"/>
        </w:rPr>
        <w:t>发展产业、参与就业</w:t>
      </w:r>
      <w:r>
        <w:rPr>
          <w:rFonts w:hint="eastAsia" w:ascii="仿宋" w:hAnsi="仿宋" w:eastAsia="仿宋" w:cs="仿宋"/>
          <w:sz w:val="32"/>
          <w:szCs w:val="32"/>
          <w:lang w:eastAsia="zh-CN"/>
        </w:rPr>
        <w:t>实现增收</w:t>
      </w:r>
      <w:r>
        <w:rPr>
          <w:rFonts w:hint="eastAsia" w:ascii="仿宋" w:hAnsi="仿宋" w:eastAsia="仿宋" w:cs="仿宋"/>
          <w:sz w:val="32"/>
          <w:szCs w:val="32"/>
        </w:rPr>
        <w:t>。</w:t>
      </w:r>
    </w:p>
    <w:p>
      <w:pPr>
        <w:ind w:firstLine="643" w:firstLineChars="200"/>
        <w:rPr>
          <w:rFonts w:hint="eastAsia" w:ascii="仿宋" w:hAnsi="仿宋" w:eastAsia="仿宋" w:cs="仿宋"/>
          <w:color w:val="000000" w:themeColor="text1"/>
          <w:sz w:val="32"/>
          <w:szCs w:val="32"/>
        </w:rPr>
      </w:pPr>
      <w:r>
        <w:rPr>
          <w:rFonts w:hint="eastAsia" w:ascii="仿宋" w:hAnsi="仿宋" w:eastAsia="仿宋" w:cs="仿宋"/>
          <w:b/>
          <w:bCs/>
          <w:sz w:val="32"/>
          <w:szCs w:val="32"/>
        </w:rPr>
        <w:t>加大乡村振兴重点</w:t>
      </w:r>
      <w:r>
        <w:rPr>
          <w:rFonts w:hint="eastAsia" w:ascii="仿宋" w:hAnsi="仿宋" w:eastAsia="仿宋" w:cs="仿宋"/>
          <w:b/>
          <w:bCs/>
          <w:sz w:val="32"/>
          <w:szCs w:val="32"/>
          <w:lang w:eastAsia="zh-CN"/>
        </w:rPr>
        <w:t>旗县</w:t>
      </w:r>
      <w:r>
        <w:rPr>
          <w:rFonts w:hint="eastAsia" w:ascii="仿宋" w:hAnsi="仿宋" w:eastAsia="仿宋" w:cs="仿宋"/>
          <w:b/>
          <w:bCs/>
          <w:sz w:val="32"/>
          <w:szCs w:val="32"/>
        </w:rPr>
        <w:t>帮扶和社会力量帮扶力度。</w:t>
      </w:r>
      <w:r>
        <w:rPr>
          <w:rFonts w:hint="eastAsia" w:ascii="仿宋" w:hAnsi="仿宋" w:eastAsia="仿宋" w:cs="仿宋"/>
          <w:sz w:val="32"/>
          <w:szCs w:val="32"/>
        </w:rPr>
        <w:t>集中支持各级乡村振兴重点帮扶旗县（嘎查村）和</w:t>
      </w:r>
      <w:r>
        <w:rPr>
          <w:rFonts w:hint="eastAsia" w:ascii="仿宋" w:hAnsi="仿宋" w:eastAsia="仿宋" w:cs="仿宋"/>
          <w:color w:val="000000" w:themeColor="text1"/>
          <w:sz w:val="32"/>
          <w:szCs w:val="32"/>
        </w:rPr>
        <w:t>示范旗县（嘎查村），从财政、金融、土地、人才、基础设施建设和公共服务等方面加大帮扶力度，总结推广示范</w:t>
      </w:r>
      <w:r>
        <w:rPr>
          <w:rFonts w:hint="eastAsia" w:ascii="仿宋" w:hAnsi="仿宋" w:eastAsia="仿宋" w:cs="仿宋"/>
          <w:color w:val="000000" w:themeColor="text1"/>
          <w:sz w:val="32"/>
          <w:szCs w:val="32"/>
          <w:lang w:eastAsia="zh-CN"/>
        </w:rPr>
        <w:t>地区</w:t>
      </w:r>
      <w:r>
        <w:rPr>
          <w:rFonts w:hint="eastAsia" w:ascii="仿宋" w:hAnsi="仿宋" w:eastAsia="仿宋" w:cs="仿宋"/>
          <w:color w:val="000000" w:themeColor="text1"/>
          <w:sz w:val="32"/>
          <w:szCs w:val="32"/>
        </w:rPr>
        <w:t>典型经验和做法。继续推进京蒙协作、定点帮扶和社会帮扶工作，调整优化定点帮扶，加大社会力量参与力度，扎实推进“万企兴万村”行动。</w:t>
      </w:r>
    </w:p>
    <w:tbl>
      <w:tblPr>
        <w:tblStyle w:val="26"/>
        <w:tblW w:w="826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shd w:val="clear" w:color="auto" w:fill="FFFFFF" w:themeFill="background1"/>
        <w:tblLayout w:type="fixed"/>
        <w:tblCellMar>
          <w:top w:w="0" w:type="dxa"/>
          <w:left w:w="108" w:type="dxa"/>
          <w:bottom w:w="0" w:type="dxa"/>
          <w:right w:w="108" w:type="dxa"/>
        </w:tblCellMar>
      </w:tblPr>
      <w:tblGrid>
        <w:gridCol w:w="8260"/>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90" w:hRule="atLeast"/>
          <w:jc w:val="center"/>
        </w:trPr>
        <w:tc>
          <w:tcPr>
            <w:tcW w:w="8260" w:type="dxa"/>
            <w:tcBorders>
              <w:bottom w:val="single" w:color="auto" w:sz="4" w:space="0"/>
              <w:tl2br w:val="nil"/>
              <w:tr2bl w:val="nil"/>
            </w:tcBorders>
            <w:shd w:val="clear" w:color="auto" w:fill="FFFFFF" w:themeFill="background1"/>
            <w:vAlign w:val="center"/>
          </w:tcPr>
          <w:p>
            <w:pPr>
              <w:spacing w:line="560" w:lineRule="exact"/>
              <w:ind w:left="210" w:right="210"/>
              <w:jc w:val="center"/>
              <w:rPr>
                <w:rFonts w:ascii="宋体" w:hAnsi="宋体" w:eastAsia="宋体" w:cs="Times New Roman"/>
                <w:color w:val="000000" w:themeColor="text1"/>
                <w:sz w:val="28"/>
                <w:szCs w:val="28"/>
              </w:rPr>
            </w:pPr>
            <w:r>
              <w:rPr>
                <w:rFonts w:hint="eastAsia" w:ascii="黑体" w:hAnsi="黑体" w:eastAsia="黑体" w:cs="黑体"/>
                <w:b w:val="0"/>
                <w:bCs w:val="0"/>
                <w:color w:val="000000" w:themeColor="text1"/>
                <w:sz w:val="28"/>
                <w:szCs w:val="28"/>
              </w:rPr>
              <w:t>专栏</w:t>
            </w:r>
            <w:r>
              <w:rPr>
                <w:rFonts w:hint="eastAsia" w:ascii="黑体" w:hAnsi="黑体" w:eastAsia="黑体" w:cs="黑体"/>
                <w:b w:val="0"/>
                <w:bCs w:val="0"/>
                <w:color w:val="000000" w:themeColor="text1"/>
                <w:sz w:val="28"/>
                <w:szCs w:val="28"/>
                <w:lang w:val="en-US" w:eastAsia="zh-CN"/>
              </w:rPr>
              <w:t>8</w:t>
            </w:r>
            <w:r>
              <w:rPr>
                <w:rFonts w:hint="eastAsia" w:ascii="黑体" w:hAnsi="黑体" w:eastAsia="黑体" w:cs="黑体"/>
                <w:b w:val="0"/>
                <w:bCs w:val="0"/>
                <w:color w:val="000000" w:themeColor="text1"/>
                <w:sz w:val="28"/>
                <w:szCs w:val="28"/>
              </w:rPr>
              <w:t xml:space="preserve">  巩固拓展脱贫攻坚成果工程</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690" w:hRule="atLeast"/>
          <w:jc w:val="center"/>
        </w:trPr>
        <w:tc>
          <w:tcPr>
            <w:tcW w:w="8260" w:type="dxa"/>
            <w:tcBorders>
              <w:top w:val="single" w:color="auto" w:sz="4" w:space="0"/>
              <w:bottom w:val="single" w:color="auto" w:sz="4" w:space="0"/>
              <w:tl2br w:val="nil"/>
              <w:tr2bl w:val="nil"/>
            </w:tcBorders>
            <w:shd w:val="clear" w:color="auto" w:fill="FFFFFF" w:themeFill="background1"/>
          </w:tcPr>
          <w:p>
            <w:pPr>
              <w:pStyle w:val="22"/>
              <w:spacing w:before="0" w:beforeAutospacing="0" w:after="0" w:afterAutospacing="0" w:line="400" w:lineRule="exact"/>
              <w:ind w:left="239" w:leftChars="114" w:firstLine="480" w:firstLineChars="200"/>
              <w:jc w:val="both"/>
              <w:rPr>
                <w:rFonts w:ascii="仿宋" w:hAnsi="仿宋" w:eastAsia="仿宋" w:cs="仿宋"/>
                <w:color w:val="000000" w:themeColor="text1"/>
              </w:rPr>
            </w:pPr>
            <w:r>
              <w:rPr>
                <w:rFonts w:ascii="黑体" w:hAnsi="黑体" w:eastAsia="黑体" w:cs="黑体"/>
                <w:color w:val="000000" w:themeColor="text1"/>
              </w:rPr>
              <w:t>1.特色种养业提升行动</w:t>
            </w:r>
            <w:r>
              <w:rPr>
                <w:rFonts w:hint="eastAsia" w:ascii="黑体" w:hAnsi="黑体" w:eastAsia="黑体" w:cs="黑体"/>
                <w:color w:val="000000" w:themeColor="text1"/>
                <w:lang w:val="en-US" w:eastAsia="zh-CN"/>
              </w:rPr>
              <w:t>。</w:t>
            </w:r>
            <w:r>
              <w:rPr>
                <w:rFonts w:hint="eastAsia" w:ascii="仿宋" w:hAnsi="仿宋" w:eastAsia="仿宋" w:cs="仿宋"/>
                <w:color w:val="000000" w:themeColor="text1"/>
              </w:rPr>
              <w:t>组织脱贫</w:t>
            </w:r>
            <w:r>
              <w:rPr>
                <w:rFonts w:hint="eastAsia" w:ascii="仿宋" w:hAnsi="仿宋" w:eastAsia="仿宋" w:cs="仿宋"/>
                <w:color w:val="000000" w:themeColor="text1"/>
                <w:lang w:eastAsia="zh-CN"/>
              </w:rPr>
              <w:t>旗县</w:t>
            </w:r>
            <w:r>
              <w:rPr>
                <w:rFonts w:hint="eastAsia" w:ascii="仿宋" w:hAnsi="仿宋" w:eastAsia="仿宋" w:cs="仿宋"/>
                <w:color w:val="000000" w:themeColor="text1"/>
              </w:rPr>
              <w:t>编制特色产业发展规划，因地制宜发展肉牛、肉羊、奶业、马铃薯、玉米、小麦、药材、燕麦、杂粮杂豆、饲草料、蔬菜等优特色产业，加快农</w:t>
            </w:r>
            <w:r>
              <w:rPr>
                <w:rFonts w:hint="eastAsia" w:ascii="仿宋" w:hAnsi="仿宋" w:eastAsia="仿宋" w:cs="仿宋"/>
                <w:color w:val="000000" w:themeColor="text1"/>
                <w:lang w:eastAsia="zh-CN"/>
              </w:rPr>
              <w:t>畜</w:t>
            </w:r>
            <w:r>
              <w:rPr>
                <w:rFonts w:hint="eastAsia" w:ascii="仿宋" w:hAnsi="仿宋" w:eastAsia="仿宋" w:cs="仿宋"/>
                <w:color w:val="000000" w:themeColor="text1"/>
              </w:rPr>
              <w:t>产品仓储保鲜、冷链物流设施建设，持续推进特色农</w:t>
            </w:r>
            <w:r>
              <w:rPr>
                <w:rFonts w:hint="eastAsia" w:ascii="仿宋" w:hAnsi="仿宋" w:eastAsia="仿宋" w:cs="仿宋"/>
                <w:color w:val="000000" w:themeColor="text1"/>
                <w:lang w:eastAsia="zh-CN"/>
              </w:rPr>
              <w:t>畜</w:t>
            </w:r>
            <w:r>
              <w:rPr>
                <w:rFonts w:hint="eastAsia" w:ascii="仿宋" w:hAnsi="仿宋" w:eastAsia="仿宋" w:cs="仿宋"/>
                <w:color w:val="000000" w:themeColor="text1"/>
              </w:rPr>
              <w:t>产品品牌创建和产销精准对接。</w:t>
            </w:r>
          </w:p>
          <w:p>
            <w:pPr>
              <w:pStyle w:val="22"/>
              <w:spacing w:before="0" w:beforeAutospacing="0" w:after="0" w:afterAutospacing="0" w:line="400" w:lineRule="exact"/>
              <w:ind w:left="239" w:leftChars="114" w:firstLine="480" w:firstLineChars="200"/>
              <w:jc w:val="both"/>
              <w:rPr>
                <w:rFonts w:ascii="仿宋" w:hAnsi="仿宋" w:eastAsia="仿宋" w:cs="仿宋"/>
                <w:color w:val="000000" w:themeColor="text1"/>
              </w:rPr>
            </w:pPr>
            <w:r>
              <w:rPr>
                <w:rFonts w:ascii="黑体" w:hAnsi="黑体" w:eastAsia="黑体" w:cs="黑体"/>
                <w:color w:val="000000" w:themeColor="text1"/>
              </w:rPr>
              <w:t>2.以工代赈工程</w:t>
            </w:r>
            <w:r>
              <w:rPr>
                <w:rFonts w:hint="eastAsia" w:ascii="黑体" w:hAnsi="黑体" w:eastAsia="黑体" w:cs="黑体"/>
                <w:color w:val="000000" w:themeColor="text1"/>
                <w:lang w:eastAsia="zh-CN"/>
              </w:rPr>
              <w:t>。</w:t>
            </w:r>
            <w:r>
              <w:rPr>
                <w:rFonts w:hint="eastAsia" w:ascii="仿宋" w:hAnsi="仿宋" w:eastAsia="仿宋" w:cs="仿宋"/>
                <w:color w:val="000000" w:themeColor="text1"/>
              </w:rPr>
              <w:t>在脱贫地区实施的</w:t>
            </w:r>
            <w:r>
              <w:rPr>
                <w:rFonts w:hint="eastAsia" w:ascii="仿宋" w:hAnsi="仿宋" w:eastAsia="仿宋" w:cs="仿宋"/>
                <w:color w:val="000000" w:themeColor="text1"/>
                <w:lang w:eastAsia="zh-CN"/>
              </w:rPr>
              <w:t>农牧业农村牧区</w:t>
            </w:r>
            <w:r>
              <w:rPr>
                <w:rFonts w:hint="eastAsia" w:ascii="仿宋" w:hAnsi="仿宋" w:eastAsia="仿宋" w:cs="仿宋"/>
                <w:color w:val="000000" w:themeColor="text1"/>
              </w:rPr>
              <w:t>基础设施建设项目</w:t>
            </w:r>
            <w:r>
              <w:rPr>
                <w:rFonts w:hint="eastAsia" w:ascii="仿宋" w:hAnsi="仿宋" w:eastAsia="仿宋" w:cs="仿宋"/>
                <w:color w:val="000000" w:themeColor="text1"/>
                <w:lang w:eastAsia="zh-CN"/>
              </w:rPr>
              <w:t>，</w:t>
            </w:r>
            <w:r>
              <w:rPr>
                <w:rFonts w:hint="eastAsia" w:ascii="仿宋" w:hAnsi="仿宋" w:eastAsia="仿宋" w:cs="仿宋"/>
                <w:color w:val="000000" w:themeColor="text1"/>
              </w:rPr>
              <w:t>优先吸纳已脱贫户特别是脱贫不稳定户、边缘易致贫户和其他农村</w:t>
            </w:r>
            <w:r>
              <w:rPr>
                <w:rFonts w:hint="eastAsia" w:ascii="仿宋" w:hAnsi="仿宋" w:eastAsia="仿宋" w:cs="仿宋"/>
                <w:color w:val="000000" w:themeColor="text1"/>
                <w:lang w:eastAsia="zh-CN"/>
              </w:rPr>
              <w:t>牧区</w:t>
            </w:r>
            <w:r>
              <w:rPr>
                <w:rFonts w:hint="eastAsia" w:ascii="仿宋" w:hAnsi="仿宋" w:eastAsia="仿宋" w:cs="仿宋"/>
                <w:color w:val="000000" w:themeColor="text1"/>
              </w:rPr>
              <w:t>低收入人口参与工程建设，助推脱贫人口增收。</w:t>
            </w:r>
          </w:p>
          <w:p>
            <w:pPr>
              <w:pStyle w:val="22"/>
              <w:spacing w:before="0" w:beforeAutospacing="0" w:after="0" w:afterAutospacing="0" w:line="400" w:lineRule="exact"/>
              <w:ind w:left="239" w:leftChars="114" w:firstLine="480" w:firstLineChars="200"/>
              <w:jc w:val="both"/>
              <w:rPr>
                <w:rFonts w:ascii="仿宋" w:hAnsi="仿宋" w:eastAsia="仿宋" w:cs="仿宋"/>
                <w:color w:val="000000" w:themeColor="text1"/>
              </w:rPr>
            </w:pPr>
            <w:r>
              <w:rPr>
                <w:rFonts w:ascii="黑体" w:hAnsi="黑体" w:eastAsia="黑体" w:cs="黑体"/>
                <w:color w:val="000000" w:themeColor="text1"/>
              </w:rPr>
              <w:t>3.乡村振兴重点帮扶</w:t>
            </w:r>
            <w:r>
              <w:rPr>
                <w:rFonts w:hint="eastAsia" w:ascii="黑体" w:hAnsi="黑体" w:eastAsia="黑体" w:cs="黑体"/>
                <w:color w:val="000000" w:themeColor="text1"/>
                <w:lang w:eastAsia="zh-CN"/>
              </w:rPr>
              <w:t>旗县</w:t>
            </w:r>
            <w:r>
              <w:rPr>
                <w:rFonts w:ascii="黑体" w:hAnsi="黑体" w:eastAsia="黑体" w:cs="黑体"/>
                <w:color w:val="000000" w:themeColor="text1"/>
              </w:rPr>
              <w:t>集中支持</w:t>
            </w:r>
            <w:r>
              <w:rPr>
                <w:rFonts w:hint="eastAsia" w:ascii="黑体" w:hAnsi="黑体" w:eastAsia="黑体" w:cs="黑体"/>
                <w:color w:val="000000" w:themeColor="text1"/>
                <w:lang w:eastAsia="zh-CN"/>
              </w:rPr>
              <w:t>。</w:t>
            </w:r>
            <w:r>
              <w:rPr>
                <w:rFonts w:hint="eastAsia" w:ascii="仿宋" w:hAnsi="仿宋" w:eastAsia="仿宋" w:cs="仿宋"/>
                <w:color w:val="000000" w:themeColor="text1"/>
              </w:rPr>
              <w:t>从财政、金融、土地、人才、基础设施建设、公共服务等方面，加大对各级乡村振兴重点帮扶</w:t>
            </w:r>
            <w:r>
              <w:rPr>
                <w:rFonts w:hint="eastAsia" w:ascii="仿宋" w:hAnsi="仿宋" w:eastAsia="仿宋" w:cs="仿宋"/>
                <w:color w:val="000000" w:themeColor="text1"/>
                <w:lang w:eastAsia="zh-CN"/>
              </w:rPr>
              <w:t>地区</w:t>
            </w:r>
            <w:r>
              <w:rPr>
                <w:rFonts w:hint="eastAsia" w:ascii="仿宋" w:hAnsi="仿宋" w:eastAsia="仿宋" w:cs="仿宋"/>
                <w:color w:val="000000" w:themeColor="text1"/>
              </w:rPr>
              <w:t>的支持力度，增强区域发展能力。</w:t>
            </w:r>
          </w:p>
          <w:p>
            <w:pPr>
              <w:pStyle w:val="22"/>
              <w:spacing w:before="0" w:beforeAutospacing="0" w:after="0" w:afterAutospacing="0" w:line="400" w:lineRule="exact"/>
              <w:ind w:left="239" w:leftChars="114" w:firstLine="480" w:firstLineChars="200"/>
              <w:jc w:val="both"/>
              <w:rPr>
                <w:rFonts w:ascii="仿宋" w:hAnsi="仿宋" w:eastAsia="仿宋" w:cs="仿宋"/>
                <w:color w:val="000000" w:themeColor="text1"/>
              </w:rPr>
            </w:pPr>
            <w:r>
              <w:rPr>
                <w:rFonts w:ascii="黑体" w:hAnsi="黑体" w:eastAsia="黑体" w:cs="黑体"/>
                <w:color w:val="000000" w:themeColor="text1"/>
              </w:rPr>
              <w:t>4.定点帮扶</w:t>
            </w:r>
            <w:r>
              <w:rPr>
                <w:rFonts w:hint="eastAsia" w:ascii="黑体" w:hAnsi="黑体" w:eastAsia="黑体" w:cs="黑体"/>
                <w:color w:val="000000" w:themeColor="text1"/>
                <w:lang w:eastAsia="zh-CN"/>
              </w:rPr>
              <w:t>。</w:t>
            </w:r>
            <w:r>
              <w:rPr>
                <w:rFonts w:hint="eastAsia" w:ascii="仿宋" w:hAnsi="仿宋" w:eastAsia="仿宋" w:cs="仿宋"/>
                <w:color w:val="000000" w:themeColor="text1"/>
              </w:rPr>
              <w:t>发挥帮扶单位人才、信息、资源等方面优势，创新帮扶举措，帮助定点帮扶</w:t>
            </w:r>
            <w:r>
              <w:rPr>
                <w:rFonts w:hint="eastAsia" w:ascii="仿宋" w:hAnsi="仿宋" w:eastAsia="仿宋" w:cs="仿宋"/>
                <w:color w:val="000000" w:themeColor="text1"/>
                <w:lang w:eastAsia="zh-CN"/>
              </w:rPr>
              <w:t>地区</w:t>
            </w:r>
            <w:r>
              <w:rPr>
                <w:rFonts w:hint="eastAsia" w:ascii="仿宋" w:hAnsi="仿宋" w:eastAsia="仿宋" w:cs="仿宋"/>
                <w:color w:val="000000" w:themeColor="text1"/>
              </w:rPr>
              <w:t>特别是乡村振兴重点帮扶</w:t>
            </w:r>
            <w:r>
              <w:rPr>
                <w:rFonts w:hint="eastAsia" w:ascii="仿宋" w:hAnsi="仿宋" w:eastAsia="仿宋" w:cs="仿宋"/>
                <w:color w:val="000000" w:themeColor="text1"/>
                <w:lang w:eastAsia="zh-CN"/>
              </w:rPr>
              <w:t>地区</w:t>
            </w:r>
            <w:r>
              <w:rPr>
                <w:rFonts w:hint="eastAsia" w:ascii="仿宋" w:hAnsi="仿宋" w:eastAsia="仿宋" w:cs="仿宋"/>
                <w:color w:val="000000" w:themeColor="text1"/>
              </w:rPr>
              <w:t>发展特色主导产业</w:t>
            </w:r>
            <w:r>
              <w:rPr>
                <w:rFonts w:hint="eastAsia" w:ascii="仿宋" w:hAnsi="仿宋" w:eastAsia="仿宋" w:cs="仿宋"/>
                <w:color w:val="000000" w:themeColor="text1"/>
                <w:lang w:eastAsia="zh-CN"/>
              </w:rPr>
              <w:t>，</w:t>
            </w:r>
            <w:r>
              <w:rPr>
                <w:rFonts w:hint="eastAsia" w:ascii="仿宋" w:hAnsi="仿宋" w:eastAsia="仿宋" w:cs="仿宋"/>
                <w:color w:val="000000" w:themeColor="text1"/>
              </w:rPr>
              <w:t>拓展农</w:t>
            </w:r>
            <w:r>
              <w:rPr>
                <w:rFonts w:hint="eastAsia" w:ascii="仿宋" w:hAnsi="仿宋" w:eastAsia="仿宋" w:cs="仿宋"/>
                <w:color w:val="000000" w:themeColor="text1"/>
                <w:lang w:eastAsia="zh-CN"/>
              </w:rPr>
              <w:t>畜</w:t>
            </w:r>
            <w:r>
              <w:rPr>
                <w:rFonts w:hint="eastAsia" w:ascii="仿宋" w:hAnsi="仿宋" w:eastAsia="仿宋" w:cs="仿宋"/>
                <w:color w:val="000000" w:themeColor="text1"/>
              </w:rPr>
              <w:t>产品销售渠道，继续选派挂职干部，强化当地人才培养。</w:t>
            </w:r>
          </w:p>
          <w:p>
            <w:pPr>
              <w:pStyle w:val="22"/>
              <w:spacing w:before="0" w:beforeAutospacing="0" w:after="0" w:afterAutospacing="0" w:line="400" w:lineRule="exact"/>
              <w:ind w:left="239" w:leftChars="114" w:firstLine="480" w:firstLineChars="200"/>
              <w:jc w:val="both"/>
              <w:rPr>
                <w:rFonts w:ascii="仿宋" w:hAnsi="仿宋" w:eastAsia="仿宋" w:cs="仿宋"/>
                <w:color w:val="000000" w:themeColor="text1"/>
              </w:rPr>
            </w:pPr>
            <w:r>
              <w:rPr>
                <w:rFonts w:ascii="黑体" w:hAnsi="黑体" w:eastAsia="黑体" w:cs="黑体"/>
                <w:color w:val="000000" w:themeColor="text1"/>
              </w:rPr>
              <w:t>5.“万企兴万村”行动</w:t>
            </w:r>
            <w:r>
              <w:rPr>
                <w:rFonts w:hint="eastAsia" w:ascii="黑体" w:hAnsi="黑体" w:eastAsia="黑体" w:cs="黑体"/>
                <w:color w:val="000000" w:themeColor="text1"/>
                <w:lang w:eastAsia="zh-CN"/>
              </w:rPr>
              <w:t>。</w:t>
            </w:r>
            <w:r>
              <w:rPr>
                <w:rFonts w:hint="eastAsia" w:ascii="仿宋" w:hAnsi="仿宋" w:eastAsia="仿宋" w:cs="仿宋"/>
                <w:color w:val="000000" w:themeColor="text1"/>
              </w:rPr>
              <w:t>聚焦</w:t>
            </w:r>
            <w:r>
              <w:rPr>
                <w:rFonts w:hint="eastAsia" w:ascii="仿宋" w:hAnsi="仿宋" w:eastAsia="仿宋" w:cs="仿宋"/>
                <w:color w:val="000000" w:themeColor="text1"/>
                <w:lang w:eastAsia="zh-CN"/>
              </w:rPr>
              <w:t>农</w:t>
            </w:r>
            <w:r>
              <w:rPr>
                <w:rFonts w:hint="eastAsia" w:ascii="仿宋" w:hAnsi="仿宋" w:eastAsia="仿宋" w:cs="仿宋"/>
                <w:color w:val="000000" w:themeColor="text1"/>
              </w:rPr>
              <w:t>村牧区产业和</w:t>
            </w:r>
            <w:r>
              <w:rPr>
                <w:rFonts w:hint="eastAsia" w:ascii="仿宋" w:hAnsi="仿宋" w:eastAsia="仿宋" w:cs="仿宋"/>
                <w:color w:val="000000" w:themeColor="text1"/>
                <w:lang w:eastAsia="zh-CN"/>
              </w:rPr>
              <w:t>农</w:t>
            </w:r>
            <w:r>
              <w:rPr>
                <w:rFonts w:hint="eastAsia" w:ascii="仿宋" w:hAnsi="仿宋" w:eastAsia="仿宋" w:cs="仿宋"/>
                <w:color w:val="000000" w:themeColor="text1"/>
              </w:rPr>
              <w:t>村牧区建设，引导民营企业推动脱贫地区优势特色产业发展，积极参与农村</w:t>
            </w:r>
            <w:r>
              <w:rPr>
                <w:rFonts w:hint="eastAsia" w:ascii="仿宋" w:hAnsi="仿宋" w:eastAsia="仿宋" w:cs="仿宋"/>
                <w:color w:val="000000" w:themeColor="text1"/>
                <w:lang w:eastAsia="zh-CN"/>
              </w:rPr>
              <w:t>牧区</w:t>
            </w:r>
            <w:r>
              <w:rPr>
                <w:rFonts w:hint="eastAsia" w:ascii="仿宋" w:hAnsi="仿宋" w:eastAsia="仿宋" w:cs="仿宋"/>
                <w:color w:val="000000" w:themeColor="text1"/>
              </w:rPr>
              <w:t>基础设施建设和公共服务提升，带动更多资源和要素投向</w:t>
            </w:r>
            <w:r>
              <w:rPr>
                <w:rFonts w:hint="eastAsia" w:ascii="仿宋" w:hAnsi="仿宋" w:eastAsia="仿宋" w:cs="仿宋"/>
                <w:color w:val="000000" w:themeColor="text1"/>
                <w:lang w:eastAsia="zh-CN"/>
              </w:rPr>
              <w:t>农</w:t>
            </w:r>
            <w:r>
              <w:rPr>
                <w:rFonts w:hint="eastAsia" w:ascii="仿宋" w:hAnsi="仿宋" w:eastAsia="仿宋" w:cs="仿宋"/>
                <w:color w:val="000000" w:themeColor="text1"/>
              </w:rPr>
              <w:t>村牧区。</w:t>
            </w:r>
          </w:p>
        </w:tc>
      </w:tr>
    </w:tbl>
    <w:p>
      <w:pPr>
        <w:pStyle w:val="4"/>
        <w:pageBreakBefore w:val="0"/>
        <w:widowControl w:val="0"/>
        <w:kinsoku/>
        <w:wordWrap/>
        <w:overflowPunct/>
        <w:topLinePunct w:val="0"/>
        <w:autoSpaceDE/>
        <w:autoSpaceDN/>
        <w:bidi w:val="0"/>
        <w:adjustRightInd/>
        <w:snapToGrid/>
        <w:spacing w:before="156" w:beforeLines="50" w:after="156" w:afterLines="50" w:line="600" w:lineRule="exact"/>
        <w:textAlignment w:val="auto"/>
        <w:rPr>
          <w:rFonts w:ascii="Calibri Light" w:hAnsi="Calibri Light" w:cs="Times New Roman"/>
          <w:b w:val="0"/>
          <w:bCs w:val="0"/>
          <w:sz w:val="32"/>
          <w:szCs w:val="32"/>
        </w:rPr>
      </w:pPr>
      <w:bookmarkStart w:id="468" w:name="_Toc29356"/>
      <w:bookmarkStart w:id="469" w:name="_Toc809722495_WPSOffice_Level2"/>
      <w:bookmarkStart w:id="470" w:name="_Toc30835"/>
      <w:bookmarkStart w:id="471" w:name="_Toc29550"/>
      <w:bookmarkStart w:id="472" w:name="_Toc16465"/>
      <w:r>
        <w:rPr>
          <w:rFonts w:hint="eastAsia" w:ascii="Calibri Light" w:hAnsi="Calibri Light" w:cs="Times New Roman"/>
          <w:b w:val="0"/>
          <w:bCs w:val="0"/>
          <w:sz w:val="32"/>
          <w:szCs w:val="32"/>
        </w:rPr>
        <w:t>第二节 多渠道增加农牧民收入</w:t>
      </w:r>
      <w:bookmarkEnd w:id="458"/>
      <w:bookmarkEnd w:id="459"/>
      <w:bookmarkEnd w:id="460"/>
      <w:bookmarkEnd w:id="461"/>
      <w:bookmarkEnd w:id="468"/>
      <w:bookmarkEnd w:id="469"/>
      <w:bookmarkEnd w:id="470"/>
      <w:bookmarkEnd w:id="471"/>
      <w:bookmarkEnd w:id="472"/>
    </w:p>
    <w:p>
      <w:pPr>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sz w:val="32"/>
          <w:szCs w:val="32"/>
        </w:rPr>
      </w:pPr>
      <w:r>
        <w:rPr>
          <w:rFonts w:hint="eastAsia" w:ascii="仿宋" w:hAnsi="仿宋" w:eastAsia="仿宋" w:cs="仿宋"/>
          <w:b/>
          <w:bCs/>
          <w:sz w:val="32"/>
          <w:szCs w:val="32"/>
        </w:rPr>
        <w:t>挖掘现代农牧业增收潜力。</w:t>
      </w:r>
      <w:r>
        <w:rPr>
          <w:rFonts w:hint="eastAsia" w:ascii="仿宋" w:hAnsi="仿宋" w:eastAsia="仿宋" w:cs="仿宋"/>
          <w:color w:val="000000" w:themeColor="text1"/>
          <w:sz w:val="32"/>
          <w:szCs w:val="32"/>
        </w:rPr>
        <w:t>加快牲畜品种改良，</w:t>
      </w:r>
      <w:r>
        <w:rPr>
          <w:rFonts w:hint="eastAsia" w:ascii="仿宋" w:hAnsi="仿宋" w:eastAsia="仿宋" w:cs="仿宋"/>
          <w:color w:val="000000" w:themeColor="text1"/>
          <w:sz w:val="32"/>
          <w:szCs w:val="32"/>
          <w:lang w:eastAsia="zh-CN"/>
        </w:rPr>
        <w:t>提升</w:t>
      </w:r>
      <w:r>
        <w:rPr>
          <w:rFonts w:hint="eastAsia" w:ascii="仿宋" w:hAnsi="仿宋" w:eastAsia="仿宋" w:cs="仿宋"/>
          <w:color w:val="000000" w:themeColor="text1"/>
          <w:sz w:val="32"/>
          <w:szCs w:val="32"/>
        </w:rPr>
        <w:t>饲养管理</w:t>
      </w:r>
      <w:r>
        <w:rPr>
          <w:rFonts w:hint="eastAsia" w:ascii="仿宋" w:hAnsi="仿宋" w:eastAsia="仿宋" w:cs="仿宋"/>
          <w:color w:val="000000" w:themeColor="text1"/>
          <w:sz w:val="32"/>
          <w:szCs w:val="32"/>
          <w:lang w:eastAsia="zh-CN"/>
        </w:rPr>
        <w:t>水平</w:t>
      </w:r>
      <w:r>
        <w:rPr>
          <w:rFonts w:hint="eastAsia" w:ascii="仿宋" w:hAnsi="仿宋" w:eastAsia="仿宋" w:cs="仿宋"/>
          <w:color w:val="000000" w:themeColor="text1"/>
          <w:sz w:val="32"/>
          <w:szCs w:val="32"/>
        </w:rPr>
        <w:t>，推进农牧业提质增效。加快发展订单直销、连锁配送、电子商务等现代流通方式，促进农牧业产业经营组织方式变革。积极开发农牧业多种功能，挖掘农牧业生态价值、休闲价值、文化价值，拓展农牧业内涵、外延和发展领域。完善紧密型利益联结机制，推广“龙头企业+合作社+农牧户”等模式，通过订单保底收购、土地流转、优先聘用、二次利润返还、股份分红等多种利益联结形式，</w:t>
      </w:r>
      <w:r>
        <w:rPr>
          <w:rFonts w:hint="eastAsia" w:ascii="仿宋" w:hAnsi="仿宋" w:eastAsia="仿宋" w:cs="仿宋"/>
          <w:sz w:val="32"/>
          <w:szCs w:val="32"/>
        </w:rPr>
        <w:t>促进农牧户与现代农牧业发展有机衔接，</w:t>
      </w:r>
      <w:r>
        <w:rPr>
          <w:rFonts w:hint="eastAsia" w:ascii="仿宋" w:hAnsi="仿宋" w:eastAsia="仿宋" w:cs="仿宋"/>
          <w:color w:val="000000" w:themeColor="text1"/>
          <w:sz w:val="32"/>
          <w:szCs w:val="32"/>
        </w:rPr>
        <w:t>将农牧民镶嵌到产业发展链条中，共享产业融合发展的增值收益。</w:t>
      </w:r>
      <w:bookmarkStart w:id="473" w:name="_Toc59000530"/>
      <w:bookmarkStart w:id="474" w:name="_Toc58870122"/>
      <w:bookmarkStart w:id="475" w:name="_Toc57041431"/>
    </w:p>
    <w:p>
      <w:pPr>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color w:val="000000" w:themeColor="text1"/>
          <w:sz w:val="32"/>
          <w:szCs w:val="32"/>
        </w:rPr>
      </w:pPr>
      <w:r>
        <w:rPr>
          <w:rFonts w:hint="eastAsia" w:ascii="仿宋" w:hAnsi="仿宋" w:eastAsia="仿宋" w:cs="仿宋"/>
          <w:b/>
          <w:bCs/>
          <w:sz w:val="32"/>
          <w:szCs w:val="32"/>
        </w:rPr>
        <w:t>推动农牧民高质量就业创业。</w:t>
      </w:r>
      <w:r>
        <w:rPr>
          <w:rFonts w:hint="eastAsia" w:ascii="仿宋" w:hAnsi="仿宋" w:eastAsia="仿宋" w:cs="仿宋"/>
          <w:color w:val="000000" w:themeColor="text1"/>
          <w:sz w:val="32"/>
          <w:szCs w:val="32"/>
        </w:rPr>
        <w:t>加强京蒙劳务对接和周边地区劳务对接，开展“春风行动”、“大型网络招聘月”等专项活动，搭建用工信息平台，促进农村牧区劳动力有序转移就业。发展家政、养老、护理等生活性服务业和电子商务、物流、旅游休闲、健康养老等产业，拓宽农牧民就业空间。落实税费减免、失业保险稳岗返还、培训补贴、社会保险补贴等政策，鼓励企业吸纳农村牧区劳动力。采取“以工代赈”等方式，引导农村牧区劳动力参与农田水利、村庄道路、人居环境整治、乡村绿化等工程项目建设。实施“创业</w:t>
      </w:r>
      <w:r>
        <w:rPr>
          <w:rFonts w:hint="eastAsia" w:ascii="仿宋" w:hAnsi="仿宋" w:eastAsia="仿宋" w:cs="仿宋"/>
          <w:color w:val="000000" w:themeColor="text1"/>
          <w:sz w:val="32"/>
          <w:szCs w:val="32"/>
          <w:lang w:eastAsia="zh-CN"/>
        </w:rPr>
        <w:t>锡林郭勒</w:t>
      </w:r>
      <w:r>
        <w:rPr>
          <w:rFonts w:hint="eastAsia" w:ascii="仿宋" w:hAnsi="仿宋" w:eastAsia="仿宋" w:cs="仿宋"/>
          <w:color w:val="000000" w:themeColor="text1"/>
          <w:sz w:val="32"/>
          <w:szCs w:val="32"/>
        </w:rPr>
        <w:t>”行动，通过培训指导、贴息贷款、减免税费等方式，鼓励和支持农牧民工自主创业和返乡创业。规范招工用工制度，健全农牧民工劳动权益保护机制。落实农牧民工在户籍地、常住地、就业地、参保地办理失业登记，大力推进农牧业产业化，努力增加就业岗位和创业机会。提高新生代农牧民工职业技能培训的针对性，健全农牧民工输出输入地劳务对接机制。“十四五”期间，农村牧区劳动力年均转移就业人数达到7万人次以上。</w:t>
      </w:r>
    </w:p>
    <w:bookmarkEnd w:id="473"/>
    <w:bookmarkEnd w:id="474"/>
    <w:bookmarkEnd w:id="475"/>
    <w:p>
      <w:pPr>
        <w:pageBreakBefore w:val="0"/>
        <w:widowControl w:val="0"/>
        <w:kinsoku/>
        <w:wordWrap/>
        <w:overflowPunct/>
        <w:topLinePunct w:val="0"/>
        <w:autoSpaceDE/>
        <w:autoSpaceDN/>
        <w:bidi w:val="0"/>
        <w:adjustRightInd/>
        <w:snapToGrid/>
        <w:spacing w:line="600" w:lineRule="exact"/>
        <w:ind w:firstLine="643" w:firstLineChars="200"/>
        <w:textAlignment w:val="auto"/>
        <w:rPr>
          <w:rFonts w:ascii="仿宋" w:hAnsi="仿宋" w:eastAsia="仿宋" w:cstheme="minorBidi"/>
          <w:sz w:val="32"/>
          <w:szCs w:val="32"/>
        </w:rPr>
      </w:pPr>
      <w:bookmarkStart w:id="476" w:name="_Toc59000531"/>
      <w:bookmarkStart w:id="477" w:name="_Toc58870123"/>
      <w:bookmarkStart w:id="478" w:name="_Toc57041432"/>
      <w:r>
        <w:rPr>
          <w:rFonts w:hint="eastAsia" w:ascii="仿宋" w:hAnsi="仿宋" w:eastAsia="仿宋" w:cs="仿宋"/>
          <w:b/>
          <w:bCs/>
          <w:sz w:val="32"/>
          <w:szCs w:val="32"/>
        </w:rPr>
        <w:t>促进农牧民政策性和转移性增收。</w:t>
      </w:r>
      <w:r>
        <w:rPr>
          <w:rFonts w:hint="eastAsia" w:ascii="仿宋" w:hAnsi="仿宋" w:eastAsia="仿宋" w:cstheme="minorBidi"/>
          <w:sz w:val="32"/>
          <w:szCs w:val="32"/>
        </w:rPr>
        <w:t>不折不扣贯彻</w:t>
      </w:r>
      <w:r>
        <w:rPr>
          <w:rFonts w:hint="eastAsia" w:ascii="仿宋" w:hAnsi="仿宋" w:eastAsia="仿宋" w:cstheme="minorBidi"/>
          <w:sz w:val="32"/>
          <w:szCs w:val="32"/>
          <w:lang w:eastAsia="zh-CN"/>
        </w:rPr>
        <w:t>各级</w:t>
      </w:r>
      <w:r>
        <w:rPr>
          <w:rFonts w:hint="eastAsia" w:ascii="仿宋" w:hAnsi="仿宋" w:eastAsia="仿宋" w:cstheme="minorBidi"/>
          <w:sz w:val="32"/>
          <w:szCs w:val="32"/>
        </w:rPr>
        <w:t>惠农惠牧、强农强牧等农牧业补贴政策，认真落实兑现草原生态保护补助奖励、农机具购置补贴、农业支持保护补贴、公益林补贴等普惠</w:t>
      </w:r>
      <w:r>
        <w:rPr>
          <w:rFonts w:hint="eastAsia" w:ascii="仿宋" w:hAnsi="仿宋" w:eastAsia="仿宋" w:cstheme="minorBidi"/>
          <w:sz w:val="32"/>
          <w:szCs w:val="32"/>
          <w:lang w:eastAsia="zh-CN"/>
        </w:rPr>
        <w:t>措施</w:t>
      </w:r>
      <w:r>
        <w:rPr>
          <w:rFonts w:hint="eastAsia" w:ascii="仿宋" w:hAnsi="仿宋" w:eastAsia="仿宋" w:cstheme="minorBidi"/>
          <w:sz w:val="32"/>
          <w:szCs w:val="32"/>
        </w:rPr>
        <w:t>。完善农村牧区社会保障制度，提高农牧民医疗报销比例。深化农村牧区改革和制度创新，规范</w:t>
      </w:r>
      <w:r>
        <w:rPr>
          <w:rFonts w:hint="eastAsia" w:ascii="仿宋" w:hAnsi="仿宋" w:eastAsia="仿宋" w:cstheme="minorBidi"/>
          <w:sz w:val="32"/>
          <w:szCs w:val="32"/>
          <w:lang w:eastAsia="zh-CN"/>
        </w:rPr>
        <w:t>土地、</w:t>
      </w:r>
      <w:r>
        <w:rPr>
          <w:rFonts w:hint="eastAsia" w:ascii="仿宋" w:hAnsi="仿宋" w:eastAsia="仿宋" w:cstheme="minorBidi"/>
          <w:sz w:val="32"/>
          <w:szCs w:val="32"/>
        </w:rPr>
        <w:t>草场流转，鼓励、支持</w:t>
      </w:r>
      <w:r>
        <w:rPr>
          <w:rFonts w:hint="eastAsia" w:ascii="仿宋" w:hAnsi="仿宋" w:eastAsia="仿宋" w:cstheme="minorBidi"/>
          <w:sz w:val="32"/>
          <w:szCs w:val="32"/>
          <w:lang w:eastAsia="zh-CN"/>
        </w:rPr>
        <w:t>土地、草场资源</w:t>
      </w:r>
      <w:r>
        <w:rPr>
          <w:rFonts w:hint="eastAsia" w:ascii="仿宋" w:hAnsi="仿宋" w:eastAsia="仿宋" w:cstheme="minorBidi"/>
          <w:sz w:val="32"/>
          <w:szCs w:val="32"/>
        </w:rPr>
        <w:t>向新型规模经营主体相对集中，增加承包户转让经营权租金收入，落实农牧民对集体资产股份占有、收益、有偿退出及抵押、担保、继承六项权能。健全资源开发、征地拆迁补偿机制，</w:t>
      </w:r>
      <w:r>
        <w:rPr>
          <w:rFonts w:hint="eastAsia" w:ascii="仿宋" w:hAnsi="仿宋" w:eastAsia="仿宋" w:cstheme="minorBidi"/>
          <w:sz w:val="32"/>
          <w:szCs w:val="32"/>
          <w:lang w:eastAsia="zh-CN"/>
        </w:rPr>
        <w:t>广泛拓展</w:t>
      </w:r>
      <w:r>
        <w:rPr>
          <w:rFonts w:hint="eastAsia" w:ascii="仿宋" w:hAnsi="仿宋" w:eastAsia="仿宋" w:cstheme="minorBidi"/>
          <w:sz w:val="32"/>
          <w:szCs w:val="32"/>
        </w:rPr>
        <w:t>农牧民增收致富门路。拓宽农牧民投资渠道，增强农牧民投资意识，鼓励农牧民利用富余资金、实物资产、经营权等参股公司企业、农牧民合作社、家庭农</w:t>
      </w:r>
      <w:r>
        <w:rPr>
          <w:rFonts w:hint="eastAsia" w:ascii="仿宋" w:hAnsi="仿宋" w:eastAsia="仿宋" w:cstheme="minorBidi"/>
          <w:sz w:val="32"/>
          <w:szCs w:val="32"/>
          <w:lang w:eastAsia="zh-CN"/>
        </w:rPr>
        <w:t>牧</w:t>
      </w:r>
      <w:r>
        <w:rPr>
          <w:rFonts w:hint="eastAsia" w:ascii="仿宋" w:hAnsi="仿宋" w:eastAsia="仿宋" w:cstheme="minorBidi"/>
          <w:sz w:val="32"/>
          <w:szCs w:val="32"/>
        </w:rPr>
        <w:t>场和农牧业社会化服务组织等获得股权收入。</w:t>
      </w:r>
      <w:bookmarkEnd w:id="476"/>
      <w:bookmarkEnd w:id="477"/>
      <w:bookmarkEnd w:id="478"/>
    </w:p>
    <w:p>
      <w:pPr>
        <w:pStyle w:val="4"/>
        <w:pageBreakBefore w:val="0"/>
        <w:widowControl w:val="0"/>
        <w:kinsoku/>
        <w:wordWrap/>
        <w:overflowPunct/>
        <w:topLinePunct w:val="0"/>
        <w:autoSpaceDE/>
        <w:autoSpaceDN/>
        <w:bidi w:val="0"/>
        <w:adjustRightInd/>
        <w:snapToGrid/>
        <w:spacing w:before="156" w:beforeLines="50" w:after="156" w:afterLines="50" w:line="600" w:lineRule="exact"/>
        <w:textAlignment w:val="auto"/>
        <w:rPr>
          <w:rFonts w:ascii="Calibri Light" w:hAnsi="Calibri Light" w:cs="Times New Roman"/>
          <w:b w:val="0"/>
          <w:bCs w:val="0"/>
          <w:sz w:val="32"/>
          <w:szCs w:val="32"/>
        </w:rPr>
      </w:pPr>
      <w:bookmarkStart w:id="479" w:name="_Toc5162"/>
      <w:bookmarkStart w:id="480" w:name="_Toc1580133582_WPSOffice_Level2"/>
      <w:bookmarkStart w:id="481" w:name="_Toc30677"/>
      <w:bookmarkStart w:id="482" w:name="_Toc15021"/>
      <w:bookmarkStart w:id="483" w:name="_Toc23441"/>
      <w:r>
        <w:rPr>
          <w:rFonts w:hint="eastAsia" w:ascii="Calibri Light" w:hAnsi="Calibri Light" w:cs="Times New Roman"/>
          <w:b w:val="0"/>
          <w:bCs w:val="0"/>
          <w:sz w:val="32"/>
          <w:szCs w:val="32"/>
        </w:rPr>
        <w:t xml:space="preserve">第三节 </w:t>
      </w:r>
      <w:r>
        <w:rPr>
          <w:rFonts w:hint="eastAsia" w:ascii="Calibri Light" w:hAnsi="Calibri Light" w:cs="Times New Roman"/>
          <w:b w:val="0"/>
          <w:bCs w:val="0"/>
          <w:sz w:val="32"/>
          <w:szCs w:val="32"/>
          <w:lang w:eastAsia="zh-CN"/>
        </w:rPr>
        <w:t>加强</w:t>
      </w:r>
      <w:r>
        <w:rPr>
          <w:rFonts w:hint="eastAsia" w:ascii="Calibri Light" w:hAnsi="Calibri Light" w:cs="Times New Roman"/>
          <w:b w:val="0"/>
          <w:bCs w:val="0"/>
          <w:sz w:val="32"/>
          <w:szCs w:val="32"/>
        </w:rPr>
        <w:t>农村牧区文化建设</w:t>
      </w:r>
      <w:bookmarkEnd w:id="445"/>
      <w:bookmarkEnd w:id="446"/>
      <w:bookmarkEnd w:id="479"/>
      <w:bookmarkEnd w:id="480"/>
      <w:bookmarkEnd w:id="481"/>
      <w:bookmarkEnd w:id="482"/>
      <w:bookmarkEnd w:id="483"/>
    </w:p>
    <w:p>
      <w:pPr>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sz w:val="32"/>
          <w:szCs w:val="32"/>
        </w:rPr>
      </w:pPr>
      <w:bookmarkStart w:id="484" w:name="_Toc58870141"/>
      <w:r>
        <w:rPr>
          <w:rFonts w:hint="eastAsia" w:ascii="仿宋" w:hAnsi="仿宋" w:eastAsia="仿宋" w:cs="仿宋"/>
          <w:b/>
          <w:bCs/>
          <w:sz w:val="32"/>
          <w:szCs w:val="32"/>
        </w:rPr>
        <w:t>铸牢中华民族共同体意识。</w:t>
      </w:r>
      <w:r>
        <w:rPr>
          <w:rFonts w:hint="eastAsia" w:ascii="仿宋" w:hAnsi="仿宋" w:eastAsia="仿宋" w:cs="仿宋"/>
          <w:color w:val="000000" w:themeColor="text1"/>
          <w:sz w:val="32"/>
          <w:szCs w:val="32"/>
        </w:rPr>
        <w:t>深入学习贯彻习近平总书记关于加强和改进民族工作的重要思想，扎实</w:t>
      </w:r>
      <w:r>
        <w:rPr>
          <w:rFonts w:hint="eastAsia" w:ascii="仿宋" w:hAnsi="仿宋" w:eastAsia="仿宋" w:cs="仿宋"/>
          <w:sz w:val="32"/>
          <w:szCs w:val="32"/>
        </w:rPr>
        <w:t>开展农村牧区民族团结进步教育创建活动，践行守望相助理念，强化国家意识、公民意识和法治意识。严格落实</w:t>
      </w:r>
      <w:r>
        <w:rPr>
          <w:rFonts w:hint="eastAsia" w:ascii="仿宋" w:hAnsi="仿宋" w:eastAsia="仿宋" w:cs="仿宋"/>
          <w:sz w:val="32"/>
          <w:szCs w:val="32"/>
          <w:lang w:eastAsia="zh-CN"/>
        </w:rPr>
        <w:t>基层党组织</w:t>
      </w:r>
      <w:r>
        <w:rPr>
          <w:rFonts w:hint="eastAsia" w:ascii="仿宋" w:hAnsi="仿宋" w:eastAsia="仿宋" w:cs="仿宋"/>
          <w:sz w:val="32"/>
          <w:szCs w:val="32"/>
        </w:rPr>
        <w:t>意识形态工作责任制，加强正面舆论引导，深化</w:t>
      </w:r>
      <w:r>
        <w:rPr>
          <w:rFonts w:hint="eastAsia" w:ascii="仿宋" w:hAnsi="仿宋" w:eastAsia="仿宋" w:cs="仿宋"/>
          <w:sz w:val="32"/>
          <w:szCs w:val="32"/>
          <w:lang w:eastAsia="zh-CN"/>
        </w:rPr>
        <w:t>铸牢</w:t>
      </w:r>
      <w:r>
        <w:rPr>
          <w:rFonts w:hint="eastAsia" w:ascii="仿宋" w:hAnsi="仿宋" w:eastAsia="仿宋" w:cs="仿宋"/>
          <w:sz w:val="32"/>
          <w:szCs w:val="32"/>
        </w:rPr>
        <w:t>中华民族共同体意识教育。加强农村牧区各类学校思想政治教育，坚决落实统编教材使用和国家通用语言文字教育教学。积极创建全国民族团结进步示范盟，着力构建“点线面”相结合的民族团结进步创建格局。依法治理民族事务，确保民族事务治理在法治轨道上运行。引导农牧民牢固树立公民意识，让各族人民不仅要意识到自己的民族身份、地域身份、群体身份，更要树立自己的中华民族成员身份、公民身份，把“三个离不开思想”、“五个认同”作为每个公民的第一位意识，</w:t>
      </w:r>
      <w:r>
        <w:rPr>
          <w:rFonts w:hint="eastAsia" w:ascii="仿宋" w:hAnsi="仿宋" w:eastAsia="仿宋" w:cs="仿宋"/>
          <w:color w:val="000000" w:themeColor="text1"/>
          <w:sz w:val="32"/>
          <w:szCs w:val="32"/>
        </w:rPr>
        <w:t>牢固树立休戚与共、荣辱与共、生死与共、命运与共的共同体理念。深入践行社会主义核心价值观，通过公益广告牌、宣传栏、文化</w:t>
      </w:r>
      <w:r>
        <w:rPr>
          <w:rFonts w:hint="eastAsia" w:ascii="仿宋" w:hAnsi="仿宋" w:eastAsia="仿宋" w:cs="仿宋"/>
          <w:sz w:val="32"/>
          <w:szCs w:val="32"/>
        </w:rPr>
        <w:t>墙等各类载体和文化阵地，营造良好社会氛围。</w:t>
      </w:r>
    </w:p>
    <w:bookmarkEnd w:id="484"/>
    <w:p>
      <w:pPr>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color w:val="000000" w:themeColor="text1"/>
          <w:sz w:val="32"/>
          <w:szCs w:val="32"/>
        </w:rPr>
      </w:pPr>
      <w:r>
        <w:rPr>
          <w:rFonts w:hint="eastAsia" w:ascii="仿宋" w:hAnsi="仿宋" w:eastAsia="仿宋" w:cs="仿宋"/>
          <w:b/>
          <w:bCs/>
          <w:sz w:val="32"/>
          <w:szCs w:val="32"/>
        </w:rPr>
        <w:t>深化农村牧区精神文明建设。</w:t>
      </w:r>
      <w:r>
        <w:rPr>
          <w:rFonts w:hint="eastAsia" w:ascii="仿宋" w:hAnsi="仿宋" w:eastAsia="仿宋" w:cs="仿宋"/>
          <w:b w:val="0"/>
          <w:bCs w:val="0"/>
          <w:sz w:val="32"/>
          <w:szCs w:val="32"/>
          <w:lang w:eastAsia="zh-CN"/>
        </w:rPr>
        <w:t>加强新时代文明实践中心（所、站）建设，</w:t>
      </w:r>
      <w:r>
        <w:rPr>
          <w:rFonts w:hint="eastAsia" w:ascii="仿宋" w:hAnsi="仿宋" w:eastAsia="仿宋" w:cs="仿宋"/>
          <w:sz w:val="32"/>
          <w:szCs w:val="32"/>
        </w:rPr>
        <w:t>深入实施</w:t>
      </w:r>
      <w:r>
        <w:rPr>
          <w:rFonts w:hint="eastAsia" w:ascii="仿宋" w:hAnsi="仿宋" w:eastAsia="仿宋" w:cs="仿宋"/>
          <w:sz w:val="32"/>
          <w:szCs w:val="32"/>
          <w:lang w:eastAsia="zh-CN"/>
        </w:rPr>
        <w:t>乡村文明</w:t>
      </w:r>
      <w:r>
        <w:rPr>
          <w:rFonts w:hint="eastAsia" w:ascii="仿宋" w:hAnsi="仿宋" w:eastAsia="仿宋" w:cs="仿宋"/>
          <w:sz w:val="32"/>
          <w:szCs w:val="32"/>
        </w:rPr>
        <w:t>提升行动。加大文明村镇创建力度，推动各级细化完善创建计划，充分发挥各级文明成员单位和文明单位帮扶作用，结对共建文明嘎查村。提升文明家庭创建水平，大力开展“诚信村”</w:t>
      </w:r>
      <w:r>
        <w:rPr>
          <w:rFonts w:hint="eastAsia" w:ascii="仿宋" w:hAnsi="仿宋" w:eastAsia="仿宋" w:cs="仿宋"/>
          <w:sz w:val="32"/>
          <w:szCs w:val="32"/>
          <w:lang w:eastAsia="zh-CN"/>
        </w:rPr>
        <w:t>、</w:t>
      </w:r>
      <w:r>
        <w:rPr>
          <w:rFonts w:hint="eastAsia" w:ascii="仿宋" w:hAnsi="仿宋" w:eastAsia="仿宋" w:cs="仿宋"/>
          <w:sz w:val="32"/>
          <w:szCs w:val="32"/>
        </w:rPr>
        <w:t>“诚信户”</w:t>
      </w:r>
      <w:r>
        <w:rPr>
          <w:rFonts w:hint="eastAsia" w:ascii="仿宋" w:hAnsi="仿宋" w:eastAsia="仿宋" w:cs="仿宋"/>
          <w:sz w:val="32"/>
          <w:szCs w:val="32"/>
          <w:lang w:eastAsia="zh-CN"/>
        </w:rPr>
        <w:t>、</w:t>
      </w:r>
      <w:r>
        <w:rPr>
          <w:rFonts w:hint="eastAsia" w:ascii="仿宋" w:hAnsi="仿宋" w:eastAsia="仿宋" w:cs="仿宋"/>
          <w:sz w:val="32"/>
          <w:szCs w:val="32"/>
        </w:rPr>
        <w:t>“十星家庭”</w:t>
      </w:r>
      <w:r>
        <w:rPr>
          <w:rFonts w:hint="eastAsia" w:ascii="仿宋" w:hAnsi="仿宋" w:eastAsia="仿宋" w:cs="仿宋"/>
          <w:sz w:val="32"/>
          <w:szCs w:val="32"/>
          <w:lang w:eastAsia="zh-CN"/>
        </w:rPr>
        <w:t>等</w:t>
      </w:r>
      <w:r>
        <w:rPr>
          <w:rFonts w:hint="eastAsia" w:ascii="仿宋" w:hAnsi="仿宋" w:eastAsia="仿宋" w:cs="仿宋"/>
          <w:sz w:val="32"/>
          <w:szCs w:val="32"/>
        </w:rPr>
        <w:t>评选表彰活动。推动旗县级公共图书馆、文化馆提档升级，重点加强</w:t>
      </w:r>
      <w:r>
        <w:rPr>
          <w:rFonts w:hint="eastAsia" w:ascii="仿宋" w:hAnsi="仿宋" w:eastAsia="仿宋" w:cs="仿宋"/>
          <w:sz w:val="32"/>
          <w:szCs w:val="32"/>
          <w:lang w:eastAsia="zh-CN"/>
        </w:rPr>
        <w:t>脱贫</w:t>
      </w:r>
      <w:r>
        <w:rPr>
          <w:rFonts w:hint="eastAsia" w:ascii="仿宋" w:hAnsi="仿宋" w:eastAsia="仿宋" w:cs="仿宋"/>
          <w:sz w:val="32"/>
          <w:szCs w:val="32"/>
        </w:rPr>
        <w:t>旗县嘎查村综合文化服务中心建设，抓好“农（牧）民书屋”建设。推进广电网络基本公共服务入户工程、“鸿雁</w:t>
      </w:r>
      <w:r>
        <w:rPr>
          <w:rFonts w:hint="eastAsia" w:ascii="仿宋" w:hAnsi="仿宋" w:eastAsia="仿宋" w:cs="仿宋"/>
          <w:sz w:val="32"/>
          <w:szCs w:val="32"/>
          <w:lang w:eastAsia="zh-CN"/>
        </w:rPr>
        <w:t>图书</w:t>
      </w:r>
      <w:r>
        <w:rPr>
          <w:rFonts w:hint="eastAsia" w:ascii="仿宋" w:hAnsi="仿宋" w:eastAsia="仿宋" w:cs="仿宋"/>
          <w:sz w:val="32"/>
          <w:szCs w:val="32"/>
        </w:rPr>
        <w:t>悦读”计划、广播影视固边工程、“数字文化走进蒙古包”工程建设。支持“三农三牧”题材文艺创作，鼓励文艺工作者深入农村牧区、贴近农牧民，推出具有农村牧区特色、深受农牧民欢迎的优秀文化作品和文化产品。</w:t>
      </w:r>
      <w:r>
        <w:rPr>
          <w:rFonts w:hint="eastAsia" w:ascii="仿宋" w:hAnsi="仿宋" w:eastAsia="仿宋" w:cs="仿宋"/>
          <w:color w:val="000000" w:themeColor="text1"/>
          <w:sz w:val="32"/>
          <w:szCs w:val="32"/>
        </w:rPr>
        <w:t>鼓励有条件的嘎查村建立文化活动队伍，开展群众性文艺活动。</w:t>
      </w:r>
      <w:r>
        <w:rPr>
          <w:rFonts w:hint="eastAsia" w:ascii="仿宋" w:hAnsi="仿宋" w:eastAsia="仿宋" w:cs="仿宋"/>
          <w:color w:val="000000" w:themeColor="text1"/>
          <w:sz w:val="32"/>
          <w:szCs w:val="32"/>
          <w:lang w:eastAsia="zh-CN"/>
        </w:rPr>
        <w:t>支持</w:t>
      </w:r>
      <w:r>
        <w:rPr>
          <w:rFonts w:hint="eastAsia" w:ascii="仿宋" w:hAnsi="仿宋" w:eastAsia="仿宋" w:cs="仿宋"/>
          <w:color w:val="000000" w:themeColor="text1"/>
          <w:sz w:val="32"/>
          <w:szCs w:val="32"/>
        </w:rPr>
        <w:t>建立文化大院、文化户及各类文化协会，加强业余文艺创作，扩大农牧民文化活动参与面。</w:t>
      </w:r>
    </w:p>
    <w:p>
      <w:pPr>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sz w:val="32"/>
          <w:szCs w:val="32"/>
        </w:rPr>
      </w:pPr>
      <w:r>
        <w:rPr>
          <w:rFonts w:hint="eastAsia" w:ascii="仿宋" w:hAnsi="仿宋" w:eastAsia="仿宋" w:cs="仿宋"/>
          <w:b/>
          <w:bCs/>
          <w:sz w:val="32"/>
          <w:szCs w:val="32"/>
        </w:rPr>
        <w:t>传承农村牧区优秀传统文化。</w:t>
      </w:r>
      <w:r>
        <w:rPr>
          <w:rFonts w:hint="eastAsia" w:ascii="仿宋" w:hAnsi="仿宋" w:eastAsia="仿宋" w:cs="仿宋"/>
          <w:color w:val="000000" w:themeColor="text1"/>
          <w:sz w:val="32"/>
          <w:szCs w:val="32"/>
        </w:rPr>
        <w:t>大力开展农牧业文化遗产展览展示，加大农牧业文化遗产宣传推介力度。</w:t>
      </w:r>
      <w:r>
        <w:rPr>
          <w:rFonts w:hint="eastAsia" w:ascii="仿宋" w:hAnsi="仿宋" w:eastAsia="仿宋" w:cs="仿宋"/>
          <w:sz w:val="32"/>
          <w:szCs w:val="32"/>
        </w:rPr>
        <w:t>健全</w:t>
      </w:r>
      <w:r>
        <w:rPr>
          <w:rFonts w:hint="eastAsia" w:ascii="仿宋" w:hAnsi="仿宋" w:eastAsia="仿宋" w:cs="仿宋"/>
          <w:sz w:val="32"/>
          <w:szCs w:val="32"/>
          <w:lang w:eastAsia="zh-CN"/>
        </w:rPr>
        <w:t>中华</w:t>
      </w:r>
      <w:r>
        <w:rPr>
          <w:rFonts w:hint="eastAsia" w:ascii="仿宋" w:hAnsi="仿宋" w:eastAsia="仿宋" w:cs="仿宋"/>
          <w:sz w:val="32"/>
          <w:szCs w:val="32"/>
        </w:rPr>
        <w:t>优秀传统文化传承体系，</w:t>
      </w:r>
      <w:r>
        <w:rPr>
          <w:rFonts w:hint="eastAsia" w:ascii="仿宋" w:hAnsi="仿宋" w:eastAsia="仿宋" w:cs="仿宋"/>
          <w:sz w:val="32"/>
          <w:szCs w:val="32"/>
          <w:lang w:eastAsia="zh-CN"/>
        </w:rPr>
        <w:t>加强</w:t>
      </w:r>
      <w:r>
        <w:rPr>
          <w:rFonts w:hint="eastAsia" w:ascii="仿宋" w:hAnsi="仿宋" w:eastAsia="仿宋" w:cs="仿宋"/>
          <w:sz w:val="32"/>
          <w:szCs w:val="32"/>
        </w:rPr>
        <w:t>长调、呼麦、潮尔道、蒙古剧等民族优秀文化的研究、保护、传承、创作工作，抓好民族手工艺、民族服饰、民俗活动等非物质文化遗产的抢救、保护、传承，建立健全非遗传承人保护和管理机制。</w:t>
      </w:r>
      <w:r>
        <w:rPr>
          <w:rFonts w:hint="eastAsia" w:ascii="仿宋" w:hAnsi="仿宋" w:eastAsia="仿宋" w:cs="仿宋"/>
          <w:color w:val="000000" w:themeColor="text1"/>
          <w:sz w:val="32"/>
          <w:szCs w:val="32"/>
        </w:rPr>
        <w:t>集成弘扬革命红色文化，加强爱国主义教育示范基地建设、管理、使用工作，加大红色文化遗址、遗迹、重点文物保护单位修缮保护力度。繁荣发展乡村文化产业，实施“民间文化艺术之乡”建设工程。积极实施传统工艺振兴计划，着力培育优秀传统工艺品牌。加强非物质文化遗产传承保护，做好“文化和自然遗产日”组织宣传。</w:t>
      </w:r>
      <w:r>
        <w:rPr>
          <w:rFonts w:hint="eastAsia" w:ascii="仿宋" w:hAnsi="仿宋" w:eastAsia="仿宋" w:cs="仿宋"/>
          <w:sz w:val="32"/>
          <w:szCs w:val="32"/>
        </w:rPr>
        <w:t>培养乡土文化名人、民族民间文化传承人。</w:t>
      </w:r>
    </w:p>
    <w:p>
      <w:pPr>
        <w:pageBreakBefore w:val="0"/>
        <w:widowControl w:val="0"/>
        <w:kinsoku/>
        <w:wordWrap/>
        <w:overflowPunct/>
        <w:topLinePunct w:val="0"/>
        <w:autoSpaceDE/>
        <w:autoSpaceDN/>
        <w:bidi w:val="0"/>
        <w:adjustRightInd/>
        <w:snapToGrid/>
        <w:spacing w:line="600" w:lineRule="exact"/>
        <w:ind w:firstLine="643" w:firstLineChars="200"/>
        <w:textAlignment w:val="auto"/>
        <w:rPr>
          <w:rFonts w:ascii="仿宋" w:hAnsi="仿宋" w:eastAsia="仿宋" w:cstheme="minorBidi"/>
          <w:sz w:val="32"/>
          <w:szCs w:val="32"/>
        </w:rPr>
      </w:pPr>
      <w:r>
        <w:rPr>
          <w:rFonts w:hint="eastAsia" w:ascii="仿宋" w:hAnsi="仿宋" w:eastAsia="仿宋" w:cs="仿宋"/>
          <w:b/>
          <w:bCs/>
          <w:sz w:val="32"/>
          <w:szCs w:val="32"/>
        </w:rPr>
        <w:t>弘扬乌兰牧骑精神。</w:t>
      </w:r>
      <w:r>
        <w:rPr>
          <w:rFonts w:hint="eastAsia" w:ascii="仿宋" w:hAnsi="仿宋" w:eastAsia="仿宋" w:cs="仿宋"/>
          <w:sz w:val="32"/>
          <w:szCs w:val="32"/>
        </w:rPr>
        <w:t>提高乌兰</w:t>
      </w:r>
      <w:r>
        <w:rPr>
          <w:rFonts w:hint="eastAsia" w:ascii="仿宋" w:hAnsi="仿宋" w:eastAsia="仿宋" w:cstheme="minorBidi"/>
          <w:sz w:val="32"/>
          <w:szCs w:val="32"/>
        </w:rPr>
        <w:t>牧骑创作水平，推出具有鲜明时代特征、易于传播、短小灵活、适合基层演出的优秀文艺剧（节）目。突出乌兰牧骑自身创作，鼓励乌兰牧骑出精品、出人才、推出自编自导的原创作品。探索乌兰牧骑精神传播新途径，健全线上乌兰牧骑平台建设，将网络乌兰牧骑纳入“锡林郭勒盟大数据文化资源库”建设，打造数字化的“红色文艺轻骑兵”。扎实开展乌兰牧骑惠民演出活动，创新宣传党的路线方针政策和国家法律法规，创作接地气、反映百姓身边人和事的“微作品”，开展多种形式文艺宣传。辅导群众业余文艺演出和创作活动，以“乌兰牧骑+”的方式带动全盟基层综合志愿服务工作。</w:t>
      </w:r>
      <w:bookmarkStart w:id="485" w:name="_Toc57041416"/>
      <w:bookmarkStart w:id="486" w:name="_Toc15847"/>
      <w:bookmarkStart w:id="487" w:name="_Toc28481"/>
      <w:bookmarkStart w:id="488" w:name="_Toc59000539"/>
      <w:bookmarkStart w:id="489" w:name="_Toc840741532_WPSOffice_Level2"/>
      <w:bookmarkStart w:id="490" w:name="_Toc16845"/>
      <w:bookmarkStart w:id="491" w:name="_Toc19017"/>
      <w:bookmarkStart w:id="492" w:name="_Toc58870147"/>
      <w:bookmarkStart w:id="493" w:name="_Toc12973"/>
      <w:bookmarkStart w:id="494" w:name="_Toc24190"/>
    </w:p>
    <w:p>
      <w:pPr>
        <w:pStyle w:val="4"/>
        <w:pageBreakBefore w:val="0"/>
        <w:widowControl w:val="0"/>
        <w:kinsoku/>
        <w:wordWrap/>
        <w:overflowPunct/>
        <w:topLinePunct w:val="0"/>
        <w:autoSpaceDE/>
        <w:autoSpaceDN/>
        <w:bidi w:val="0"/>
        <w:adjustRightInd/>
        <w:snapToGrid/>
        <w:spacing w:before="156" w:beforeLines="50" w:after="156" w:afterLines="50" w:line="600" w:lineRule="exact"/>
        <w:textAlignment w:val="auto"/>
        <w:rPr>
          <w:rFonts w:hint="eastAsia" w:ascii="黑体" w:hAnsi="黑体" w:eastAsia="黑体" w:cs="黑体"/>
          <w:b w:val="0"/>
          <w:bCs w:val="0"/>
          <w:sz w:val="32"/>
          <w:szCs w:val="32"/>
        </w:rPr>
      </w:pPr>
      <w:r>
        <w:rPr>
          <w:rFonts w:hint="eastAsia" w:ascii="黑体" w:hAnsi="黑体" w:eastAsia="黑体" w:cs="黑体"/>
          <w:b w:val="0"/>
          <w:bCs w:val="0"/>
          <w:sz w:val="32"/>
          <w:szCs w:val="32"/>
        </w:rPr>
        <w:t>第四节 完善农村牧区治理体系</w:t>
      </w:r>
    </w:p>
    <w:bookmarkEnd w:id="485"/>
    <w:bookmarkEnd w:id="486"/>
    <w:bookmarkEnd w:id="487"/>
    <w:bookmarkEnd w:id="488"/>
    <w:bookmarkEnd w:id="489"/>
    <w:bookmarkEnd w:id="490"/>
    <w:bookmarkEnd w:id="491"/>
    <w:bookmarkEnd w:id="492"/>
    <w:bookmarkEnd w:id="493"/>
    <w:bookmarkEnd w:id="494"/>
    <w:p>
      <w:pPr>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sz w:val="32"/>
          <w:szCs w:val="32"/>
        </w:rPr>
      </w:pPr>
      <w:r>
        <w:rPr>
          <w:rFonts w:hint="eastAsia" w:ascii="仿宋" w:hAnsi="仿宋" w:eastAsia="仿宋" w:cs="仿宋"/>
          <w:b/>
          <w:bCs/>
          <w:sz w:val="32"/>
          <w:szCs w:val="32"/>
        </w:rPr>
        <w:t>加强基层党组织建设。</w:t>
      </w:r>
      <w:r>
        <w:rPr>
          <w:rFonts w:hint="eastAsia" w:ascii="仿宋" w:hAnsi="仿宋" w:eastAsia="仿宋" w:cs="仿宋"/>
          <w:sz w:val="32"/>
          <w:szCs w:val="32"/>
        </w:rPr>
        <w:t>健全以党组织为核心的组织体系</w:t>
      </w:r>
      <w:r>
        <w:rPr>
          <w:rFonts w:hint="eastAsia" w:ascii="仿宋" w:hAnsi="仿宋" w:eastAsia="仿宋" w:cs="仿宋"/>
          <w:color w:val="000000" w:themeColor="text1"/>
          <w:sz w:val="32"/>
          <w:szCs w:val="32"/>
          <w:lang w:eastAsia="zh-CN"/>
        </w:rPr>
        <w:t>，</w:t>
      </w:r>
      <w:r>
        <w:rPr>
          <w:rFonts w:hint="eastAsia" w:ascii="仿宋" w:hAnsi="仿宋" w:eastAsia="仿宋" w:cs="仿宋"/>
          <w:color w:val="000000" w:themeColor="text1"/>
          <w:sz w:val="32"/>
          <w:szCs w:val="32"/>
        </w:rPr>
        <w:t>深入实施“北疆先锋”工程，选优配强带头人</w:t>
      </w:r>
      <w:r>
        <w:rPr>
          <w:rFonts w:hint="eastAsia" w:ascii="仿宋" w:hAnsi="仿宋" w:eastAsia="仿宋" w:cs="仿宋"/>
          <w:color w:val="000000" w:themeColor="text1"/>
          <w:sz w:val="32"/>
          <w:szCs w:val="32"/>
          <w:lang w:eastAsia="zh-CN"/>
        </w:rPr>
        <w:t>队伍</w:t>
      </w:r>
      <w:r>
        <w:rPr>
          <w:rFonts w:hint="eastAsia" w:ascii="仿宋" w:hAnsi="仿宋" w:eastAsia="仿宋" w:cs="仿宋"/>
          <w:color w:val="000000" w:themeColor="text1"/>
          <w:sz w:val="32"/>
          <w:szCs w:val="32"/>
        </w:rPr>
        <w:t>。深入实施“抓乡促村带户”整体提升工程，</w:t>
      </w:r>
      <w:r>
        <w:rPr>
          <w:rFonts w:hint="eastAsia" w:ascii="仿宋" w:hAnsi="仿宋" w:eastAsia="仿宋" w:cs="仿宋"/>
          <w:color w:val="000000" w:themeColor="text1"/>
          <w:sz w:val="32"/>
          <w:szCs w:val="32"/>
          <w:lang w:eastAsia="zh-CN"/>
        </w:rPr>
        <w:t>开展</w:t>
      </w:r>
      <w:r>
        <w:rPr>
          <w:rFonts w:hint="eastAsia" w:ascii="仿宋" w:hAnsi="仿宋" w:eastAsia="仿宋" w:cs="仿宋"/>
          <w:color w:val="000000" w:themeColor="text1"/>
          <w:sz w:val="32"/>
          <w:szCs w:val="32"/>
        </w:rPr>
        <w:t>嘎查村党组书记乡村振兴“擂台比武”活动，启动实施“千名干部下基层、助力乡村振兴”行动，</w:t>
      </w:r>
      <w:r>
        <w:rPr>
          <w:rFonts w:hint="eastAsia" w:ascii="仿宋" w:hAnsi="仿宋" w:eastAsia="仿宋" w:cs="仿宋"/>
          <w:color w:val="000000" w:themeColor="text1"/>
          <w:sz w:val="32"/>
          <w:szCs w:val="32"/>
          <w:lang w:eastAsia="zh-CN"/>
        </w:rPr>
        <w:t>为全面推动乡村振兴提供干部人才支持和保证</w:t>
      </w:r>
      <w:r>
        <w:rPr>
          <w:rFonts w:hint="eastAsia" w:ascii="仿宋" w:hAnsi="仿宋" w:eastAsia="仿宋" w:cs="仿宋"/>
          <w:color w:val="000000" w:themeColor="text1"/>
          <w:sz w:val="32"/>
          <w:szCs w:val="32"/>
        </w:rPr>
        <w:t>。推进嘎查村党组织书记通过法定程序兼任</w:t>
      </w:r>
      <w:r>
        <w:rPr>
          <w:rFonts w:hint="eastAsia" w:ascii="仿宋" w:hAnsi="仿宋" w:eastAsia="仿宋" w:cs="仿宋"/>
          <w:sz w:val="32"/>
          <w:szCs w:val="32"/>
        </w:rPr>
        <w:t>集体经济组织和农牧民合作社负责人</w:t>
      </w:r>
      <w:r>
        <w:rPr>
          <w:rFonts w:hint="eastAsia" w:ascii="仿宋" w:hAnsi="仿宋" w:eastAsia="仿宋" w:cs="仿宋"/>
          <w:sz w:val="32"/>
          <w:szCs w:val="32"/>
          <w:lang w:eastAsia="zh-CN"/>
        </w:rPr>
        <w:t>工作</w:t>
      </w:r>
      <w:r>
        <w:rPr>
          <w:rFonts w:hint="eastAsia" w:ascii="仿宋" w:hAnsi="仿宋" w:eastAsia="仿宋" w:cs="仿宋"/>
          <w:sz w:val="32"/>
          <w:szCs w:val="32"/>
        </w:rPr>
        <w:t>，推动嘎查村“两委”班子成员交叉任职。重视发现和树立优秀农村牧区基层干部典型，大力表彰和宣扬。优先在优秀青年农牧民中发展党员，加强农村牧区党员教育管理、监督，推进“两学一做”学习教育常态化制度化</w:t>
      </w:r>
      <w:bookmarkStart w:id="574" w:name="_GoBack"/>
      <w:bookmarkEnd w:id="574"/>
      <w:r>
        <w:rPr>
          <w:rFonts w:hint="eastAsia" w:ascii="仿宋" w:hAnsi="仿宋" w:eastAsia="仿宋" w:cs="仿宋"/>
          <w:sz w:val="32"/>
          <w:szCs w:val="32"/>
        </w:rPr>
        <w:t>，抓好党史学习教育。全面落实“三会一课”、谈心谈话、主题党日、民主评议党员、党员联系农牧户等制度。以推进北疆基层党建长廊建设为抓手，突出抓好边境</w:t>
      </w:r>
      <w:r>
        <w:rPr>
          <w:rFonts w:hint="eastAsia" w:ascii="仿宋" w:hAnsi="仿宋" w:eastAsia="仿宋" w:cs="仿宋"/>
          <w:sz w:val="32"/>
          <w:szCs w:val="32"/>
          <w:lang w:eastAsia="zh-CN"/>
        </w:rPr>
        <w:t>地区</w:t>
      </w:r>
      <w:r>
        <w:rPr>
          <w:rFonts w:hint="eastAsia" w:ascii="仿宋" w:hAnsi="仿宋" w:eastAsia="仿宋" w:cs="仿宋"/>
          <w:sz w:val="32"/>
          <w:szCs w:val="32"/>
        </w:rPr>
        <w:t>党建工作，打造一批维护民族团结、促进社会和谐稳定、推动经济发展的示范苏木镇、嘎查村。全面落实以财政投入为主的稳定的嘎查村级组织运转经费保障政策。</w:t>
      </w:r>
    </w:p>
    <w:p>
      <w:pPr>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sz w:val="32"/>
          <w:szCs w:val="32"/>
        </w:rPr>
      </w:pPr>
      <w:r>
        <w:rPr>
          <w:rFonts w:hint="eastAsia" w:ascii="仿宋" w:hAnsi="仿宋" w:eastAsia="仿宋" w:cs="仿宋"/>
          <w:b/>
          <w:bCs/>
          <w:sz w:val="32"/>
          <w:szCs w:val="32"/>
        </w:rPr>
        <w:t>深化嘎查村自治实践。</w:t>
      </w:r>
      <w:r>
        <w:rPr>
          <w:rFonts w:hint="eastAsia" w:ascii="仿宋" w:hAnsi="仿宋" w:eastAsia="仿宋" w:cs="仿宋"/>
          <w:sz w:val="32"/>
          <w:szCs w:val="32"/>
        </w:rPr>
        <w:t>健全党组织领导的嘎查村民自治机制，积极推广“四议两公开”“契约化管理”等措施，完善嘎查村重大问题民主决策、民主监督制度。严格管理</w:t>
      </w:r>
      <w:r>
        <w:rPr>
          <w:rFonts w:hint="eastAsia" w:ascii="仿宋" w:hAnsi="仿宋" w:eastAsia="仿宋" w:cs="仿宋"/>
          <w:sz w:val="32"/>
          <w:szCs w:val="32"/>
          <w:lang w:eastAsia="zh-CN"/>
        </w:rPr>
        <w:t>嘎查</w:t>
      </w:r>
      <w:r>
        <w:rPr>
          <w:rFonts w:hint="eastAsia" w:ascii="仿宋" w:hAnsi="仿宋" w:eastAsia="仿宋" w:cs="仿宋"/>
          <w:sz w:val="32"/>
          <w:szCs w:val="32"/>
        </w:rPr>
        <w:t>村级组织承担的工作任务，实行总量控制、目录清单、审核备案管理。健全嘎查村委员会和村民小组的民主议事协商制度，鼓励农村牧区开展村民说事、民情恳谈、协商对话等各类协商活动，及时反映和处置群众诉求、维护群众合法权益。完善党务、村务、财务“三公开”制度，接受群众监督。</w:t>
      </w:r>
    </w:p>
    <w:p>
      <w:pPr>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sz w:val="32"/>
          <w:szCs w:val="32"/>
        </w:rPr>
      </w:pPr>
      <w:r>
        <w:rPr>
          <w:rFonts w:hint="eastAsia" w:ascii="仿宋" w:hAnsi="仿宋" w:eastAsia="仿宋" w:cs="仿宋"/>
          <w:b/>
          <w:bCs/>
          <w:sz w:val="32"/>
          <w:szCs w:val="32"/>
        </w:rPr>
        <w:t>推进农村牧区法治建设。</w:t>
      </w:r>
      <w:r>
        <w:rPr>
          <w:rFonts w:hint="eastAsia" w:ascii="仿宋" w:hAnsi="仿宋" w:eastAsia="仿宋" w:cs="仿宋"/>
          <w:sz w:val="32"/>
          <w:szCs w:val="32"/>
        </w:rPr>
        <w:t>深入开展农村牧区法治宣传教育，组织实施“八五”普法规划，开展“法律进农村牧区”活动，深化“民主法治示范村”创建活动，建设法治宣传阵地，推进农村牧区综合行政执法改革。</w:t>
      </w:r>
      <w:r>
        <w:rPr>
          <w:rFonts w:hint="eastAsia" w:ascii="仿宋" w:hAnsi="仿宋" w:eastAsia="仿宋" w:cs="仿宋"/>
          <w:sz w:val="32"/>
          <w:szCs w:val="32"/>
          <w:lang w:eastAsia="zh-CN"/>
        </w:rPr>
        <w:t>统筹整合派出所、司法所、人民法庭等基层社会治理资源力量，发挥网格员、治安员、</w:t>
      </w:r>
      <w:r>
        <w:rPr>
          <w:rFonts w:hint="eastAsia" w:ascii="仿宋" w:hAnsi="仿宋" w:eastAsia="仿宋" w:cs="仿宋"/>
          <w:sz w:val="32"/>
          <w:szCs w:val="32"/>
        </w:rPr>
        <w:t>草原“110”</w:t>
      </w:r>
      <w:r>
        <w:rPr>
          <w:rFonts w:hint="eastAsia" w:ascii="仿宋" w:hAnsi="仿宋" w:eastAsia="仿宋" w:cs="仿宋"/>
          <w:sz w:val="32"/>
          <w:szCs w:val="32"/>
          <w:lang w:eastAsia="zh-CN"/>
        </w:rPr>
        <w:t>等</w:t>
      </w:r>
      <w:r>
        <w:rPr>
          <w:rFonts w:hint="eastAsia" w:ascii="仿宋" w:hAnsi="仿宋" w:eastAsia="仿宋" w:cs="仿宋"/>
          <w:sz w:val="32"/>
          <w:szCs w:val="32"/>
        </w:rPr>
        <w:t>群</w:t>
      </w:r>
      <w:r>
        <w:rPr>
          <w:rFonts w:hint="eastAsia" w:ascii="仿宋" w:hAnsi="仿宋" w:eastAsia="仿宋" w:cs="仿宋"/>
          <w:sz w:val="32"/>
          <w:szCs w:val="32"/>
          <w:lang w:eastAsia="zh-CN"/>
        </w:rPr>
        <w:t>防</w:t>
      </w:r>
      <w:r>
        <w:rPr>
          <w:rFonts w:hint="eastAsia" w:ascii="仿宋" w:hAnsi="仿宋" w:eastAsia="仿宋" w:cs="仿宋"/>
          <w:sz w:val="32"/>
          <w:szCs w:val="32"/>
        </w:rPr>
        <w:t>群治</w:t>
      </w:r>
      <w:r>
        <w:rPr>
          <w:rFonts w:hint="eastAsia" w:ascii="仿宋" w:hAnsi="仿宋" w:eastAsia="仿宋" w:cs="仿宋"/>
          <w:sz w:val="32"/>
          <w:szCs w:val="32"/>
          <w:lang w:eastAsia="zh-CN"/>
        </w:rPr>
        <w:t>作用，</w:t>
      </w:r>
      <w:r>
        <w:rPr>
          <w:rFonts w:hint="eastAsia" w:ascii="仿宋" w:hAnsi="仿宋" w:eastAsia="仿宋" w:cs="仿宋"/>
          <w:sz w:val="32"/>
          <w:szCs w:val="32"/>
        </w:rPr>
        <w:t>夯实以基层综合服务管理为依托的综治工作阵地。</w:t>
      </w:r>
      <w:r>
        <w:rPr>
          <w:rFonts w:hint="eastAsia" w:ascii="仿宋" w:hAnsi="仿宋" w:eastAsia="仿宋" w:cs="仿宋"/>
          <w:color w:val="000000" w:themeColor="text1"/>
          <w:sz w:val="32"/>
          <w:szCs w:val="32"/>
          <w:lang w:eastAsia="zh-CN"/>
        </w:rPr>
        <w:t>开展农村牧区家庭普法实践活动，培育农村牧区学法用法示范户，力争实现每个行政嘎查村至少有一户示范户</w:t>
      </w:r>
      <w:r>
        <w:rPr>
          <w:rFonts w:hint="eastAsia" w:ascii="仿宋" w:hAnsi="仿宋" w:eastAsia="仿宋" w:cs="仿宋"/>
          <w:sz w:val="32"/>
          <w:szCs w:val="32"/>
        </w:rPr>
        <w:t>。健全农村牧区公共安全体系，强化安全生产、防灾减灾救灾、食品、药品、交通、消防等管理责任。坚持和发展好“枫桥经验”，健全</w:t>
      </w:r>
      <w:r>
        <w:rPr>
          <w:rFonts w:hint="eastAsia" w:ascii="仿宋" w:hAnsi="仿宋" w:eastAsia="仿宋" w:cs="仿宋"/>
          <w:sz w:val="32"/>
          <w:szCs w:val="32"/>
          <w:lang w:eastAsia="zh-CN"/>
        </w:rPr>
        <w:t>农</w:t>
      </w:r>
      <w:r>
        <w:rPr>
          <w:rFonts w:hint="eastAsia" w:ascii="仿宋" w:hAnsi="仿宋" w:eastAsia="仿宋" w:cs="仿宋"/>
          <w:sz w:val="32"/>
          <w:szCs w:val="32"/>
        </w:rPr>
        <w:t>村</w:t>
      </w:r>
      <w:r>
        <w:rPr>
          <w:rFonts w:hint="eastAsia" w:ascii="仿宋" w:hAnsi="仿宋" w:eastAsia="仿宋" w:cs="仿宋"/>
          <w:sz w:val="32"/>
          <w:szCs w:val="32"/>
          <w:lang w:eastAsia="zh-CN"/>
        </w:rPr>
        <w:t>牧区</w:t>
      </w:r>
      <w:r>
        <w:rPr>
          <w:rFonts w:hint="eastAsia" w:ascii="仿宋" w:hAnsi="仿宋" w:eastAsia="仿宋" w:cs="仿宋"/>
          <w:sz w:val="32"/>
          <w:szCs w:val="32"/>
        </w:rPr>
        <w:t>矛盾纠纷化解机制。大力开展嘎查村微腐败整治，严肃查处侵害农牧民利益的行为。</w:t>
      </w:r>
    </w:p>
    <w:p>
      <w:pPr>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sz w:val="32"/>
          <w:szCs w:val="32"/>
        </w:rPr>
      </w:pPr>
      <w:r>
        <w:rPr>
          <w:rFonts w:hint="eastAsia" w:ascii="仿宋" w:hAnsi="仿宋" w:eastAsia="仿宋" w:cs="仿宋"/>
          <w:b/>
          <w:bCs/>
          <w:sz w:val="32"/>
          <w:szCs w:val="32"/>
        </w:rPr>
        <w:t>提升农村牧区德治水平。</w:t>
      </w:r>
      <w:r>
        <w:rPr>
          <w:rFonts w:hint="eastAsia" w:ascii="仿宋" w:hAnsi="仿宋" w:eastAsia="仿宋" w:cs="仿宋"/>
          <w:color w:val="000000" w:themeColor="text1"/>
          <w:sz w:val="32"/>
          <w:szCs w:val="32"/>
          <w:lang w:eastAsia="zh-CN"/>
        </w:rPr>
        <w:t>推进实施社会主义</w:t>
      </w:r>
      <w:r>
        <w:rPr>
          <w:rFonts w:hint="eastAsia" w:ascii="仿宋" w:hAnsi="仿宋" w:eastAsia="仿宋" w:cs="仿宋"/>
          <w:color w:val="000000" w:themeColor="text1"/>
          <w:sz w:val="32"/>
          <w:szCs w:val="32"/>
        </w:rPr>
        <w:t>核心价值观“一进村、四入户、一争创”活动，</w:t>
      </w:r>
      <w:r>
        <w:rPr>
          <w:rFonts w:hint="eastAsia" w:ascii="仿宋" w:hAnsi="仿宋" w:eastAsia="仿宋" w:cs="仿宋"/>
          <w:color w:val="000000" w:themeColor="text1"/>
          <w:sz w:val="32"/>
          <w:szCs w:val="32"/>
          <w:lang w:eastAsia="zh-CN"/>
        </w:rPr>
        <w:t>积极</w:t>
      </w:r>
      <w:r>
        <w:rPr>
          <w:rFonts w:hint="eastAsia" w:ascii="仿宋" w:hAnsi="仿宋" w:eastAsia="仿宋" w:cs="仿宋"/>
          <w:color w:val="000000" w:themeColor="text1"/>
          <w:sz w:val="32"/>
          <w:szCs w:val="32"/>
        </w:rPr>
        <w:t>选树践行社会主义核心价值观先进典型。</w:t>
      </w:r>
      <w:r>
        <w:rPr>
          <w:rFonts w:hint="eastAsia" w:ascii="仿宋" w:hAnsi="仿宋" w:eastAsia="仿宋" w:cs="仿宋"/>
          <w:b w:val="0"/>
          <w:bCs w:val="0"/>
          <w:sz w:val="32"/>
          <w:szCs w:val="32"/>
        </w:rPr>
        <w:t>深入挖掘和</w:t>
      </w:r>
      <w:r>
        <w:rPr>
          <w:rFonts w:hint="eastAsia" w:ascii="仿宋" w:hAnsi="仿宋" w:eastAsia="仿宋" w:cs="仿宋"/>
          <w:b w:val="0"/>
          <w:bCs w:val="0"/>
          <w:sz w:val="32"/>
          <w:szCs w:val="32"/>
          <w:lang w:eastAsia="zh-CN"/>
        </w:rPr>
        <w:t>发挥</w:t>
      </w:r>
      <w:r>
        <w:rPr>
          <w:rFonts w:hint="eastAsia" w:ascii="仿宋" w:hAnsi="仿宋" w:eastAsia="仿宋" w:cs="仿宋"/>
          <w:b w:val="0"/>
          <w:bCs w:val="0"/>
          <w:sz w:val="32"/>
          <w:szCs w:val="32"/>
        </w:rPr>
        <w:t>中华优秀传统文化讲仁爱、重民本、守诚信、崇正义、尚和合、求大同的时代价值</w:t>
      </w:r>
      <w:r>
        <w:rPr>
          <w:rFonts w:hint="eastAsia" w:ascii="仿宋" w:hAnsi="仿宋" w:eastAsia="仿宋" w:cs="仿宋"/>
          <w:b w:val="0"/>
          <w:bCs w:val="0"/>
          <w:sz w:val="32"/>
          <w:szCs w:val="32"/>
          <w:lang w:eastAsia="zh-CN"/>
        </w:rPr>
        <w:t>作用</w:t>
      </w:r>
      <w:r>
        <w:rPr>
          <w:rFonts w:hint="eastAsia" w:ascii="仿宋" w:hAnsi="仿宋" w:eastAsia="仿宋" w:cs="仿宋"/>
          <w:b w:val="0"/>
          <w:bCs w:val="0"/>
          <w:sz w:val="32"/>
          <w:szCs w:val="32"/>
        </w:rPr>
        <w:t>，</w:t>
      </w:r>
      <w:r>
        <w:rPr>
          <w:rFonts w:hint="eastAsia" w:ascii="仿宋" w:hAnsi="仿宋" w:eastAsia="仿宋" w:cs="仿宋"/>
          <w:sz w:val="32"/>
          <w:szCs w:val="32"/>
          <w:lang w:eastAsia="zh-CN"/>
        </w:rPr>
        <w:t>广泛组织</w:t>
      </w:r>
      <w:r>
        <w:rPr>
          <w:rFonts w:hint="eastAsia" w:ascii="仿宋" w:hAnsi="仿宋" w:eastAsia="仿宋" w:cs="仿宋"/>
          <w:sz w:val="32"/>
          <w:szCs w:val="32"/>
        </w:rPr>
        <w:t>开展优秀传统文化传播</w:t>
      </w:r>
      <w:r>
        <w:rPr>
          <w:rFonts w:hint="eastAsia" w:ascii="仿宋" w:hAnsi="仿宋" w:eastAsia="仿宋" w:cs="仿宋"/>
          <w:sz w:val="32"/>
          <w:szCs w:val="32"/>
          <w:lang w:eastAsia="zh-CN"/>
        </w:rPr>
        <w:t>、</w:t>
      </w:r>
      <w:r>
        <w:rPr>
          <w:rFonts w:hint="eastAsia" w:ascii="仿宋" w:hAnsi="仿宋" w:eastAsia="仿宋" w:cs="仿宋"/>
          <w:sz w:val="32"/>
          <w:szCs w:val="32"/>
        </w:rPr>
        <w:t>立家训家规、传家风家教</w:t>
      </w:r>
      <w:r>
        <w:rPr>
          <w:rFonts w:hint="eastAsia" w:ascii="仿宋" w:hAnsi="仿宋" w:eastAsia="仿宋" w:cs="仿宋"/>
          <w:sz w:val="32"/>
          <w:szCs w:val="32"/>
          <w:lang w:eastAsia="zh-CN"/>
        </w:rPr>
        <w:t>、</w:t>
      </w:r>
      <w:r>
        <w:rPr>
          <w:rFonts w:hint="eastAsia" w:ascii="仿宋" w:hAnsi="仿宋" w:eastAsia="仿宋" w:cs="仿宋"/>
          <w:sz w:val="32"/>
          <w:szCs w:val="32"/>
        </w:rPr>
        <w:t>倡文明树新风</w:t>
      </w:r>
      <w:r>
        <w:rPr>
          <w:rFonts w:hint="eastAsia" w:ascii="仿宋" w:hAnsi="仿宋" w:eastAsia="仿宋" w:cs="仿宋"/>
          <w:sz w:val="32"/>
          <w:szCs w:val="32"/>
          <w:lang w:eastAsia="zh-CN"/>
        </w:rPr>
        <w:t>和</w:t>
      </w:r>
      <w:r>
        <w:rPr>
          <w:rFonts w:hint="eastAsia" w:ascii="仿宋" w:hAnsi="仿宋" w:eastAsia="仿宋" w:cs="仿宋"/>
          <w:sz w:val="32"/>
          <w:szCs w:val="32"/>
        </w:rPr>
        <w:t>革除陈规陋习等活动。</w:t>
      </w:r>
      <w:r>
        <w:rPr>
          <w:rFonts w:hint="eastAsia" w:ascii="仿宋" w:hAnsi="仿宋" w:eastAsia="仿宋" w:cs="仿宋"/>
          <w:sz w:val="32"/>
          <w:szCs w:val="32"/>
          <w:lang w:eastAsia="zh-CN"/>
        </w:rPr>
        <w:t>加强</w:t>
      </w:r>
      <w:r>
        <w:rPr>
          <w:rFonts w:hint="eastAsia" w:ascii="仿宋" w:hAnsi="仿宋" w:eastAsia="仿宋" w:cs="仿宋"/>
          <w:sz w:val="32"/>
          <w:szCs w:val="32"/>
        </w:rPr>
        <w:t>新时代文明实践中心建设，推动文明村镇创建。</w:t>
      </w:r>
      <w:r>
        <w:rPr>
          <w:rFonts w:hint="eastAsia" w:ascii="仿宋" w:hAnsi="仿宋" w:eastAsia="仿宋" w:cs="仿宋"/>
          <w:color w:val="000000" w:themeColor="text1"/>
          <w:sz w:val="32"/>
          <w:szCs w:val="32"/>
        </w:rPr>
        <w:t>推广“一约四会”建设和“积分制”方式</w:t>
      </w:r>
      <w:r>
        <w:rPr>
          <w:rFonts w:hint="eastAsia" w:ascii="仿宋" w:hAnsi="仿宋" w:eastAsia="仿宋" w:cs="仿宋"/>
          <w:color w:val="000000" w:themeColor="text1"/>
          <w:sz w:val="32"/>
          <w:szCs w:val="32"/>
          <w:lang w:eastAsia="zh-CN"/>
        </w:rPr>
        <w:t>，</w:t>
      </w:r>
      <w:r>
        <w:rPr>
          <w:rFonts w:hint="eastAsia" w:ascii="仿宋" w:hAnsi="仿宋" w:eastAsia="仿宋" w:cs="仿宋"/>
          <w:color w:val="000000" w:themeColor="text1"/>
          <w:sz w:val="32"/>
          <w:szCs w:val="32"/>
        </w:rPr>
        <w:t>建立道德激励约束机制，引导农牧民自我管理、自我教育、自我提高，实现家庭和睦、邻里和谐、干群融洽。</w:t>
      </w:r>
    </w:p>
    <w:p>
      <w:pPr>
        <w:pageBreakBefore w:val="0"/>
        <w:widowControl w:val="0"/>
        <w:kinsoku/>
        <w:wordWrap/>
        <w:overflowPunct/>
        <w:topLinePunct w:val="0"/>
        <w:autoSpaceDE/>
        <w:autoSpaceDN/>
        <w:bidi w:val="0"/>
        <w:adjustRightInd/>
        <w:snapToGrid/>
        <w:spacing w:after="156" w:afterLines="50" w:line="600" w:lineRule="exact"/>
        <w:ind w:firstLine="643" w:firstLineChars="200"/>
        <w:textAlignment w:val="auto"/>
        <w:rPr>
          <w:sz w:val="32"/>
          <w:szCs w:val="32"/>
        </w:rPr>
      </w:pPr>
      <w:r>
        <w:rPr>
          <w:rFonts w:hint="eastAsia" w:ascii="仿宋" w:hAnsi="仿宋" w:eastAsia="仿宋" w:cs="仿宋"/>
          <w:b/>
          <w:bCs/>
          <w:sz w:val="32"/>
          <w:szCs w:val="32"/>
        </w:rPr>
        <w:t>落实“县乡村”三级联动机制。</w:t>
      </w:r>
      <w:r>
        <w:rPr>
          <w:rFonts w:hint="eastAsia" w:ascii="仿宋" w:hAnsi="仿宋" w:eastAsia="仿宋" w:cs="仿宋"/>
          <w:sz w:val="32"/>
          <w:szCs w:val="32"/>
          <w:lang w:eastAsia="zh-CN"/>
        </w:rPr>
        <w:t>发挥</w:t>
      </w:r>
      <w:r>
        <w:rPr>
          <w:rFonts w:hint="eastAsia" w:ascii="仿宋" w:hAnsi="仿宋" w:eastAsia="仿宋" w:cstheme="minorBidi"/>
          <w:sz w:val="32"/>
          <w:szCs w:val="32"/>
        </w:rPr>
        <w:t>旗县“一级指挥部”</w:t>
      </w:r>
      <w:r>
        <w:rPr>
          <w:rFonts w:hint="eastAsia" w:ascii="仿宋" w:hAnsi="仿宋" w:eastAsia="仿宋" w:cstheme="minorBidi"/>
          <w:sz w:val="32"/>
          <w:szCs w:val="32"/>
          <w:lang w:eastAsia="zh-CN"/>
        </w:rPr>
        <w:t>作用</w:t>
      </w:r>
      <w:r>
        <w:rPr>
          <w:rFonts w:hint="eastAsia" w:ascii="仿宋" w:hAnsi="仿宋" w:eastAsia="仿宋" w:cstheme="minorBidi"/>
          <w:sz w:val="32"/>
          <w:szCs w:val="32"/>
        </w:rPr>
        <w:t>，加强统筹谋划</w:t>
      </w:r>
      <w:r>
        <w:rPr>
          <w:rFonts w:hint="eastAsia" w:ascii="仿宋" w:hAnsi="仿宋" w:eastAsia="仿宋" w:cstheme="minorBidi"/>
          <w:sz w:val="32"/>
          <w:szCs w:val="32"/>
          <w:lang w:eastAsia="zh-CN"/>
        </w:rPr>
        <w:t>，</w:t>
      </w:r>
      <w:r>
        <w:rPr>
          <w:rFonts w:hint="eastAsia" w:ascii="仿宋" w:hAnsi="仿宋" w:eastAsia="仿宋" w:cstheme="minorBidi"/>
          <w:sz w:val="32"/>
          <w:szCs w:val="32"/>
        </w:rPr>
        <w:t>落实领导责任，树立大抓基层的工作导向，增强群众工作本领。</w:t>
      </w:r>
      <w:r>
        <w:rPr>
          <w:rFonts w:hint="eastAsia" w:ascii="仿宋" w:hAnsi="仿宋" w:eastAsia="仿宋" w:cstheme="minorBidi"/>
          <w:sz w:val="32"/>
          <w:szCs w:val="32"/>
          <w:lang w:eastAsia="zh-CN"/>
        </w:rPr>
        <w:t>发挥</w:t>
      </w:r>
      <w:r>
        <w:rPr>
          <w:rFonts w:hint="eastAsia" w:ascii="仿宋" w:hAnsi="仿宋" w:eastAsia="仿宋" w:cstheme="minorBidi"/>
          <w:sz w:val="32"/>
          <w:szCs w:val="32"/>
        </w:rPr>
        <w:t>苏木乡镇“服务中心”</w:t>
      </w:r>
      <w:r>
        <w:rPr>
          <w:rFonts w:hint="eastAsia" w:ascii="仿宋" w:hAnsi="仿宋" w:eastAsia="仿宋" w:cstheme="minorBidi"/>
          <w:sz w:val="32"/>
          <w:szCs w:val="32"/>
          <w:lang w:eastAsia="zh-CN"/>
        </w:rPr>
        <w:t>作用</w:t>
      </w:r>
      <w:r>
        <w:rPr>
          <w:rFonts w:hint="eastAsia" w:ascii="仿宋" w:hAnsi="仿宋" w:eastAsia="仿宋" w:cstheme="minorBidi"/>
          <w:sz w:val="32"/>
          <w:szCs w:val="32"/>
        </w:rPr>
        <w:t>，强化服务意识、提升服务能力、补齐服务短板。</w:t>
      </w:r>
      <w:r>
        <w:rPr>
          <w:rFonts w:hint="eastAsia" w:ascii="仿宋" w:hAnsi="仿宋" w:eastAsia="仿宋" w:cstheme="minorBidi"/>
          <w:sz w:val="32"/>
          <w:szCs w:val="32"/>
          <w:lang w:eastAsia="zh-CN"/>
        </w:rPr>
        <w:t>发挥</w:t>
      </w:r>
      <w:r>
        <w:rPr>
          <w:rFonts w:hint="eastAsia" w:ascii="仿宋" w:hAnsi="仿宋" w:eastAsia="仿宋" w:cstheme="minorBidi"/>
          <w:sz w:val="32"/>
          <w:szCs w:val="32"/>
        </w:rPr>
        <w:t>行政嘎查村最基本的治理单元</w:t>
      </w:r>
      <w:r>
        <w:rPr>
          <w:rFonts w:hint="eastAsia" w:ascii="仿宋" w:hAnsi="仿宋" w:eastAsia="仿宋" w:cstheme="minorBidi"/>
          <w:sz w:val="32"/>
          <w:szCs w:val="32"/>
          <w:lang w:eastAsia="zh-CN"/>
        </w:rPr>
        <w:t>作用</w:t>
      </w:r>
      <w:r>
        <w:rPr>
          <w:rFonts w:hint="eastAsia" w:ascii="仿宋" w:hAnsi="仿宋" w:eastAsia="仿宋" w:cstheme="minorBidi"/>
          <w:sz w:val="32"/>
          <w:szCs w:val="32"/>
        </w:rPr>
        <w:t>，强化自我管理、自我服务、自我教育、自我监督，充分发挥党统一领导下的战斗堡垒作用，加强农村牧区网格化服务管理，把网格织密织牢织成体系，全面提升农村牧区治理效能。</w:t>
      </w:r>
    </w:p>
    <w:tbl>
      <w:tblPr>
        <w:tblStyle w:val="26"/>
        <w:tblW w:w="826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shd w:val="clear" w:color="auto" w:fill="FFFFFF" w:themeFill="background1"/>
        <w:tblLayout w:type="fixed"/>
        <w:tblCellMar>
          <w:top w:w="0" w:type="dxa"/>
          <w:left w:w="108" w:type="dxa"/>
          <w:bottom w:w="0" w:type="dxa"/>
          <w:right w:w="108" w:type="dxa"/>
        </w:tblCellMar>
      </w:tblPr>
      <w:tblGrid>
        <w:gridCol w:w="8260"/>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shd w:val="clear" w:color="auto" w:fill="FFFFFF" w:themeFill="background1"/>
        </w:tblPrEx>
        <w:trPr>
          <w:trHeight w:val="630" w:hRule="atLeast"/>
          <w:jc w:val="center"/>
        </w:trPr>
        <w:tc>
          <w:tcPr>
            <w:tcW w:w="8260" w:type="dxa"/>
            <w:tcBorders>
              <w:bottom w:val="single" w:color="auto" w:sz="4" w:space="0"/>
              <w:tl2br w:val="nil"/>
              <w:tr2bl w:val="nil"/>
            </w:tcBorders>
            <w:shd w:val="clear" w:color="auto" w:fill="FFFFFF" w:themeFill="background1"/>
            <w:vAlign w:val="center"/>
          </w:tcPr>
          <w:p>
            <w:pPr>
              <w:spacing w:line="560" w:lineRule="exact"/>
              <w:ind w:left="210" w:right="210"/>
              <w:jc w:val="center"/>
              <w:rPr>
                <w:rFonts w:ascii="宋体" w:hAnsi="宋体" w:eastAsia="宋体" w:cs="Times New Roman"/>
                <w:sz w:val="28"/>
                <w:szCs w:val="28"/>
              </w:rPr>
            </w:pPr>
            <w:r>
              <w:rPr>
                <w:rFonts w:hint="eastAsia" w:ascii="黑体" w:hAnsi="黑体" w:eastAsia="黑体" w:cs="黑体"/>
                <w:b w:val="0"/>
                <w:bCs w:val="0"/>
                <w:sz w:val="28"/>
                <w:szCs w:val="28"/>
              </w:rPr>
              <w:t>专栏</w:t>
            </w:r>
            <w:r>
              <w:rPr>
                <w:rFonts w:hint="eastAsia" w:ascii="黑体" w:hAnsi="黑体" w:eastAsia="黑体" w:cs="黑体"/>
                <w:b w:val="0"/>
                <w:bCs w:val="0"/>
                <w:sz w:val="28"/>
                <w:szCs w:val="28"/>
                <w:lang w:val="en-US" w:eastAsia="zh-CN"/>
              </w:rPr>
              <w:t>9</w:t>
            </w:r>
            <w:r>
              <w:rPr>
                <w:rFonts w:hint="eastAsia" w:ascii="黑体" w:hAnsi="黑体" w:eastAsia="黑体" w:cs="黑体"/>
                <w:b w:val="0"/>
                <w:bCs w:val="0"/>
                <w:sz w:val="28"/>
                <w:szCs w:val="28"/>
              </w:rPr>
              <w:t xml:space="preserve">  农村牧区社会综合治理工程</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shd w:val="clear" w:color="auto" w:fill="FFFFFF" w:themeFill="background1"/>
        </w:tblPrEx>
        <w:trPr>
          <w:trHeight w:val="690" w:hRule="atLeast"/>
          <w:jc w:val="center"/>
        </w:trPr>
        <w:tc>
          <w:tcPr>
            <w:tcW w:w="8260" w:type="dxa"/>
            <w:tcBorders>
              <w:top w:val="single" w:color="auto" w:sz="4" w:space="0"/>
              <w:bottom w:val="single" w:color="auto" w:sz="4" w:space="0"/>
              <w:tl2br w:val="nil"/>
              <w:tr2bl w:val="nil"/>
            </w:tcBorders>
            <w:shd w:val="clear" w:color="auto" w:fill="FFFFFF" w:themeFill="background1"/>
          </w:tcPr>
          <w:p>
            <w:pPr>
              <w:pStyle w:val="22"/>
              <w:keepNext w:val="0"/>
              <w:keepLines w:val="0"/>
              <w:pageBreakBefore w:val="0"/>
              <w:widowControl/>
              <w:kinsoku/>
              <w:wordWrap/>
              <w:overflowPunct/>
              <w:topLinePunct w:val="0"/>
              <w:autoSpaceDE/>
              <w:autoSpaceDN/>
              <w:bidi w:val="0"/>
              <w:adjustRightInd/>
              <w:snapToGrid/>
              <w:spacing w:before="0" w:beforeAutospacing="0" w:after="0" w:afterAutospacing="0" w:line="400" w:lineRule="exact"/>
              <w:ind w:left="210" w:right="210" w:firstLine="480" w:firstLineChars="200"/>
              <w:jc w:val="both"/>
              <w:textAlignment w:val="auto"/>
              <w:rPr>
                <w:rFonts w:ascii="仿宋" w:hAnsi="仿宋" w:eastAsia="仿宋" w:cs="仿宋"/>
              </w:rPr>
            </w:pPr>
            <w:r>
              <w:rPr>
                <w:rFonts w:hint="eastAsia" w:ascii="黑体" w:hAnsi="黑体" w:eastAsia="黑体" w:cs="黑体"/>
                <w:kern w:val="2"/>
              </w:rPr>
              <w:t>1</w:t>
            </w:r>
            <w:r>
              <w:rPr>
                <w:rFonts w:ascii="黑体" w:hAnsi="黑体" w:eastAsia="黑体" w:cs="黑体"/>
                <w:kern w:val="2"/>
              </w:rPr>
              <w:t>.</w:t>
            </w:r>
            <w:r>
              <w:rPr>
                <w:rFonts w:hint="eastAsia" w:ascii="黑体" w:hAnsi="黑体" w:eastAsia="黑体" w:cs="黑体"/>
                <w:kern w:val="2"/>
              </w:rPr>
              <w:t>农村牧区社会治安防控体系建设</w:t>
            </w:r>
            <w:r>
              <w:rPr>
                <w:rFonts w:hint="eastAsia" w:ascii="黑体" w:hAnsi="黑体" w:eastAsia="黑体" w:cs="黑体"/>
                <w:kern w:val="2"/>
                <w:lang w:val="en" w:eastAsia="zh-CN"/>
              </w:rPr>
              <w:t>。</w:t>
            </w:r>
            <w:r>
              <w:rPr>
                <w:rFonts w:hint="eastAsia" w:ascii="仿宋" w:hAnsi="仿宋" w:eastAsia="仿宋" w:cs="仿宋"/>
              </w:rPr>
              <w:t>健全农村牧区人防、技防、物防有机结合的治安防控网，增加农村牧区集贸市场、商业网点、文化娱乐场所、旅游景点等重点地区治安室与报警点设置。加强农村牧区消防、交通、危险物品、大型群众性活动安全监管，形成具有农村牧区特色的社会治安防控格局。</w:t>
            </w:r>
          </w:p>
          <w:p>
            <w:pPr>
              <w:pStyle w:val="22"/>
              <w:keepNext w:val="0"/>
              <w:keepLines w:val="0"/>
              <w:pageBreakBefore w:val="0"/>
              <w:widowControl/>
              <w:kinsoku/>
              <w:wordWrap/>
              <w:overflowPunct/>
              <w:topLinePunct w:val="0"/>
              <w:autoSpaceDE/>
              <w:autoSpaceDN/>
              <w:bidi w:val="0"/>
              <w:adjustRightInd/>
              <w:snapToGrid/>
              <w:spacing w:before="0" w:beforeAutospacing="0" w:after="0" w:afterAutospacing="0" w:line="400" w:lineRule="exact"/>
              <w:ind w:left="210" w:right="210" w:firstLine="480" w:firstLineChars="200"/>
              <w:jc w:val="both"/>
              <w:textAlignment w:val="auto"/>
              <w:rPr>
                <w:rFonts w:ascii="仿宋" w:hAnsi="仿宋" w:eastAsia="仿宋" w:cs="仿宋"/>
              </w:rPr>
            </w:pPr>
            <w:r>
              <w:rPr>
                <w:rFonts w:hint="eastAsia" w:ascii="黑体" w:hAnsi="黑体" w:eastAsia="黑体" w:cs="黑体"/>
                <w:kern w:val="2"/>
              </w:rPr>
              <w:t>2</w:t>
            </w:r>
            <w:r>
              <w:rPr>
                <w:rFonts w:ascii="黑体" w:hAnsi="黑体" w:eastAsia="黑体" w:cs="黑体"/>
                <w:kern w:val="2"/>
              </w:rPr>
              <w:t>.</w:t>
            </w:r>
            <w:r>
              <w:rPr>
                <w:rFonts w:hint="eastAsia" w:ascii="黑体" w:hAnsi="黑体" w:eastAsia="黑体" w:cs="黑体"/>
                <w:kern w:val="2"/>
                <w:lang w:eastAsia="zh-CN"/>
              </w:rPr>
              <w:t>农</w:t>
            </w:r>
            <w:r>
              <w:rPr>
                <w:rFonts w:hint="eastAsia" w:ascii="黑体" w:hAnsi="黑体" w:eastAsia="黑体" w:cs="黑体"/>
                <w:kern w:val="2"/>
              </w:rPr>
              <w:t>村</w:t>
            </w:r>
            <w:r>
              <w:rPr>
                <w:rFonts w:hint="eastAsia" w:ascii="黑体" w:hAnsi="黑体" w:eastAsia="黑体" w:cs="黑体"/>
                <w:kern w:val="2"/>
                <w:lang w:eastAsia="zh-CN"/>
              </w:rPr>
              <w:t>牧区</w:t>
            </w:r>
            <w:r>
              <w:rPr>
                <w:rFonts w:hint="eastAsia" w:ascii="黑体" w:hAnsi="黑体" w:eastAsia="黑体" w:cs="黑体"/>
                <w:kern w:val="2"/>
              </w:rPr>
              <w:t>网格化服务管理</w:t>
            </w:r>
            <w:r>
              <w:rPr>
                <w:rFonts w:hint="eastAsia" w:ascii="黑体" w:hAnsi="黑体" w:eastAsia="黑体" w:cs="黑体"/>
                <w:kern w:val="2"/>
                <w:lang w:eastAsia="zh-CN"/>
              </w:rPr>
              <w:t>。</w:t>
            </w:r>
            <w:r>
              <w:rPr>
                <w:rFonts w:hint="eastAsia" w:ascii="仿宋" w:hAnsi="仿宋" w:eastAsia="仿宋" w:cs="仿宋"/>
              </w:rPr>
              <w:t>按照“规模适度、无缝覆盖、动态调整”的原则，根据地域和人口实际分布情况，将嘎查村“两委”成员、村民代表、有威望的</w:t>
            </w:r>
            <w:r>
              <w:rPr>
                <w:rFonts w:hint="eastAsia" w:ascii="仿宋" w:hAnsi="仿宋" w:eastAsia="仿宋" w:cs="仿宋"/>
                <w:lang w:eastAsia="zh-CN"/>
              </w:rPr>
              <w:t>嘎查</w:t>
            </w:r>
            <w:r>
              <w:rPr>
                <w:rFonts w:hint="eastAsia" w:ascii="仿宋" w:hAnsi="仿宋" w:eastAsia="仿宋" w:cs="仿宋"/>
              </w:rPr>
              <w:t>村民、个体经营大户、党员等确定为网格员，承担网格内社情民意收集、基础信息采集、法规政策宣传以及其他各项服务管理工作，全面提升</w:t>
            </w:r>
            <w:r>
              <w:rPr>
                <w:rFonts w:hint="eastAsia" w:ascii="仿宋" w:hAnsi="仿宋" w:eastAsia="仿宋" w:cs="仿宋"/>
                <w:lang w:eastAsia="zh-CN"/>
              </w:rPr>
              <w:t>农</w:t>
            </w:r>
            <w:r>
              <w:rPr>
                <w:rFonts w:hint="eastAsia" w:ascii="仿宋" w:hAnsi="仿宋" w:eastAsia="仿宋" w:cs="仿宋"/>
              </w:rPr>
              <w:t>村</w:t>
            </w:r>
            <w:r>
              <w:rPr>
                <w:rFonts w:hint="eastAsia" w:ascii="仿宋" w:hAnsi="仿宋" w:eastAsia="仿宋" w:cs="仿宋"/>
                <w:lang w:eastAsia="zh-CN"/>
              </w:rPr>
              <w:t>牧区</w:t>
            </w:r>
            <w:r>
              <w:rPr>
                <w:rFonts w:hint="eastAsia" w:ascii="仿宋" w:hAnsi="仿宋" w:eastAsia="仿宋" w:cs="仿宋"/>
              </w:rPr>
              <w:t>服务管理水平。</w:t>
            </w:r>
          </w:p>
          <w:p>
            <w:pPr>
              <w:pStyle w:val="22"/>
              <w:keepNext w:val="0"/>
              <w:keepLines w:val="0"/>
              <w:pageBreakBefore w:val="0"/>
              <w:widowControl/>
              <w:kinsoku/>
              <w:wordWrap/>
              <w:overflowPunct/>
              <w:topLinePunct w:val="0"/>
              <w:autoSpaceDE/>
              <w:autoSpaceDN/>
              <w:bidi w:val="0"/>
              <w:adjustRightInd/>
              <w:snapToGrid/>
              <w:spacing w:before="0" w:beforeAutospacing="0" w:after="0" w:afterAutospacing="0" w:line="400" w:lineRule="exact"/>
              <w:ind w:left="210" w:right="210" w:firstLine="480" w:firstLineChars="200"/>
              <w:jc w:val="both"/>
              <w:textAlignment w:val="auto"/>
              <w:rPr>
                <w:rFonts w:ascii="仿宋" w:hAnsi="仿宋" w:eastAsia="仿宋" w:cs="仿宋"/>
              </w:rPr>
            </w:pPr>
            <w:r>
              <w:rPr>
                <w:rFonts w:hint="eastAsia" w:ascii="黑体" w:hAnsi="黑体" w:eastAsia="黑体" w:cs="黑体"/>
                <w:kern w:val="2"/>
              </w:rPr>
              <w:t>3</w:t>
            </w:r>
            <w:r>
              <w:rPr>
                <w:rFonts w:ascii="黑体" w:hAnsi="黑体" w:eastAsia="黑体" w:cs="黑体"/>
                <w:kern w:val="2"/>
              </w:rPr>
              <w:t>.</w:t>
            </w:r>
            <w:r>
              <w:rPr>
                <w:rFonts w:hint="eastAsia" w:ascii="黑体" w:hAnsi="黑体" w:eastAsia="黑体" w:cs="黑体"/>
                <w:kern w:val="2"/>
                <w:lang w:eastAsia="zh-CN"/>
              </w:rPr>
              <w:t>嘎查</w:t>
            </w:r>
            <w:r>
              <w:rPr>
                <w:rFonts w:hint="eastAsia" w:ascii="黑体" w:hAnsi="黑体" w:eastAsia="黑体" w:cs="黑体"/>
                <w:kern w:val="2"/>
              </w:rPr>
              <w:t>村级事物阳光工程</w:t>
            </w:r>
            <w:r>
              <w:rPr>
                <w:rFonts w:hint="eastAsia" w:ascii="黑体" w:hAnsi="黑体" w:eastAsia="黑体" w:cs="黑体"/>
                <w:kern w:val="2"/>
                <w:lang w:eastAsia="zh-CN"/>
              </w:rPr>
              <w:t>。</w:t>
            </w:r>
            <w:r>
              <w:rPr>
                <w:rFonts w:hint="eastAsia" w:ascii="仿宋" w:hAnsi="仿宋" w:eastAsia="仿宋" w:cs="仿宋"/>
              </w:rPr>
              <w:t>完善“三务”公开制度，健全嘎查村</w:t>
            </w:r>
            <w:r>
              <w:rPr>
                <w:rFonts w:hint="eastAsia" w:ascii="仿宋" w:hAnsi="仿宋" w:eastAsia="仿宋" w:cs="仿宋"/>
                <w:lang w:eastAsia="zh-CN"/>
              </w:rPr>
              <w:t>级</w:t>
            </w:r>
            <w:r>
              <w:rPr>
                <w:rFonts w:hint="eastAsia" w:ascii="仿宋" w:hAnsi="仿宋" w:eastAsia="仿宋" w:cs="仿宋"/>
              </w:rPr>
              <w:t>档案管理制度，推广嘎查村级“阳光公开”建管平台。</w:t>
            </w:r>
          </w:p>
        </w:tc>
      </w:tr>
      <w:bookmarkEnd w:id="447"/>
      <w:bookmarkEnd w:id="448"/>
      <w:bookmarkEnd w:id="449"/>
      <w:bookmarkEnd w:id="450"/>
      <w:bookmarkEnd w:id="451"/>
      <w:bookmarkEnd w:id="452"/>
    </w:tbl>
    <w:p>
      <w:pPr>
        <w:rPr>
          <w:rFonts w:hint="eastAsia"/>
        </w:rPr>
      </w:pPr>
      <w:bookmarkStart w:id="495" w:name="_Toc4163"/>
      <w:bookmarkStart w:id="496" w:name="_Toc67985819"/>
      <w:bookmarkStart w:id="497" w:name="_Toc28544"/>
      <w:bookmarkStart w:id="498" w:name="_Toc6371"/>
      <w:bookmarkStart w:id="499" w:name="_Toc10264"/>
      <w:bookmarkStart w:id="500" w:name="_Toc58870236"/>
      <w:bookmarkStart w:id="501" w:name="_Toc59000609"/>
    </w:p>
    <w:p>
      <w:pPr>
        <w:rPr>
          <w:rFonts w:hint="eastAsia"/>
        </w:rPr>
      </w:pPr>
    </w:p>
    <w:p>
      <w:pPr>
        <w:rPr>
          <w:rFonts w:hint="eastAsia"/>
        </w:rPr>
      </w:pPr>
    </w:p>
    <w:p>
      <w:pPr>
        <w:rPr>
          <w:rFonts w:hint="eastAsia"/>
        </w:rPr>
      </w:pPr>
    </w:p>
    <w:p>
      <w:pPr>
        <w:pStyle w:val="2"/>
        <w:rPr>
          <w:rFonts w:hint="eastAsia"/>
        </w:rPr>
      </w:pPr>
    </w:p>
    <w:p>
      <w:pPr>
        <w:pStyle w:val="2"/>
        <w:rPr>
          <w:rFonts w:hint="eastAsia"/>
        </w:rPr>
      </w:pPr>
    </w:p>
    <w:p>
      <w:pPr>
        <w:rPr>
          <w:rFonts w:hint="eastAsia"/>
        </w:rPr>
      </w:pPr>
    </w:p>
    <w:p>
      <w:pPr>
        <w:rPr>
          <w:rFonts w:hint="eastAsia"/>
        </w:rPr>
      </w:pPr>
    </w:p>
    <w:p>
      <w:pPr>
        <w:rPr>
          <w:rFonts w:hint="eastAsia"/>
        </w:rPr>
      </w:pPr>
    </w:p>
    <w:p>
      <w:pPr>
        <w:rPr>
          <w:rFonts w:hint="eastAsia"/>
        </w:rPr>
      </w:pPr>
    </w:p>
    <w:p>
      <w:pPr>
        <w:pageBreakBefore w:val="0"/>
        <w:widowControl w:val="0"/>
        <w:kinsoku/>
        <w:wordWrap/>
        <w:overflowPunct/>
        <w:topLinePunct w:val="0"/>
        <w:autoSpaceDE/>
        <w:autoSpaceDN/>
        <w:bidi w:val="0"/>
        <w:adjustRightInd/>
        <w:snapToGrid/>
        <w:spacing w:line="600" w:lineRule="exact"/>
        <w:textAlignment w:val="auto"/>
        <w:rPr>
          <w:rFonts w:hint="eastAsia"/>
          <w:sz w:val="32"/>
          <w:szCs w:val="32"/>
        </w:rPr>
      </w:pPr>
    </w:p>
    <w:p>
      <w:pPr>
        <w:pStyle w:val="2"/>
        <w:rPr>
          <w:rFonts w:hint="eastAsia"/>
          <w:sz w:val="32"/>
          <w:szCs w:val="32"/>
        </w:rPr>
      </w:pPr>
    </w:p>
    <w:bookmarkEnd w:id="495"/>
    <w:bookmarkEnd w:id="496"/>
    <w:bookmarkEnd w:id="497"/>
    <w:bookmarkEnd w:id="498"/>
    <w:bookmarkEnd w:id="499"/>
    <w:p>
      <w:pPr>
        <w:pageBreakBefore w:val="0"/>
        <w:widowControl w:val="0"/>
        <w:kinsoku/>
        <w:wordWrap/>
        <w:overflowPunct/>
        <w:topLinePunct w:val="0"/>
        <w:autoSpaceDE/>
        <w:autoSpaceDN/>
        <w:bidi w:val="0"/>
        <w:adjustRightInd/>
        <w:snapToGrid/>
        <w:spacing w:line="600" w:lineRule="exact"/>
        <w:jc w:val="center"/>
        <w:textAlignment w:val="auto"/>
        <w:rPr>
          <w:rFonts w:hint="eastAsia" w:ascii="仿宋" w:hAnsi="仿宋" w:eastAsia="仿宋" w:cs="仿宋"/>
          <w:sz w:val="32"/>
          <w:szCs w:val="32"/>
        </w:rPr>
      </w:pPr>
      <w:bookmarkStart w:id="502" w:name="_Toc752678536_WPSOffice_Level1"/>
      <w:bookmarkStart w:id="503" w:name="_Toc67985820"/>
      <w:bookmarkStart w:id="504" w:name="_Toc58870223"/>
      <w:bookmarkStart w:id="505" w:name="_Toc59000596"/>
    </w:p>
    <w:p>
      <w:pPr>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sz w:val="44"/>
          <w:szCs w:val="44"/>
        </w:rPr>
        <w:t>第</w:t>
      </w:r>
      <w:r>
        <w:rPr>
          <w:rFonts w:hint="eastAsia" w:ascii="方正小标宋简体" w:hAnsi="方正小标宋简体" w:eastAsia="方正小标宋简体" w:cs="方正小标宋简体"/>
          <w:sz w:val="44"/>
          <w:szCs w:val="44"/>
          <w:lang w:eastAsia="zh-CN"/>
        </w:rPr>
        <w:t>九</w:t>
      </w:r>
      <w:r>
        <w:rPr>
          <w:rFonts w:hint="eastAsia" w:ascii="方正小标宋简体" w:hAnsi="方正小标宋简体" w:eastAsia="方正小标宋简体" w:cs="方正小标宋简体"/>
          <w:sz w:val="44"/>
          <w:szCs w:val="44"/>
        </w:rPr>
        <w:t xml:space="preserve">章 </w:t>
      </w:r>
      <w:r>
        <w:rPr>
          <w:rFonts w:hint="eastAsia" w:ascii="方正小标宋简体" w:hAnsi="方正小标宋简体" w:eastAsia="方正小标宋简体" w:cs="方正小标宋简体"/>
          <w:sz w:val="44"/>
          <w:szCs w:val="44"/>
          <w:lang w:eastAsia="zh-CN"/>
        </w:rPr>
        <w:t>环境影响评价</w:t>
      </w:r>
      <w:bookmarkEnd w:id="502"/>
    </w:p>
    <w:p>
      <w:pPr>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sz w:val="32"/>
          <w:szCs w:val="32"/>
        </w:rPr>
      </w:pPr>
    </w:p>
    <w:p>
      <w:pPr>
        <w:pageBreakBefore w:val="0"/>
        <w:widowControl w:val="0"/>
        <w:kinsoku/>
        <w:wordWrap/>
        <w:overflowPunct/>
        <w:topLinePunct w:val="0"/>
        <w:autoSpaceDE/>
        <w:autoSpaceDN/>
        <w:bidi w:val="0"/>
        <w:adjustRightInd/>
        <w:snapToGrid/>
        <w:spacing w:line="600" w:lineRule="exact"/>
        <w:ind w:firstLine="640" w:firstLineChars="200"/>
        <w:textAlignment w:val="auto"/>
        <w:rPr>
          <w:rFonts w:ascii="仿宋" w:hAnsi="仿宋" w:eastAsia="仿宋" w:cstheme="minorBidi"/>
          <w:sz w:val="32"/>
          <w:szCs w:val="32"/>
        </w:rPr>
      </w:pPr>
      <w:r>
        <w:rPr>
          <w:rFonts w:hint="eastAsia" w:ascii="仿宋" w:hAnsi="仿宋" w:eastAsia="仿宋" w:cs="仿宋"/>
          <w:sz w:val="32"/>
          <w:szCs w:val="32"/>
        </w:rPr>
        <w:t>规划坚持以绿色引</w:t>
      </w:r>
      <w:r>
        <w:rPr>
          <w:rFonts w:hint="eastAsia" w:ascii="仿宋" w:hAnsi="仿宋" w:eastAsia="仿宋" w:cstheme="minorBidi"/>
          <w:sz w:val="32"/>
          <w:szCs w:val="32"/>
        </w:rPr>
        <w:t>领农牧业农村牧区现代化发展，符合《锡林郭勒盟行政公署关于印发锡林郭勒盟国民经济和社会发展第十四个五年规划和</w:t>
      </w:r>
      <w:r>
        <w:rPr>
          <w:rFonts w:ascii="仿宋" w:hAnsi="仿宋" w:eastAsia="仿宋" w:cstheme="minorBidi"/>
          <w:sz w:val="32"/>
          <w:szCs w:val="32"/>
        </w:rPr>
        <w:t>2035年远景目标纲要的通知》</w:t>
      </w:r>
      <w:r>
        <w:rPr>
          <w:rFonts w:hint="eastAsia" w:ascii="仿宋" w:hAnsi="仿宋" w:eastAsia="仿宋" w:cstheme="minorBidi"/>
          <w:sz w:val="32"/>
          <w:szCs w:val="32"/>
        </w:rPr>
        <w:t>（锡署发〔</w:t>
      </w:r>
      <w:r>
        <w:rPr>
          <w:rFonts w:ascii="仿宋" w:hAnsi="仿宋" w:eastAsia="仿宋" w:cstheme="minorBidi"/>
          <w:sz w:val="32"/>
          <w:szCs w:val="32"/>
        </w:rPr>
        <w:t>2021〕51 号）“坚定不移走以生态优先、</w:t>
      </w:r>
      <w:r>
        <w:rPr>
          <w:rFonts w:hint="eastAsia" w:ascii="仿宋" w:hAnsi="仿宋" w:eastAsia="仿宋" w:cstheme="minorBidi"/>
          <w:sz w:val="32"/>
          <w:szCs w:val="32"/>
          <w:lang w:eastAsia="zh-CN"/>
        </w:rPr>
        <w:t>绿色</w:t>
      </w:r>
      <w:r>
        <w:rPr>
          <w:rFonts w:ascii="仿宋" w:hAnsi="仿宋" w:eastAsia="仿宋" w:cstheme="minorBidi"/>
          <w:sz w:val="32"/>
          <w:szCs w:val="32"/>
        </w:rPr>
        <w:t>发</w:t>
      </w:r>
      <w:r>
        <w:rPr>
          <w:rFonts w:hint="eastAsia" w:ascii="仿宋" w:hAnsi="仿宋" w:eastAsia="仿宋" w:cstheme="minorBidi"/>
          <w:sz w:val="32"/>
          <w:szCs w:val="32"/>
        </w:rPr>
        <w:t>展为导向的高质量发展新路子”和“坚持发展绿色化、经营产业化、生产标准化、营销品牌化、投入集约化、管理信息化，大力发展生态农牧业，全面提高农牧业质量效益和竞争力”的</w:t>
      </w:r>
      <w:r>
        <w:rPr>
          <w:rFonts w:hint="eastAsia" w:ascii="仿宋" w:hAnsi="仿宋" w:eastAsia="仿宋" w:cstheme="minorBidi"/>
          <w:sz w:val="32"/>
          <w:szCs w:val="32"/>
          <w:lang w:eastAsia="zh-CN"/>
        </w:rPr>
        <w:t>相关</w:t>
      </w:r>
      <w:r>
        <w:rPr>
          <w:rFonts w:hint="eastAsia" w:ascii="仿宋" w:hAnsi="仿宋" w:eastAsia="仿宋" w:cstheme="minorBidi"/>
          <w:sz w:val="32"/>
          <w:szCs w:val="32"/>
        </w:rPr>
        <w:t>要求。</w:t>
      </w:r>
    </w:p>
    <w:p>
      <w:pPr>
        <w:pStyle w:val="4"/>
        <w:pageBreakBefore w:val="0"/>
        <w:widowControl w:val="0"/>
        <w:kinsoku/>
        <w:wordWrap/>
        <w:overflowPunct/>
        <w:topLinePunct w:val="0"/>
        <w:autoSpaceDE/>
        <w:autoSpaceDN/>
        <w:bidi w:val="0"/>
        <w:adjustRightInd/>
        <w:snapToGrid/>
        <w:spacing w:before="156" w:beforeLines="50" w:after="156" w:afterLines="50" w:line="600" w:lineRule="exact"/>
        <w:textAlignment w:val="auto"/>
        <w:rPr>
          <w:rFonts w:ascii="Calibri Light" w:hAnsi="Calibri Light" w:cs="Times New Roman"/>
          <w:b w:val="0"/>
          <w:bCs w:val="0"/>
          <w:sz w:val="32"/>
          <w:szCs w:val="32"/>
        </w:rPr>
      </w:pPr>
      <w:bookmarkStart w:id="506" w:name="_Toc32125070_WPSOffice_Level2"/>
      <w:bookmarkStart w:id="507" w:name="_Toc19752"/>
      <w:bookmarkStart w:id="508" w:name="_Toc11298"/>
      <w:bookmarkStart w:id="509" w:name="_Toc22863"/>
      <w:bookmarkStart w:id="510" w:name="_Toc21322"/>
      <w:r>
        <w:rPr>
          <w:rFonts w:hint="eastAsia" w:ascii="Calibri Light" w:hAnsi="Calibri Light" w:cs="Times New Roman"/>
          <w:b w:val="0"/>
          <w:bCs w:val="0"/>
          <w:sz w:val="32"/>
          <w:szCs w:val="32"/>
        </w:rPr>
        <w:t>第一节 有利影响</w:t>
      </w:r>
      <w:bookmarkEnd w:id="503"/>
      <w:bookmarkEnd w:id="504"/>
      <w:bookmarkEnd w:id="505"/>
      <w:bookmarkEnd w:id="506"/>
      <w:bookmarkEnd w:id="507"/>
      <w:bookmarkEnd w:id="508"/>
      <w:bookmarkEnd w:id="509"/>
      <w:bookmarkEnd w:id="510"/>
    </w:p>
    <w:p>
      <w:pPr>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sz w:val="32"/>
          <w:szCs w:val="32"/>
        </w:rPr>
      </w:pPr>
      <w:r>
        <w:rPr>
          <w:rFonts w:hint="eastAsia" w:ascii="仿宋" w:hAnsi="仿宋" w:eastAsia="仿宋" w:cs="仿宋"/>
          <w:b/>
          <w:bCs/>
          <w:sz w:val="32"/>
          <w:szCs w:val="32"/>
        </w:rPr>
        <w:t>草原生态环境质量持续改善。</w:t>
      </w:r>
      <w:r>
        <w:rPr>
          <w:rFonts w:hint="eastAsia" w:ascii="仿宋" w:hAnsi="仿宋" w:eastAsia="仿宋" w:cs="仿宋"/>
          <w:sz w:val="32"/>
          <w:szCs w:val="32"/>
        </w:rPr>
        <w:t>规划实施期间，全盟草原生态保护力度不断加强，严守草原生态保护红线，贯彻落实新一轮草原生态保护补助奖励政策，加大草原执法监管力度，实施重点生态建设工程，落实草原禁牧和草畜平衡制度，草场退化</w:t>
      </w:r>
      <w:r>
        <w:rPr>
          <w:rFonts w:hint="eastAsia" w:ascii="仿宋" w:hAnsi="仿宋" w:eastAsia="仿宋" w:cs="仿宋"/>
          <w:sz w:val="32"/>
          <w:szCs w:val="32"/>
          <w:lang w:eastAsia="zh-CN"/>
        </w:rPr>
        <w:t>将</w:t>
      </w:r>
      <w:r>
        <w:rPr>
          <w:rFonts w:hint="eastAsia" w:ascii="仿宋" w:hAnsi="仿宋" w:eastAsia="仿宋" w:cs="仿宋"/>
          <w:sz w:val="32"/>
          <w:szCs w:val="32"/>
        </w:rPr>
        <w:t>得到有效控制，草原植被稳步恢复，生态环境明显改善。</w:t>
      </w:r>
    </w:p>
    <w:p>
      <w:pPr>
        <w:pageBreakBefore w:val="0"/>
        <w:widowControl w:val="0"/>
        <w:kinsoku/>
        <w:wordWrap/>
        <w:overflowPunct/>
        <w:topLinePunct w:val="0"/>
        <w:autoSpaceDE/>
        <w:autoSpaceDN/>
        <w:bidi w:val="0"/>
        <w:adjustRightInd/>
        <w:snapToGrid/>
        <w:spacing w:line="600" w:lineRule="exact"/>
        <w:ind w:firstLine="643" w:firstLineChars="200"/>
        <w:textAlignment w:val="auto"/>
        <w:rPr>
          <w:rFonts w:ascii="仿宋" w:hAnsi="仿宋" w:eastAsia="仿宋" w:cs="Times New Roman"/>
          <w:sz w:val="32"/>
          <w:szCs w:val="32"/>
        </w:rPr>
      </w:pPr>
      <w:r>
        <w:rPr>
          <w:rFonts w:hint="eastAsia" w:ascii="仿宋" w:hAnsi="仿宋" w:eastAsia="仿宋" w:cs="仿宋"/>
          <w:b/>
          <w:bCs/>
          <w:sz w:val="32"/>
          <w:szCs w:val="32"/>
        </w:rPr>
        <w:t>人居环境质量明显提升。</w:t>
      </w:r>
      <w:r>
        <w:rPr>
          <w:rFonts w:hint="eastAsia" w:ascii="仿宋" w:hAnsi="仿宋" w:eastAsia="仿宋" w:cs="仿宋"/>
          <w:sz w:val="32"/>
          <w:szCs w:val="32"/>
        </w:rPr>
        <w:t>规划实施期间，全盟进一步加强人居环境整治力度。扎实推进“厕所革命”，卫生户厕普及率逐步提高。完善苏木</w:t>
      </w:r>
      <w:r>
        <w:rPr>
          <w:rFonts w:hint="eastAsia" w:ascii="仿宋" w:hAnsi="仿宋" w:eastAsia="仿宋" w:cs="仿宋"/>
          <w:sz w:val="32"/>
          <w:szCs w:val="32"/>
          <w:lang w:eastAsia="zh-CN"/>
        </w:rPr>
        <w:t>乡</w:t>
      </w:r>
      <w:r>
        <w:rPr>
          <w:rFonts w:hint="eastAsia" w:ascii="仿宋" w:hAnsi="仿宋" w:eastAsia="仿宋" w:cs="仿宋"/>
          <w:sz w:val="32"/>
          <w:szCs w:val="32"/>
        </w:rPr>
        <w:t>镇嘎查村生活垃圾收集处理的</w:t>
      </w:r>
      <w:r>
        <w:rPr>
          <w:rFonts w:hint="eastAsia" w:ascii="仿宋" w:hAnsi="仿宋" w:eastAsia="仿宋" w:cs="Times New Roman"/>
          <w:sz w:val="32"/>
          <w:szCs w:val="32"/>
        </w:rPr>
        <w:t>基础设施建设，农村牧区生活垃圾得到有效治理，农村牧区污水治理得到有效管控。与此同时，通过加快治理农牧业领域环境问题，持续推进农牧业生产废弃物资源化利用、秸秆综合利用，产地环境不断净化，面源污染逐步减少。“十四五”期间，全盟农村牧区水、电、路、讯等基础设施不断完善，村容村貌得到</w:t>
      </w:r>
      <w:r>
        <w:rPr>
          <w:rFonts w:hint="eastAsia" w:ascii="仿宋" w:hAnsi="仿宋" w:eastAsia="仿宋" w:cs="Times New Roman"/>
          <w:sz w:val="32"/>
          <w:szCs w:val="32"/>
          <w:lang w:eastAsia="zh-CN"/>
        </w:rPr>
        <w:t>整体</w:t>
      </w:r>
      <w:r>
        <w:rPr>
          <w:rFonts w:hint="eastAsia" w:ascii="仿宋" w:hAnsi="仿宋" w:eastAsia="仿宋" w:cs="Times New Roman"/>
          <w:sz w:val="32"/>
          <w:szCs w:val="32"/>
        </w:rPr>
        <w:t>提升，嘎查村宜居水平进一步提高，人居环境质量将得到有效改善。</w:t>
      </w:r>
    </w:p>
    <w:p>
      <w:pPr>
        <w:pStyle w:val="4"/>
        <w:pageBreakBefore w:val="0"/>
        <w:widowControl w:val="0"/>
        <w:kinsoku/>
        <w:wordWrap/>
        <w:overflowPunct/>
        <w:topLinePunct w:val="0"/>
        <w:autoSpaceDE/>
        <w:autoSpaceDN/>
        <w:bidi w:val="0"/>
        <w:adjustRightInd/>
        <w:snapToGrid/>
        <w:spacing w:before="156" w:beforeLines="50" w:after="156" w:afterLines="50" w:line="600" w:lineRule="exact"/>
        <w:textAlignment w:val="auto"/>
        <w:rPr>
          <w:rFonts w:ascii="Calibri Light" w:hAnsi="Calibri Light" w:cs="Times New Roman"/>
          <w:b w:val="0"/>
          <w:bCs w:val="0"/>
          <w:sz w:val="32"/>
          <w:szCs w:val="32"/>
        </w:rPr>
      </w:pPr>
      <w:bookmarkStart w:id="511" w:name="_Toc14922"/>
      <w:bookmarkStart w:id="512" w:name="_Toc67985821"/>
      <w:bookmarkStart w:id="513" w:name="_Toc23200"/>
      <w:bookmarkStart w:id="514" w:name="_Toc780670889_WPSOffice_Level2"/>
      <w:bookmarkStart w:id="515" w:name="_Toc19497"/>
      <w:bookmarkStart w:id="516" w:name="_Toc59000600"/>
      <w:bookmarkStart w:id="517" w:name="_Toc32490"/>
      <w:bookmarkStart w:id="518" w:name="_Toc58870227"/>
      <w:r>
        <w:rPr>
          <w:rFonts w:hint="eastAsia" w:ascii="Calibri Light" w:hAnsi="Calibri Light" w:cs="Times New Roman"/>
          <w:b w:val="0"/>
          <w:bCs w:val="0"/>
          <w:sz w:val="32"/>
          <w:szCs w:val="32"/>
        </w:rPr>
        <w:t>第二节 不利影响</w:t>
      </w:r>
      <w:bookmarkEnd w:id="511"/>
      <w:bookmarkEnd w:id="512"/>
      <w:bookmarkEnd w:id="513"/>
      <w:bookmarkEnd w:id="514"/>
      <w:bookmarkEnd w:id="515"/>
      <w:bookmarkEnd w:id="516"/>
      <w:bookmarkEnd w:id="517"/>
      <w:bookmarkEnd w:id="518"/>
    </w:p>
    <w:p>
      <w:pPr>
        <w:pStyle w:val="2"/>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sz w:val="32"/>
          <w:szCs w:val="32"/>
        </w:rPr>
      </w:pPr>
      <w:r>
        <w:rPr>
          <w:rFonts w:hint="eastAsia" w:ascii="仿宋" w:hAnsi="仿宋" w:eastAsia="仿宋" w:cs="仿宋"/>
          <w:b/>
          <w:bCs/>
          <w:sz w:val="32"/>
          <w:szCs w:val="32"/>
        </w:rPr>
        <w:t>对大气的影响。</w:t>
      </w:r>
      <w:r>
        <w:rPr>
          <w:rFonts w:hint="eastAsia" w:ascii="仿宋" w:hAnsi="仿宋" w:eastAsia="仿宋" w:cs="仿宋"/>
          <w:sz w:val="32"/>
          <w:szCs w:val="32"/>
        </w:rPr>
        <w:t>畜牧业排放气体主要来源于养殖场畜禽圈舍</w:t>
      </w:r>
      <w:r>
        <w:rPr>
          <w:rFonts w:hint="eastAsia" w:ascii="仿宋" w:hAnsi="仿宋" w:eastAsia="仿宋" w:cs="仿宋"/>
          <w:sz w:val="32"/>
          <w:szCs w:val="32"/>
          <w:lang w:eastAsia="zh-CN"/>
        </w:rPr>
        <w:t>、</w:t>
      </w:r>
      <w:r>
        <w:rPr>
          <w:rFonts w:hint="eastAsia" w:ascii="仿宋" w:hAnsi="仿宋" w:eastAsia="仿宋" w:cs="仿宋"/>
          <w:sz w:val="32"/>
          <w:szCs w:val="32"/>
        </w:rPr>
        <w:t>粪污处理以及屠宰场待宰车间、污水处理设施等方面。臭气主要是由畜禽粪尿发酵分解产生，畜禽粪尿中含有大量碳水化合物和含氮化合物，在厌氧条件</w:t>
      </w:r>
      <w:r>
        <w:rPr>
          <w:rFonts w:hint="eastAsia" w:ascii="仿宋" w:hAnsi="仿宋" w:eastAsia="仿宋" w:cs="仿宋"/>
          <w:sz w:val="32"/>
          <w:szCs w:val="32"/>
          <w:lang w:eastAsia="zh-CN"/>
        </w:rPr>
        <w:t>下</w:t>
      </w:r>
      <w:r>
        <w:rPr>
          <w:rFonts w:hint="eastAsia" w:ascii="仿宋" w:hAnsi="仿宋" w:eastAsia="仿宋" w:cs="仿宋"/>
          <w:sz w:val="32"/>
          <w:szCs w:val="32"/>
        </w:rPr>
        <w:t>可产生大量氨、硫化氢、甲烷、有机酸、乙烯醇、硫酸二甲硫醚等有异味的有害气体，如果粪便清理和处理不及时、不妥当，气体浓度会成倍增加。规划期间，随着各类项目的建设实施，将会对农村牧区空气等环境产生一定影响。</w:t>
      </w:r>
    </w:p>
    <w:p>
      <w:pPr>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sz w:val="32"/>
          <w:szCs w:val="32"/>
        </w:rPr>
      </w:pPr>
      <w:r>
        <w:rPr>
          <w:rFonts w:hint="eastAsia" w:ascii="仿宋" w:hAnsi="仿宋" w:eastAsia="仿宋" w:cs="仿宋"/>
          <w:b/>
          <w:bCs/>
          <w:sz w:val="32"/>
          <w:szCs w:val="32"/>
        </w:rPr>
        <w:t>对水资源的影响。</w:t>
      </w:r>
      <w:r>
        <w:rPr>
          <w:rFonts w:hint="eastAsia" w:ascii="仿宋" w:hAnsi="仿宋" w:eastAsia="仿宋" w:cs="仿宋"/>
          <w:sz w:val="32"/>
          <w:szCs w:val="32"/>
        </w:rPr>
        <w:t>规划期间，将培育大量新型农牧业经营主体，会造成清洗牛羊养殖场时产生冲洗废水。冲洗废水的主要成分为BOD、COD、N</w:t>
      </w:r>
      <w:r>
        <w:rPr>
          <w:rFonts w:hint="eastAsia" w:ascii="仿宋" w:hAnsi="仿宋" w:eastAsia="仿宋" w:cs="仿宋"/>
          <w:sz w:val="32"/>
          <w:szCs w:val="32"/>
          <w:vertAlign w:val="subscript"/>
        </w:rPr>
        <w:t>3</w:t>
      </w:r>
      <w:r>
        <w:rPr>
          <w:rFonts w:hint="eastAsia" w:ascii="仿宋" w:hAnsi="仿宋" w:eastAsia="仿宋" w:cs="仿宋"/>
          <w:sz w:val="32"/>
          <w:szCs w:val="32"/>
        </w:rPr>
        <w:t>H－N、TP等有机污染物，通过降雨溢流形成地表径流进入地表水，使得地表水富营养化；通过渗漏淋溶等方式进入地下水，污染地下水，危害人</w:t>
      </w:r>
      <w:r>
        <w:rPr>
          <w:rFonts w:hint="eastAsia" w:ascii="仿宋" w:hAnsi="仿宋" w:eastAsia="仿宋" w:cs="仿宋"/>
          <w:sz w:val="32"/>
          <w:szCs w:val="32"/>
          <w:lang w:eastAsia="zh-CN"/>
        </w:rPr>
        <w:t>体</w:t>
      </w:r>
      <w:r>
        <w:rPr>
          <w:rFonts w:hint="eastAsia" w:ascii="仿宋" w:hAnsi="仿宋" w:eastAsia="仿宋" w:cs="仿宋"/>
          <w:sz w:val="32"/>
          <w:szCs w:val="32"/>
        </w:rPr>
        <w:t>健康。</w:t>
      </w:r>
      <w:r>
        <w:rPr>
          <w:rFonts w:hint="eastAsia" w:ascii="仿宋" w:hAnsi="仿宋" w:eastAsia="仿宋" w:cs="仿宋"/>
          <w:sz w:val="32"/>
          <w:szCs w:val="32"/>
          <w:lang w:eastAsia="zh-CN"/>
        </w:rPr>
        <w:t>虽然</w:t>
      </w:r>
      <w:r>
        <w:rPr>
          <w:rFonts w:hint="eastAsia" w:ascii="仿宋" w:hAnsi="仿宋" w:eastAsia="仿宋" w:cs="仿宋"/>
          <w:sz w:val="32"/>
          <w:szCs w:val="32"/>
        </w:rPr>
        <w:t>农村牧区生活污水</w:t>
      </w:r>
      <w:r>
        <w:rPr>
          <w:rFonts w:hint="eastAsia" w:ascii="仿宋" w:hAnsi="仿宋" w:eastAsia="仿宋" w:cs="仿宋"/>
          <w:sz w:val="32"/>
          <w:szCs w:val="32"/>
          <w:lang w:eastAsia="zh-CN"/>
        </w:rPr>
        <w:t>能够</w:t>
      </w:r>
      <w:r>
        <w:rPr>
          <w:rFonts w:hint="eastAsia" w:ascii="仿宋" w:hAnsi="仿宋" w:eastAsia="仿宋" w:cs="仿宋"/>
          <w:sz w:val="32"/>
          <w:szCs w:val="32"/>
        </w:rPr>
        <w:t>得到有效控制，但仍无法在根本上消除。此外，规划的实施还会使全盟水资源压力进一步加大。随着水资源约束趋紧，农牧产业发展过程中由于对水资源的消耗，导致其与节能减排降耗的矛盾依然存在，全盟水资源承载压力加剧的风险不容忽视。</w:t>
      </w:r>
    </w:p>
    <w:p>
      <w:pPr>
        <w:pStyle w:val="2"/>
        <w:pageBreakBefore w:val="0"/>
        <w:widowControl w:val="0"/>
        <w:kinsoku/>
        <w:wordWrap/>
        <w:overflowPunct/>
        <w:topLinePunct w:val="0"/>
        <w:autoSpaceDE/>
        <w:autoSpaceDN/>
        <w:bidi w:val="0"/>
        <w:adjustRightInd/>
        <w:snapToGrid/>
        <w:spacing w:line="600" w:lineRule="exact"/>
        <w:ind w:firstLine="643" w:firstLineChars="200"/>
        <w:textAlignment w:val="auto"/>
        <w:rPr>
          <w:rFonts w:ascii="仿宋" w:hAnsi="仿宋" w:eastAsia="仿宋" w:cs="Times New Roman"/>
          <w:sz w:val="32"/>
          <w:szCs w:val="32"/>
        </w:rPr>
      </w:pPr>
      <w:r>
        <w:rPr>
          <w:rFonts w:hint="eastAsia" w:ascii="仿宋" w:hAnsi="仿宋" w:eastAsia="仿宋" w:cs="仿宋"/>
          <w:b/>
          <w:bCs/>
          <w:sz w:val="32"/>
          <w:szCs w:val="32"/>
        </w:rPr>
        <w:t>对土壤的影响。</w:t>
      </w:r>
      <w:r>
        <w:rPr>
          <w:rFonts w:hint="eastAsia" w:ascii="仿宋" w:hAnsi="仿宋" w:eastAsia="仿宋" w:cs="仿宋"/>
          <w:sz w:val="32"/>
          <w:szCs w:val="32"/>
        </w:rPr>
        <w:t>未经处理的畜禽粪污施入农田后会出现不完全降解或厌氧腐解，产生</w:t>
      </w:r>
      <w:r>
        <w:rPr>
          <w:rFonts w:hint="eastAsia" w:ascii="仿宋" w:hAnsi="仿宋" w:eastAsia="仿宋" w:cs="Times New Roman"/>
          <w:sz w:val="32"/>
          <w:szCs w:val="32"/>
        </w:rPr>
        <w:t>恶臭物质和亚硝酸盐等有害物质，引起土壤成分和性状发生改变，破坏土壤的基本功能。同时，由于养殖施用抗生素和微量重金属元素，抗生素和微量重金属元素会随着粪污进入周边土壤，富集后造成抗生素和重金属超标，产生土壤污染。此外，规划虽对农药、化肥、地膜的使用做了相关要求，但并不会全面消除农业面源污染，对土壤的污染危害依然存在。</w:t>
      </w:r>
    </w:p>
    <w:p>
      <w:pPr>
        <w:pStyle w:val="4"/>
        <w:pageBreakBefore w:val="0"/>
        <w:widowControl w:val="0"/>
        <w:kinsoku/>
        <w:wordWrap/>
        <w:overflowPunct/>
        <w:topLinePunct w:val="0"/>
        <w:autoSpaceDE/>
        <w:autoSpaceDN/>
        <w:bidi w:val="0"/>
        <w:adjustRightInd/>
        <w:snapToGrid/>
        <w:spacing w:before="156" w:beforeLines="50" w:after="156" w:afterLines="50" w:line="600" w:lineRule="exact"/>
        <w:textAlignment w:val="auto"/>
        <w:rPr>
          <w:rFonts w:ascii="Calibri Light" w:hAnsi="Calibri Light" w:cs="Times New Roman"/>
          <w:b w:val="0"/>
          <w:bCs w:val="0"/>
          <w:sz w:val="32"/>
          <w:szCs w:val="32"/>
        </w:rPr>
      </w:pPr>
      <w:bookmarkStart w:id="519" w:name="_Toc59000604"/>
      <w:bookmarkStart w:id="520" w:name="_Toc22144"/>
      <w:bookmarkStart w:id="521" w:name="_Toc22536"/>
      <w:bookmarkStart w:id="522" w:name="_Toc21259"/>
      <w:bookmarkStart w:id="523" w:name="_Toc255207481_WPSOffice_Level2"/>
      <w:bookmarkStart w:id="524" w:name="_Toc67985822"/>
      <w:bookmarkStart w:id="525" w:name="_Toc25787"/>
      <w:bookmarkStart w:id="526" w:name="_Toc58870231"/>
      <w:r>
        <w:rPr>
          <w:rFonts w:hint="eastAsia" w:ascii="Calibri Light" w:hAnsi="Calibri Light" w:cs="Times New Roman"/>
          <w:b w:val="0"/>
          <w:bCs w:val="0"/>
          <w:sz w:val="32"/>
          <w:szCs w:val="32"/>
        </w:rPr>
        <w:t>第三节 初步评价</w:t>
      </w:r>
      <w:bookmarkEnd w:id="519"/>
      <w:bookmarkEnd w:id="520"/>
      <w:bookmarkEnd w:id="521"/>
      <w:bookmarkEnd w:id="522"/>
      <w:bookmarkEnd w:id="523"/>
      <w:bookmarkEnd w:id="524"/>
      <w:bookmarkEnd w:id="525"/>
      <w:bookmarkEnd w:id="526"/>
    </w:p>
    <w:p>
      <w:pPr>
        <w:pageBreakBefore w:val="0"/>
        <w:widowControl w:val="0"/>
        <w:kinsoku/>
        <w:wordWrap/>
        <w:overflowPunct/>
        <w:topLinePunct w:val="0"/>
        <w:autoSpaceDE/>
        <w:autoSpaceDN/>
        <w:bidi w:val="0"/>
        <w:adjustRightInd/>
        <w:snapToGrid/>
        <w:spacing w:line="600" w:lineRule="exact"/>
        <w:ind w:firstLine="640" w:firstLineChars="200"/>
        <w:textAlignment w:val="auto"/>
        <w:rPr>
          <w:rFonts w:ascii="仿宋" w:hAnsi="仿宋" w:eastAsia="仿宋" w:cs="Times New Roman"/>
          <w:sz w:val="32"/>
          <w:szCs w:val="32"/>
        </w:rPr>
      </w:pPr>
      <w:r>
        <w:rPr>
          <w:rFonts w:hint="eastAsia" w:ascii="仿宋" w:hAnsi="仿宋" w:eastAsia="仿宋" w:cs="Times New Roman"/>
          <w:sz w:val="32"/>
          <w:szCs w:val="32"/>
        </w:rPr>
        <w:t>经过对比分析，</w:t>
      </w:r>
      <w:r>
        <w:rPr>
          <w:rFonts w:ascii="仿宋" w:hAnsi="仿宋" w:eastAsia="仿宋" w:cs="Times New Roman"/>
          <w:sz w:val="32"/>
          <w:szCs w:val="32"/>
        </w:rPr>
        <w:t>规划统筹考虑资源环境承载能力、现有产业基础、制约瓶颈和发展潜力，提出了比较科学合理的发展思路、区域布局、重点任务和保障措施。</w:t>
      </w:r>
      <w:r>
        <w:rPr>
          <w:rFonts w:hint="eastAsia" w:ascii="仿宋" w:hAnsi="仿宋" w:eastAsia="仿宋" w:cs="Times New Roman"/>
          <w:sz w:val="32"/>
          <w:szCs w:val="32"/>
        </w:rPr>
        <w:t>总体来看，规划实施对生态环境的影响是有利的，也存在一些不利影响，但多数不利影响都是暂时的、可控的。通过严格执行规划，</w:t>
      </w:r>
      <w:r>
        <w:rPr>
          <w:rFonts w:hint="eastAsia" w:ascii="仿宋" w:hAnsi="仿宋" w:eastAsia="仿宋" w:cs="Times New Roman"/>
          <w:sz w:val="32"/>
          <w:szCs w:val="32"/>
          <w:lang w:eastAsia="zh-CN"/>
        </w:rPr>
        <w:t>落实相关法律法规要求，产生的废气、废水等污染物达标排放，固体废弃物实现循环利用，</w:t>
      </w:r>
      <w:r>
        <w:rPr>
          <w:rFonts w:hint="eastAsia" w:ascii="仿宋" w:hAnsi="仿宋" w:eastAsia="仿宋" w:cs="Times New Roman"/>
          <w:sz w:val="32"/>
          <w:szCs w:val="32"/>
        </w:rPr>
        <w:t>将最大程度减轻</w:t>
      </w:r>
      <w:r>
        <w:rPr>
          <w:rFonts w:hint="eastAsia" w:ascii="仿宋" w:hAnsi="仿宋" w:eastAsia="仿宋" w:cs="Times New Roman"/>
          <w:sz w:val="32"/>
          <w:szCs w:val="32"/>
          <w:lang w:eastAsia="zh-CN"/>
        </w:rPr>
        <w:t>和避免</w:t>
      </w:r>
      <w:r>
        <w:rPr>
          <w:rFonts w:hint="eastAsia" w:ascii="仿宋" w:hAnsi="仿宋" w:eastAsia="仿宋" w:cs="Times New Roman"/>
          <w:sz w:val="32"/>
          <w:szCs w:val="32"/>
        </w:rPr>
        <w:t>农牧业生产对生态环境的不利影响。</w:t>
      </w:r>
    </w:p>
    <w:p>
      <w:pPr>
        <w:pStyle w:val="4"/>
        <w:pageBreakBefore w:val="0"/>
        <w:widowControl w:val="0"/>
        <w:kinsoku/>
        <w:wordWrap/>
        <w:overflowPunct/>
        <w:topLinePunct w:val="0"/>
        <w:autoSpaceDE/>
        <w:autoSpaceDN/>
        <w:bidi w:val="0"/>
        <w:adjustRightInd/>
        <w:snapToGrid/>
        <w:spacing w:before="156" w:beforeLines="50" w:after="156" w:afterLines="50" w:line="600" w:lineRule="exact"/>
        <w:textAlignment w:val="auto"/>
        <w:rPr>
          <w:rFonts w:ascii="Calibri Light" w:hAnsi="Calibri Light" w:cs="Times New Roman"/>
          <w:b w:val="0"/>
          <w:bCs w:val="0"/>
          <w:sz w:val="32"/>
          <w:szCs w:val="32"/>
        </w:rPr>
      </w:pPr>
      <w:bookmarkStart w:id="527" w:name="_Toc1862"/>
      <w:bookmarkStart w:id="528" w:name="_Toc67985823"/>
      <w:bookmarkStart w:id="529" w:name="_Toc4798"/>
      <w:bookmarkStart w:id="530" w:name="_Toc28710"/>
      <w:bookmarkStart w:id="531" w:name="_Toc22425"/>
      <w:bookmarkStart w:id="532" w:name="_Toc1838528168_WPSOffice_Level2"/>
      <w:bookmarkStart w:id="533" w:name="_Toc58870232"/>
      <w:bookmarkStart w:id="534" w:name="_Toc59000605"/>
      <w:r>
        <w:rPr>
          <w:rFonts w:hint="eastAsia" w:ascii="Calibri Light" w:hAnsi="Calibri Light" w:cs="Times New Roman"/>
          <w:b w:val="0"/>
          <w:bCs w:val="0"/>
          <w:sz w:val="32"/>
          <w:szCs w:val="32"/>
        </w:rPr>
        <w:t>第四节 对策措施</w:t>
      </w:r>
      <w:bookmarkEnd w:id="527"/>
      <w:bookmarkEnd w:id="528"/>
      <w:bookmarkEnd w:id="529"/>
      <w:bookmarkEnd w:id="530"/>
      <w:bookmarkEnd w:id="531"/>
      <w:bookmarkEnd w:id="532"/>
      <w:bookmarkEnd w:id="533"/>
      <w:bookmarkEnd w:id="534"/>
    </w:p>
    <w:p>
      <w:pPr>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sz w:val="32"/>
          <w:szCs w:val="32"/>
        </w:rPr>
      </w:pPr>
      <w:bookmarkStart w:id="535" w:name="_Toc59000606"/>
      <w:bookmarkStart w:id="536" w:name="_Toc58870233"/>
      <w:r>
        <w:rPr>
          <w:rFonts w:hint="eastAsia" w:ascii="仿宋" w:hAnsi="仿宋" w:eastAsia="仿宋" w:cs="仿宋"/>
          <w:b/>
          <w:bCs/>
          <w:sz w:val="32"/>
          <w:szCs w:val="32"/>
        </w:rPr>
        <w:t>切断臭气产生途径。</w:t>
      </w:r>
      <w:r>
        <w:rPr>
          <w:rFonts w:hint="eastAsia" w:ascii="仿宋" w:hAnsi="仿宋" w:eastAsia="仿宋" w:cs="仿宋"/>
          <w:sz w:val="32"/>
          <w:szCs w:val="32"/>
        </w:rPr>
        <w:t>通过控制饲养密度、加强舍内通风、采用节水型饮水器、及时清粪、绿化等措施抑制或减少臭气的产生，粪污处理各单元宜采用密闭形式，密闭的粪污处理站</w:t>
      </w:r>
      <w:r>
        <w:rPr>
          <w:rFonts w:hint="eastAsia" w:ascii="仿宋" w:hAnsi="仿宋" w:eastAsia="仿宋" w:cs="仿宋"/>
          <w:sz w:val="32"/>
          <w:szCs w:val="32"/>
          <w:lang w:eastAsia="zh-CN"/>
        </w:rPr>
        <w:t>点</w:t>
      </w:r>
      <w:r>
        <w:rPr>
          <w:rFonts w:hint="eastAsia" w:ascii="仿宋" w:hAnsi="仿宋" w:eastAsia="仿宋" w:cs="仿宋"/>
          <w:sz w:val="32"/>
          <w:szCs w:val="32"/>
        </w:rPr>
        <w:t>宜</w:t>
      </w:r>
      <w:r>
        <w:rPr>
          <w:rFonts w:hint="eastAsia" w:ascii="仿宋" w:hAnsi="仿宋" w:eastAsia="仿宋" w:cs="仿宋"/>
          <w:sz w:val="32"/>
          <w:szCs w:val="32"/>
          <w:lang w:eastAsia="zh-CN"/>
        </w:rPr>
        <w:t>建设</w:t>
      </w:r>
      <w:r>
        <w:rPr>
          <w:rFonts w:hint="eastAsia" w:ascii="仿宋" w:hAnsi="仿宋" w:eastAsia="仿宋" w:cs="仿宋"/>
          <w:sz w:val="32"/>
          <w:szCs w:val="32"/>
        </w:rPr>
        <w:t>恶臭集中处理设施，</w:t>
      </w:r>
      <w:r>
        <w:rPr>
          <w:rFonts w:hint="eastAsia" w:ascii="仿宋" w:hAnsi="仿宋" w:eastAsia="仿宋" w:cs="仿宋"/>
          <w:sz w:val="32"/>
          <w:szCs w:val="32"/>
          <w:lang w:eastAsia="zh-CN"/>
        </w:rPr>
        <w:t>使</w:t>
      </w:r>
      <w:r>
        <w:rPr>
          <w:rFonts w:hint="eastAsia" w:ascii="仿宋" w:hAnsi="仿宋" w:eastAsia="仿宋" w:cs="仿宋"/>
          <w:sz w:val="32"/>
          <w:szCs w:val="32"/>
        </w:rPr>
        <w:t>各类生产过程中产生的臭气集中收集处理后排放，减少恶臭对周围环境的影响，达到《恶臭污染物排放标准》（GB14554）、《畜禽养殖业污染物排放标准》（GB18596）相关排放要求。</w:t>
      </w:r>
    </w:p>
    <w:bookmarkEnd w:id="535"/>
    <w:bookmarkEnd w:id="536"/>
    <w:p>
      <w:pPr>
        <w:pageBreakBefore w:val="0"/>
        <w:widowControl w:val="0"/>
        <w:kinsoku/>
        <w:wordWrap/>
        <w:overflowPunct/>
        <w:topLinePunct w:val="0"/>
        <w:autoSpaceDE/>
        <w:autoSpaceDN/>
        <w:bidi w:val="0"/>
        <w:adjustRightInd/>
        <w:snapToGrid/>
        <w:spacing w:line="600" w:lineRule="exact"/>
        <w:ind w:firstLine="643" w:firstLineChars="200"/>
        <w:textAlignment w:val="auto"/>
        <w:rPr>
          <w:rFonts w:hint="eastAsia" w:ascii="仿宋" w:hAnsi="仿宋" w:eastAsia="仿宋" w:cs="仿宋"/>
          <w:sz w:val="32"/>
          <w:szCs w:val="32"/>
        </w:rPr>
      </w:pPr>
      <w:r>
        <w:rPr>
          <w:rFonts w:hint="eastAsia" w:ascii="仿宋" w:hAnsi="仿宋" w:eastAsia="仿宋" w:cs="仿宋"/>
          <w:b/>
          <w:bCs/>
          <w:sz w:val="32"/>
          <w:szCs w:val="32"/>
        </w:rPr>
        <w:t>加强农牧业节水用水。</w:t>
      </w:r>
      <w:r>
        <w:rPr>
          <w:rFonts w:hint="eastAsia" w:ascii="仿宋" w:hAnsi="仿宋" w:eastAsia="仿宋" w:cs="仿宋"/>
          <w:sz w:val="32"/>
          <w:szCs w:val="32"/>
        </w:rPr>
        <w:t>强化农牧业取水许可制度，对农牧业取用地下水的</w:t>
      </w:r>
      <w:r>
        <w:rPr>
          <w:rFonts w:hint="eastAsia" w:ascii="仿宋" w:hAnsi="仿宋" w:eastAsia="仿宋" w:cs="仿宋"/>
          <w:sz w:val="32"/>
          <w:szCs w:val="32"/>
          <w:lang w:eastAsia="zh-CN"/>
        </w:rPr>
        <w:t>工程</w:t>
      </w:r>
      <w:r>
        <w:rPr>
          <w:rFonts w:hint="eastAsia" w:ascii="仿宋" w:hAnsi="仿宋" w:eastAsia="仿宋" w:cs="仿宋"/>
          <w:sz w:val="32"/>
          <w:szCs w:val="32"/>
        </w:rPr>
        <w:t>项目，依法履行水资源论证和取水许可手续。实行地下水用途管控，严格按照取水用途，实施分质供水，充分配置再生水、合理利用地表水、严格控制使用地下水。加强农牧业节水，深入推进农牧业水价综合改革，把农牧业用水效率提上去、总量省出来。进一步加大水资源保护和水污染防治工作力度。严格依法实施饮用水水源保护区制度，合理确定饮用水水源保护区，严格禁止破坏涵养林和水资源保护设施行为，因地制宜进行水源安全保护、生态修复和水源涵养等工程建设。</w:t>
      </w:r>
    </w:p>
    <w:p>
      <w:pPr>
        <w:pStyle w:val="2"/>
        <w:pageBreakBefore w:val="0"/>
        <w:widowControl w:val="0"/>
        <w:kinsoku/>
        <w:wordWrap/>
        <w:overflowPunct/>
        <w:topLinePunct w:val="0"/>
        <w:autoSpaceDE/>
        <w:autoSpaceDN/>
        <w:bidi w:val="0"/>
        <w:adjustRightInd/>
        <w:snapToGrid/>
        <w:spacing w:line="600" w:lineRule="exact"/>
        <w:ind w:firstLine="643" w:firstLineChars="200"/>
        <w:textAlignment w:val="auto"/>
        <w:rPr>
          <w:rFonts w:ascii="仿宋" w:hAnsi="仿宋" w:eastAsia="仿宋" w:cs="Times New Roman"/>
          <w:sz w:val="32"/>
          <w:szCs w:val="32"/>
        </w:rPr>
      </w:pPr>
      <w:r>
        <w:rPr>
          <w:rFonts w:hint="eastAsia" w:ascii="仿宋" w:hAnsi="仿宋" w:eastAsia="仿宋" w:cs="仿宋"/>
          <w:b/>
          <w:bCs/>
          <w:sz w:val="32"/>
          <w:szCs w:val="32"/>
        </w:rPr>
        <w:t>加大对固体废弃物和土壤污染防治力度。</w:t>
      </w:r>
      <w:r>
        <w:rPr>
          <w:rFonts w:hint="eastAsia" w:ascii="仿宋" w:hAnsi="仿宋" w:eastAsia="仿宋" w:cs="仿宋"/>
          <w:sz w:val="32"/>
          <w:szCs w:val="32"/>
        </w:rPr>
        <w:t>养殖粪污处理方面，继续以集中收集储存点建设、规模养殖场粪污处理设施装备配套、第三方畜禽粪污收集处理机构建设为重点，通过堆积发酵还田还牧、燃料使用、垫料回用、粪肥有机质利用等通用技术模式对畜禽粪污进行综合利</w:t>
      </w:r>
      <w:r>
        <w:rPr>
          <w:rFonts w:hint="eastAsia" w:ascii="仿宋" w:hAnsi="仿宋" w:eastAsia="仿宋" w:cs="Times New Roman"/>
          <w:sz w:val="32"/>
          <w:szCs w:val="32"/>
        </w:rPr>
        <w:t>用，畜禽养殖粪污就地就近消纳，畜禽粪</w:t>
      </w:r>
      <w:r>
        <w:rPr>
          <w:rFonts w:hint="eastAsia" w:ascii="仿宋" w:hAnsi="仿宋" w:eastAsia="仿宋" w:cs="Times New Roman"/>
          <w:sz w:val="32"/>
          <w:szCs w:val="32"/>
          <w:lang w:eastAsia="zh-CN"/>
        </w:rPr>
        <w:t>污</w:t>
      </w:r>
      <w:r>
        <w:rPr>
          <w:rFonts w:hint="eastAsia" w:ascii="仿宋" w:hAnsi="仿宋" w:eastAsia="仿宋" w:cs="Times New Roman"/>
          <w:sz w:val="32"/>
          <w:szCs w:val="32"/>
        </w:rPr>
        <w:t>综合利用率</w:t>
      </w:r>
      <w:r>
        <w:rPr>
          <w:rFonts w:hint="eastAsia" w:ascii="仿宋" w:hAnsi="仿宋" w:eastAsia="仿宋" w:cs="Times New Roman"/>
          <w:sz w:val="32"/>
          <w:szCs w:val="32"/>
          <w:lang w:eastAsia="zh-CN"/>
        </w:rPr>
        <w:t>达到</w:t>
      </w:r>
      <w:r>
        <w:rPr>
          <w:rFonts w:ascii="仿宋" w:hAnsi="仿宋" w:eastAsia="仿宋" w:cs="Times New Roman"/>
          <w:sz w:val="32"/>
          <w:szCs w:val="32"/>
        </w:rPr>
        <w:t>8</w:t>
      </w:r>
      <w:r>
        <w:rPr>
          <w:rFonts w:hint="eastAsia" w:ascii="仿宋" w:hAnsi="仿宋" w:eastAsia="仿宋" w:cs="Times New Roman"/>
          <w:sz w:val="32"/>
          <w:szCs w:val="32"/>
          <w:lang w:val="en-US" w:eastAsia="zh-CN"/>
        </w:rPr>
        <w:t>3</w:t>
      </w:r>
      <w:r>
        <w:rPr>
          <w:rFonts w:ascii="仿宋" w:hAnsi="仿宋" w:eastAsia="仿宋" w:cs="Times New Roman"/>
          <w:sz w:val="32"/>
          <w:szCs w:val="32"/>
        </w:rPr>
        <w:t>%以上。配套建设水肥一体化、</w:t>
      </w:r>
      <w:r>
        <w:rPr>
          <w:rFonts w:hint="eastAsia" w:ascii="仿宋" w:hAnsi="仿宋" w:eastAsia="仿宋" w:cs="Times New Roman"/>
          <w:sz w:val="32"/>
          <w:szCs w:val="32"/>
        </w:rPr>
        <w:t>浅埋滴灌等设施，实现“一控两减三基本”防治目标，通过测土配方施肥技术、精准施肥技术、机械适期适量施肥技术，减少化肥农药使用量，使用低毒、低残留农药，增加有机肥使用量，落实控肥增效、控药减害、控水降耗、控膜提效“四控”行动，实现化肥农药使用量零增长。</w:t>
      </w:r>
      <w:r>
        <w:rPr>
          <w:rFonts w:hint="eastAsia" w:ascii="仿宋" w:hAnsi="仿宋" w:eastAsia="仿宋" w:cs="Times New Roman"/>
          <w:sz w:val="32"/>
          <w:szCs w:val="32"/>
          <w:lang w:eastAsia="zh-CN"/>
        </w:rPr>
        <w:t>对</w:t>
      </w:r>
      <w:r>
        <w:rPr>
          <w:rFonts w:hint="eastAsia" w:ascii="仿宋" w:hAnsi="仿宋" w:eastAsia="仿宋" w:cs="Times New Roman"/>
          <w:sz w:val="32"/>
          <w:szCs w:val="32"/>
        </w:rPr>
        <w:t>农药包装废弃物和废旧农膜开展回收、处理与综合利用。农作物秸秆实现肥料化、饲料化、燃料化、基料化和原料化利用，禁止农作物秸秆等生物质露天焚烧，严禁对区域环境空气质量产生不良影响。</w:t>
      </w:r>
    </w:p>
    <w:p>
      <w:pPr>
        <w:pageBreakBefore w:val="0"/>
        <w:widowControl w:val="0"/>
        <w:kinsoku/>
        <w:wordWrap/>
        <w:overflowPunct/>
        <w:topLinePunct w:val="0"/>
        <w:autoSpaceDE/>
        <w:autoSpaceDN/>
        <w:bidi w:val="0"/>
        <w:adjustRightInd/>
        <w:snapToGrid/>
        <w:spacing w:line="600" w:lineRule="exact"/>
        <w:textAlignment w:val="auto"/>
        <w:rPr>
          <w:rFonts w:ascii="仿宋" w:hAnsi="仿宋" w:eastAsia="仿宋" w:cs="Times New Roman"/>
          <w:sz w:val="32"/>
          <w:szCs w:val="32"/>
        </w:rPr>
      </w:pPr>
    </w:p>
    <w:p>
      <w:pPr>
        <w:pStyle w:val="2"/>
        <w:pageBreakBefore w:val="0"/>
        <w:widowControl w:val="0"/>
        <w:kinsoku/>
        <w:wordWrap/>
        <w:overflowPunct/>
        <w:topLinePunct w:val="0"/>
        <w:autoSpaceDE/>
        <w:autoSpaceDN/>
        <w:bidi w:val="0"/>
        <w:adjustRightInd/>
        <w:snapToGrid/>
        <w:spacing w:line="600" w:lineRule="exact"/>
        <w:textAlignment w:val="auto"/>
        <w:rPr>
          <w:rFonts w:ascii="仿宋" w:hAnsi="仿宋" w:eastAsia="仿宋" w:cs="Times New Roman"/>
          <w:sz w:val="32"/>
          <w:szCs w:val="32"/>
        </w:rPr>
      </w:pPr>
    </w:p>
    <w:p>
      <w:pPr>
        <w:pageBreakBefore w:val="0"/>
        <w:widowControl w:val="0"/>
        <w:kinsoku/>
        <w:wordWrap/>
        <w:overflowPunct/>
        <w:topLinePunct w:val="0"/>
        <w:autoSpaceDE/>
        <w:autoSpaceDN/>
        <w:bidi w:val="0"/>
        <w:adjustRightInd/>
        <w:snapToGrid/>
        <w:spacing w:line="600" w:lineRule="exact"/>
        <w:textAlignment w:val="auto"/>
        <w:rPr>
          <w:rFonts w:ascii="仿宋" w:hAnsi="仿宋" w:eastAsia="仿宋" w:cs="Times New Roman"/>
          <w:sz w:val="32"/>
          <w:szCs w:val="32"/>
        </w:rPr>
      </w:pPr>
    </w:p>
    <w:p>
      <w:pPr>
        <w:pStyle w:val="2"/>
        <w:pageBreakBefore w:val="0"/>
        <w:widowControl w:val="0"/>
        <w:kinsoku/>
        <w:wordWrap/>
        <w:overflowPunct/>
        <w:topLinePunct w:val="0"/>
        <w:autoSpaceDE/>
        <w:autoSpaceDN/>
        <w:bidi w:val="0"/>
        <w:adjustRightInd/>
        <w:snapToGrid/>
        <w:spacing w:line="600" w:lineRule="exact"/>
        <w:textAlignment w:val="auto"/>
        <w:rPr>
          <w:rFonts w:ascii="仿宋" w:hAnsi="仿宋" w:eastAsia="仿宋" w:cs="Times New Roman"/>
          <w:sz w:val="32"/>
          <w:szCs w:val="32"/>
        </w:rPr>
      </w:pPr>
    </w:p>
    <w:p>
      <w:pPr>
        <w:pageBreakBefore w:val="0"/>
        <w:widowControl w:val="0"/>
        <w:kinsoku/>
        <w:wordWrap/>
        <w:overflowPunct/>
        <w:topLinePunct w:val="0"/>
        <w:autoSpaceDE/>
        <w:autoSpaceDN/>
        <w:bidi w:val="0"/>
        <w:adjustRightInd/>
        <w:snapToGrid/>
        <w:spacing w:line="600" w:lineRule="exact"/>
        <w:textAlignment w:val="auto"/>
        <w:rPr>
          <w:rFonts w:ascii="仿宋" w:hAnsi="仿宋" w:eastAsia="仿宋" w:cs="Times New Roman"/>
          <w:sz w:val="32"/>
          <w:szCs w:val="32"/>
        </w:rPr>
      </w:pPr>
    </w:p>
    <w:p>
      <w:pPr>
        <w:pStyle w:val="2"/>
        <w:pageBreakBefore w:val="0"/>
        <w:widowControl w:val="0"/>
        <w:kinsoku/>
        <w:wordWrap/>
        <w:overflowPunct/>
        <w:topLinePunct w:val="0"/>
        <w:autoSpaceDE/>
        <w:autoSpaceDN/>
        <w:bidi w:val="0"/>
        <w:adjustRightInd/>
        <w:snapToGrid/>
        <w:spacing w:line="600" w:lineRule="exact"/>
        <w:textAlignment w:val="auto"/>
        <w:rPr>
          <w:rFonts w:ascii="仿宋" w:hAnsi="仿宋" w:eastAsia="仿宋" w:cs="Times New Roman"/>
          <w:sz w:val="32"/>
          <w:szCs w:val="32"/>
        </w:rPr>
      </w:pPr>
    </w:p>
    <w:p>
      <w:pPr>
        <w:pageBreakBefore w:val="0"/>
        <w:widowControl w:val="0"/>
        <w:kinsoku/>
        <w:wordWrap/>
        <w:overflowPunct/>
        <w:topLinePunct w:val="0"/>
        <w:autoSpaceDE/>
        <w:autoSpaceDN/>
        <w:bidi w:val="0"/>
        <w:adjustRightInd/>
        <w:snapToGrid/>
        <w:spacing w:line="600" w:lineRule="exact"/>
        <w:textAlignment w:val="auto"/>
        <w:rPr>
          <w:rFonts w:ascii="仿宋" w:hAnsi="仿宋" w:eastAsia="仿宋" w:cs="Times New Roman"/>
          <w:sz w:val="32"/>
          <w:szCs w:val="32"/>
        </w:rPr>
      </w:pPr>
    </w:p>
    <w:p>
      <w:pPr>
        <w:pStyle w:val="2"/>
        <w:pageBreakBefore w:val="0"/>
        <w:widowControl w:val="0"/>
        <w:kinsoku/>
        <w:wordWrap/>
        <w:overflowPunct/>
        <w:topLinePunct w:val="0"/>
        <w:autoSpaceDE/>
        <w:autoSpaceDN/>
        <w:bidi w:val="0"/>
        <w:adjustRightInd/>
        <w:snapToGrid/>
        <w:spacing w:line="600" w:lineRule="exact"/>
        <w:textAlignment w:val="auto"/>
        <w:rPr>
          <w:rFonts w:ascii="仿宋" w:hAnsi="仿宋" w:eastAsia="仿宋" w:cs="Times New Roman"/>
          <w:sz w:val="32"/>
          <w:szCs w:val="32"/>
        </w:rPr>
      </w:pPr>
    </w:p>
    <w:p>
      <w:pPr>
        <w:pageBreakBefore w:val="0"/>
        <w:widowControl w:val="0"/>
        <w:kinsoku/>
        <w:wordWrap/>
        <w:overflowPunct/>
        <w:topLinePunct w:val="0"/>
        <w:autoSpaceDE/>
        <w:autoSpaceDN/>
        <w:bidi w:val="0"/>
        <w:adjustRightInd/>
        <w:snapToGrid/>
        <w:spacing w:line="600" w:lineRule="exact"/>
        <w:textAlignment w:val="auto"/>
        <w:rPr>
          <w:rFonts w:ascii="仿宋" w:hAnsi="仿宋" w:eastAsia="仿宋" w:cs="Times New Roman"/>
          <w:sz w:val="32"/>
          <w:szCs w:val="32"/>
        </w:rPr>
      </w:pPr>
    </w:p>
    <w:p>
      <w:pPr>
        <w:pStyle w:val="2"/>
        <w:pageBreakBefore w:val="0"/>
        <w:widowControl w:val="0"/>
        <w:kinsoku/>
        <w:wordWrap/>
        <w:overflowPunct/>
        <w:topLinePunct w:val="0"/>
        <w:autoSpaceDE/>
        <w:autoSpaceDN/>
        <w:bidi w:val="0"/>
        <w:adjustRightInd/>
        <w:snapToGrid/>
        <w:spacing w:line="600" w:lineRule="exact"/>
        <w:textAlignment w:val="auto"/>
        <w:rPr>
          <w:sz w:val="32"/>
          <w:szCs w:val="32"/>
        </w:rPr>
      </w:pPr>
    </w:p>
    <w:p>
      <w:pPr>
        <w:rPr>
          <w:rFonts w:ascii="仿宋" w:hAnsi="仿宋" w:eastAsia="仿宋" w:cs="Times New Roman"/>
        </w:rPr>
      </w:pPr>
    </w:p>
    <w:p>
      <w:pPr>
        <w:pStyle w:val="2"/>
        <w:rPr>
          <w:rFonts w:ascii="仿宋" w:hAnsi="仿宋" w:eastAsia="仿宋" w:cs="Times New Roman"/>
        </w:rPr>
      </w:pPr>
    </w:p>
    <w:p>
      <w:pPr>
        <w:rPr>
          <w:rFonts w:ascii="仿宋" w:hAnsi="仿宋" w:eastAsia="仿宋" w:cs="Times New Roman"/>
        </w:rPr>
      </w:pPr>
    </w:p>
    <w:p>
      <w:pPr>
        <w:pStyle w:val="2"/>
        <w:rPr>
          <w:rFonts w:ascii="仿宋" w:hAnsi="仿宋" w:eastAsia="仿宋" w:cs="Times New Roman"/>
        </w:rPr>
      </w:pPr>
    </w:p>
    <w:p>
      <w:pPr>
        <w:rPr>
          <w:rFonts w:ascii="仿宋" w:hAnsi="仿宋" w:eastAsia="仿宋" w:cs="Times New Roman"/>
        </w:rPr>
      </w:pPr>
    </w:p>
    <w:p>
      <w:pPr>
        <w:pStyle w:val="2"/>
        <w:rPr>
          <w:rFonts w:ascii="仿宋" w:hAnsi="仿宋" w:eastAsia="仿宋" w:cs="Times New Roman"/>
        </w:rPr>
      </w:pPr>
    </w:p>
    <w:p>
      <w:pPr>
        <w:rPr>
          <w:rFonts w:ascii="仿宋" w:hAnsi="仿宋" w:eastAsia="仿宋" w:cs="Times New Roman"/>
        </w:rPr>
      </w:pPr>
    </w:p>
    <w:p>
      <w:pPr>
        <w:pStyle w:val="3"/>
        <w:snapToGrid w:val="0"/>
        <w:spacing w:before="312" w:beforeLines="100" w:after="312" w:afterLines="100" w:line="540" w:lineRule="exact"/>
        <w:jc w:val="center"/>
        <w:rPr>
          <w:rFonts w:hint="eastAsia" w:ascii="方正小标宋简体" w:hAnsi="仿宋" w:eastAsia="方正小标宋简体" w:cs="黑体"/>
          <w:b w:val="0"/>
          <w:color w:val="000000" w:themeColor="text1"/>
          <w:sz w:val="32"/>
          <w:szCs w:val="32"/>
        </w:rPr>
      </w:pPr>
      <w:bookmarkStart w:id="537" w:name="_Toc29310"/>
      <w:bookmarkStart w:id="538" w:name="_Toc14423"/>
      <w:bookmarkStart w:id="539" w:name="_Toc6757"/>
      <w:bookmarkStart w:id="540" w:name="_Toc31289"/>
    </w:p>
    <w:p>
      <w:pPr>
        <w:pStyle w:val="3"/>
        <w:pageBreakBefore w:val="0"/>
        <w:widowControl w:val="0"/>
        <w:kinsoku/>
        <w:wordWrap/>
        <w:overflowPunct/>
        <w:topLinePunct w:val="0"/>
        <w:autoSpaceDE/>
        <w:autoSpaceDN/>
        <w:bidi w:val="0"/>
        <w:adjustRightInd/>
        <w:snapToGrid w:val="0"/>
        <w:spacing w:before="312" w:beforeLines="100" w:after="312" w:afterLines="100" w:line="600" w:lineRule="exact"/>
        <w:jc w:val="center"/>
        <w:textAlignment w:val="auto"/>
        <w:rPr>
          <w:rFonts w:ascii="方正小标宋简体" w:hAnsi="仿宋" w:eastAsia="方正小标宋简体" w:cs="黑体"/>
          <w:b w:val="0"/>
          <w:color w:val="000000" w:themeColor="text1"/>
          <w:sz w:val="44"/>
          <w:szCs w:val="44"/>
        </w:rPr>
      </w:pPr>
      <w:bookmarkStart w:id="541" w:name="_Toc1369886222_WPSOffice_Level1"/>
      <w:r>
        <w:rPr>
          <w:rFonts w:hint="eastAsia" w:ascii="方正小标宋简体" w:hAnsi="仿宋" w:eastAsia="方正小标宋简体" w:cs="黑体"/>
          <w:b w:val="0"/>
          <w:color w:val="000000" w:themeColor="text1"/>
          <w:sz w:val="44"/>
          <w:szCs w:val="44"/>
        </w:rPr>
        <w:t>第十章 保障机制</w:t>
      </w:r>
      <w:bookmarkEnd w:id="500"/>
      <w:bookmarkEnd w:id="501"/>
      <w:bookmarkEnd w:id="537"/>
      <w:bookmarkEnd w:id="538"/>
      <w:bookmarkEnd w:id="539"/>
      <w:bookmarkEnd w:id="540"/>
      <w:bookmarkEnd w:id="541"/>
    </w:p>
    <w:p>
      <w:pPr>
        <w:pStyle w:val="2"/>
        <w:pageBreakBefore w:val="0"/>
        <w:widowControl w:val="0"/>
        <w:kinsoku/>
        <w:wordWrap/>
        <w:overflowPunct/>
        <w:topLinePunct w:val="0"/>
        <w:autoSpaceDE/>
        <w:autoSpaceDN/>
        <w:bidi w:val="0"/>
        <w:adjustRightInd/>
        <w:spacing w:line="600" w:lineRule="exact"/>
        <w:ind w:firstLine="640" w:firstLineChars="200"/>
        <w:textAlignment w:val="auto"/>
        <w:rPr>
          <w:rFonts w:ascii="仿宋" w:hAnsi="仿宋" w:eastAsia="仿宋" w:cs="Times New Roman"/>
        </w:rPr>
      </w:pPr>
      <w:bookmarkStart w:id="542" w:name="_Toc57041454"/>
      <w:bookmarkStart w:id="543" w:name="_Toc26829"/>
      <w:bookmarkStart w:id="544" w:name="_Toc59000610"/>
      <w:bookmarkStart w:id="545" w:name="_Toc58870237"/>
      <w:bookmarkStart w:id="546" w:name="_Toc21470"/>
      <w:r>
        <w:rPr>
          <w:rFonts w:hint="eastAsia" w:ascii="仿宋" w:hAnsi="仿宋" w:eastAsia="仿宋" w:cs="Times New Roman"/>
          <w:lang w:eastAsia="zh-CN"/>
        </w:rPr>
        <w:t>全盟</w:t>
      </w:r>
      <w:r>
        <w:rPr>
          <w:rFonts w:hint="eastAsia" w:ascii="仿宋" w:hAnsi="仿宋" w:eastAsia="仿宋" w:cs="Times New Roman"/>
        </w:rPr>
        <w:t>各级党委、政府要充分认识“十四五”推进农牧业农村牧区现代化发展</w:t>
      </w:r>
      <w:r>
        <w:rPr>
          <w:rFonts w:hint="eastAsia" w:ascii="仿宋" w:hAnsi="仿宋" w:eastAsia="仿宋" w:cs="Times New Roman"/>
          <w:lang w:eastAsia="zh-CN"/>
        </w:rPr>
        <w:t>任务</w:t>
      </w:r>
      <w:r>
        <w:rPr>
          <w:rFonts w:hint="eastAsia" w:ascii="仿宋" w:hAnsi="仿宋" w:eastAsia="仿宋" w:cs="Times New Roman"/>
        </w:rPr>
        <w:t>的重要性和艰巨性，切实把“三农三牧”工作作为重中之重，加强组织领导，完善政策措施，健全法治保障，严格考核评估，确保“十四五”规划各项目标任务如期实现。</w:t>
      </w:r>
    </w:p>
    <w:p>
      <w:pPr>
        <w:pStyle w:val="4"/>
        <w:pageBreakBefore w:val="0"/>
        <w:widowControl w:val="0"/>
        <w:kinsoku/>
        <w:wordWrap/>
        <w:overflowPunct/>
        <w:topLinePunct w:val="0"/>
        <w:autoSpaceDE/>
        <w:autoSpaceDN/>
        <w:bidi w:val="0"/>
        <w:adjustRightInd/>
        <w:spacing w:before="156" w:beforeLines="50" w:after="156" w:afterLines="50" w:line="600" w:lineRule="exact"/>
        <w:textAlignment w:val="auto"/>
        <w:rPr>
          <w:rFonts w:ascii="Calibri Light" w:hAnsi="Calibri Light" w:cs="Times New Roman"/>
          <w:b w:val="0"/>
          <w:bCs w:val="0"/>
          <w:szCs w:val="36"/>
        </w:rPr>
      </w:pPr>
      <w:bookmarkStart w:id="547" w:name="_Toc11293"/>
      <w:bookmarkStart w:id="548" w:name="_Toc1506407809_WPSOffice_Level2"/>
      <w:bookmarkStart w:id="549" w:name="_Toc29254"/>
      <w:bookmarkStart w:id="550" w:name="_Toc20927"/>
      <w:bookmarkStart w:id="551" w:name="_Toc21591"/>
      <w:r>
        <w:rPr>
          <w:rFonts w:hint="eastAsia" w:ascii="Calibri Light" w:hAnsi="Calibri Light" w:cs="Times New Roman"/>
          <w:b w:val="0"/>
          <w:bCs w:val="0"/>
          <w:szCs w:val="36"/>
        </w:rPr>
        <w:t>第一节 加强组织领导</w:t>
      </w:r>
      <w:bookmarkEnd w:id="542"/>
      <w:bookmarkEnd w:id="543"/>
      <w:bookmarkEnd w:id="544"/>
      <w:bookmarkEnd w:id="545"/>
      <w:bookmarkEnd w:id="546"/>
      <w:bookmarkEnd w:id="547"/>
      <w:bookmarkEnd w:id="548"/>
      <w:bookmarkEnd w:id="549"/>
      <w:bookmarkEnd w:id="550"/>
      <w:bookmarkEnd w:id="551"/>
    </w:p>
    <w:p>
      <w:pPr>
        <w:pageBreakBefore w:val="0"/>
        <w:widowControl w:val="0"/>
        <w:numPr>
          <w:ilvl w:val="255"/>
          <w:numId w:val="0"/>
        </w:numPr>
        <w:kinsoku/>
        <w:wordWrap/>
        <w:overflowPunct/>
        <w:topLinePunct w:val="0"/>
        <w:autoSpaceDE/>
        <w:autoSpaceDN/>
        <w:bidi w:val="0"/>
        <w:adjustRightInd/>
        <w:spacing w:line="600" w:lineRule="exact"/>
        <w:ind w:firstLine="640" w:firstLineChars="200"/>
        <w:textAlignment w:val="auto"/>
        <w:rPr>
          <w:rFonts w:ascii="仿宋" w:hAnsi="仿宋" w:eastAsia="仿宋" w:cstheme="minorBidi"/>
          <w:sz w:val="32"/>
          <w:szCs w:val="32"/>
        </w:rPr>
      </w:pPr>
      <w:r>
        <w:rPr>
          <w:rFonts w:hint="eastAsia" w:ascii="仿宋" w:hAnsi="仿宋" w:eastAsia="仿宋" w:cstheme="minorBidi"/>
          <w:sz w:val="32"/>
          <w:szCs w:val="32"/>
        </w:rPr>
        <w:t>加强党对“三农三牧”工作的全面领导，健全党委统一领导、政府负责、部门统筹协调的工作运行机制，压实各地区、各部门主体责任，及时协调解决规划实施过程中涉及的重大问题。强化四级书记抓乡村振兴工作体系，旗县市（区）党委书记要当好“一线总指挥”，做到组织到位、精力到位、措施到位。各旗县市（区）要强化责任担当，紧紧围绕</w:t>
      </w:r>
      <w:r>
        <w:rPr>
          <w:rFonts w:hint="eastAsia" w:ascii="仿宋" w:hAnsi="仿宋" w:eastAsia="仿宋" w:cstheme="minorBidi"/>
          <w:sz w:val="32"/>
          <w:szCs w:val="32"/>
          <w:lang w:eastAsia="zh-CN"/>
        </w:rPr>
        <w:t>规划</w:t>
      </w:r>
      <w:r>
        <w:rPr>
          <w:rFonts w:hint="eastAsia" w:ascii="仿宋" w:hAnsi="仿宋" w:eastAsia="仿宋" w:cstheme="minorBidi"/>
          <w:sz w:val="32"/>
          <w:szCs w:val="32"/>
        </w:rPr>
        <w:t>指导思想、重点任务和重大工程，</w:t>
      </w:r>
      <w:r>
        <w:rPr>
          <w:rFonts w:hint="eastAsia" w:ascii="仿宋" w:hAnsi="仿宋" w:eastAsia="仿宋" w:cstheme="minorBidi"/>
          <w:sz w:val="32"/>
          <w:szCs w:val="32"/>
          <w:lang w:eastAsia="zh-CN"/>
        </w:rPr>
        <w:t>制定本地区规划或实施方案，</w:t>
      </w:r>
      <w:r>
        <w:rPr>
          <w:rFonts w:hint="eastAsia" w:ascii="仿宋" w:hAnsi="仿宋" w:eastAsia="仿宋" w:cstheme="minorBidi"/>
          <w:sz w:val="32"/>
          <w:szCs w:val="32"/>
        </w:rPr>
        <w:t>统筹研究和组织实施“三农三牧”各项工作，做到上下联动、相互衔接、集中攻坚。各部门要立足职能职责，</w:t>
      </w:r>
      <w:r>
        <w:rPr>
          <w:rFonts w:hint="eastAsia" w:ascii="仿宋" w:hAnsi="仿宋" w:eastAsia="仿宋" w:cstheme="minorBidi"/>
          <w:sz w:val="32"/>
          <w:szCs w:val="32"/>
          <w:lang w:eastAsia="zh-CN"/>
        </w:rPr>
        <w:t>认真贯彻</w:t>
      </w:r>
      <w:r>
        <w:rPr>
          <w:rFonts w:hint="eastAsia" w:ascii="仿宋" w:hAnsi="仿宋" w:eastAsia="仿宋" w:cstheme="minorBidi"/>
          <w:sz w:val="32"/>
          <w:szCs w:val="32"/>
        </w:rPr>
        <w:t>落实相应政策</w:t>
      </w:r>
      <w:r>
        <w:rPr>
          <w:rFonts w:hint="eastAsia" w:ascii="仿宋" w:hAnsi="仿宋" w:eastAsia="仿宋" w:cstheme="minorBidi"/>
          <w:sz w:val="32"/>
          <w:szCs w:val="32"/>
          <w:lang w:eastAsia="zh-CN"/>
        </w:rPr>
        <w:t>措施</w:t>
      </w:r>
      <w:r>
        <w:rPr>
          <w:rFonts w:hint="eastAsia" w:ascii="仿宋" w:hAnsi="仿宋" w:eastAsia="仿宋" w:cstheme="minorBidi"/>
          <w:sz w:val="32"/>
          <w:szCs w:val="32"/>
        </w:rPr>
        <w:t>，形成农牧业农村牧区现代化建设的强大合力，协同推进规划实施。</w:t>
      </w:r>
    </w:p>
    <w:p>
      <w:pPr>
        <w:pStyle w:val="4"/>
        <w:pageBreakBefore w:val="0"/>
        <w:widowControl w:val="0"/>
        <w:kinsoku/>
        <w:wordWrap/>
        <w:overflowPunct/>
        <w:topLinePunct w:val="0"/>
        <w:autoSpaceDE/>
        <w:autoSpaceDN/>
        <w:bidi w:val="0"/>
        <w:adjustRightInd/>
        <w:spacing w:before="156" w:beforeLines="50" w:after="156" w:afterLines="50" w:line="600" w:lineRule="exact"/>
        <w:textAlignment w:val="auto"/>
        <w:rPr>
          <w:rFonts w:ascii="Calibri Light" w:hAnsi="Calibri Light" w:cs="Times New Roman"/>
          <w:b w:val="0"/>
          <w:bCs w:val="0"/>
          <w:szCs w:val="36"/>
        </w:rPr>
      </w:pPr>
      <w:bookmarkStart w:id="552" w:name="_Toc59000611"/>
      <w:bookmarkStart w:id="553" w:name="_Toc58870238"/>
      <w:bookmarkStart w:id="554" w:name="_Toc23392"/>
      <w:bookmarkStart w:id="555" w:name="_Toc5336"/>
      <w:bookmarkStart w:id="556" w:name="_Toc131061107_WPSOffice_Level2"/>
      <w:bookmarkStart w:id="557" w:name="_Toc20019"/>
      <w:bookmarkStart w:id="558" w:name="_Toc29182"/>
      <w:r>
        <w:rPr>
          <w:rFonts w:hint="eastAsia" w:ascii="Calibri Light" w:hAnsi="Calibri Light" w:cs="Times New Roman"/>
          <w:b w:val="0"/>
          <w:bCs w:val="0"/>
          <w:szCs w:val="36"/>
        </w:rPr>
        <w:t>第二节 加大政策</w:t>
      </w:r>
      <w:bookmarkEnd w:id="552"/>
      <w:bookmarkEnd w:id="553"/>
      <w:r>
        <w:rPr>
          <w:rFonts w:hint="eastAsia" w:ascii="Calibri Light" w:hAnsi="Calibri Light" w:cs="Times New Roman"/>
          <w:b w:val="0"/>
          <w:bCs w:val="0"/>
          <w:szCs w:val="36"/>
        </w:rPr>
        <w:t>支持</w:t>
      </w:r>
      <w:bookmarkEnd w:id="554"/>
      <w:bookmarkEnd w:id="555"/>
      <w:bookmarkEnd w:id="556"/>
      <w:bookmarkEnd w:id="557"/>
      <w:bookmarkEnd w:id="558"/>
    </w:p>
    <w:p>
      <w:pPr>
        <w:pageBreakBefore w:val="0"/>
        <w:widowControl w:val="0"/>
        <w:numPr>
          <w:ilvl w:val="255"/>
          <w:numId w:val="0"/>
        </w:numPr>
        <w:kinsoku/>
        <w:wordWrap/>
        <w:overflowPunct/>
        <w:topLinePunct w:val="0"/>
        <w:autoSpaceDE/>
        <w:autoSpaceDN/>
        <w:bidi w:val="0"/>
        <w:adjustRightInd/>
        <w:spacing w:line="600" w:lineRule="exact"/>
        <w:ind w:firstLine="640" w:firstLineChars="200"/>
        <w:textAlignment w:val="auto"/>
        <w:rPr>
          <w:rFonts w:ascii="仿宋" w:hAnsi="仿宋" w:eastAsia="仿宋" w:cstheme="minorBidi"/>
          <w:sz w:val="32"/>
          <w:szCs w:val="32"/>
        </w:rPr>
      </w:pPr>
      <w:r>
        <w:rPr>
          <w:rFonts w:hint="eastAsia" w:ascii="仿宋" w:hAnsi="仿宋" w:eastAsia="仿宋" w:cstheme="minorBidi"/>
          <w:sz w:val="32"/>
          <w:szCs w:val="32"/>
        </w:rPr>
        <w:t>健全财政投入保障机制，继续把农牧业农村牧区作为一般公共预算优先保障领域，推动公共财政资金更大力度向“三农三牧”倾斜，确保财政投入与农牧业农村牧区发展目标任务相适应；优化财政供给结构，加大资金整合，增加旗县市（区）资金统筹空间，提高涉农涉牧资金使用效率，努力补齐“三农三牧”领域短板弱项。加强金融支持力度，采取产业基金、融资担保贷款、风险补偿资金、贷款贴息等方式，运用“政府+银行+担保+保险”的融资合作和风险分担机制，吸引带动金融资本、产业资本和社会资本支持农牧业农村牧区高质量发展；加强农村牧区信用环境建设，推动农村牧区中小金融机构坚守服务定位，创新金融产品，加大金融支持力度；鼓励金融机构扩大授信规模，延长贷款期限，开发适合的贷款品种，支持农牧经营主体固定资产投资和农畜产品生产收购。强化土地政策支持，保障农村牧区重点产业、项目建设和招商引资用地需求，把招商引资企业直接用于种养业设施用地纳入农用地管理。</w:t>
      </w:r>
    </w:p>
    <w:p>
      <w:pPr>
        <w:pStyle w:val="4"/>
        <w:pageBreakBefore w:val="0"/>
        <w:widowControl w:val="0"/>
        <w:kinsoku/>
        <w:wordWrap/>
        <w:overflowPunct/>
        <w:topLinePunct w:val="0"/>
        <w:autoSpaceDE/>
        <w:autoSpaceDN/>
        <w:bidi w:val="0"/>
        <w:adjustRightInd/>
        <w:spacing w:before="156" w:beforeLines="50" w:after="156" w:afterLines="50" w:line="600" w:lineRule="exact"/>
        <w:textAlignment w:val="auto"/>
        <w:rPr>
          <w:rFonts w:ascii="Calibri Light" w:hAnsi="Calibri Light" w:cs="Times New Roman"/>
          <w:b w:val="0"/>
          <w:bCs w:val="0"/>
          <w:szCs w:val="36"/>
        </w:rPr>
      </w:pPr>
      <w:bookmarkStart w:id="559" w:name="_Toc21686"/>
      <w:bookmarkStart w:id="560" w:name="_Toc7530"/>
      <w:bookmarkStart w:id="561" w:name="_Toc1819215166_WPSOffice_Level2"/>
      <w:bookmarkStart w:id="562" w:name="_Toc8098"/>
      <w:bookmarkStart w:id="563" w:name="_Toc27150"/>
      <w:bookmarkStart w:id="564" w:name="_Toc18808"/>
      <w:bookmarkStart w:id="565" w:name="_Toc57041457"/>
      <w:bookmarkStart w:id="566" w:name="_Toc28940"/>
      <w:bookmarkStart w:id="567" w:name="_Toc58870240"/>
      <w:bookmarkStart w:id="568" w:name="_Toc59000613"/>
      <w:r>
        <w:rPr>
          <w:rFonts w:hint="eastAsia" w:ascii="Calibri Light" w:hAnsi="Calibri Light" w:cs="Times New Roman"/>
          <w:b w:val="0"/>
          <w:bCs w:val="0"/>
          <w:szCs w:val="36"/>
        </w:rPr>
        <w:t>第三节 强化法制保障</w:t>
      </w:r>
      <w:bookmarkEnd w:id="559"/>
      <w:bookmarkEnd w:id="560"/>
      <w:bookmarkEnd w:id="561"/>
      <w:bookmarkEnd w:id="562"/>
      <w:bookmarkEnd w:id="563"/>
    </w:p>
    <w:p>
      <w:pPr>
        <w:pageBreakBefore w:val="0"/>
        <w:widowControl w:val="0"/>
        <w:numPr>
          <w:ilvl w:val="255"/>
          <w:numId w:val="0"/>
        </w:numPr>
        <w:kinsoku/>
        <w:wordWrap/>
        <w:overflowPunct/>
        <w:topLinePunct w:val="0"/>
        <w:autoSpaceDE/>
        <w:autoSpaceDN/>
        <w:bidi w:val="0"/>
        <w:adjustRightInd/>
        <w:spacing w:line="600" w:lineRule="exact"/>
        <w:ind w:firstLine="640" w:firstLineChars="200"/>
        <w:textAlignment w:val="auto"/>
        <w:rPr>
          <w:rFonts w:ascii="仿宋" w:hAnsi="仿宋" w:eastAsia="仿宋" w:cstheme="minorBidi"/>
          <w:sz w:val="32"/>
          <w:szCs w:val="32"/>
        </w:rPr>
      </w:pPr>
      <w:r>
        <w:rPr>
          <w:rFonts w:hint="eastAsia" w:ascii="仿宋" w:hAnsi="仿宋" w:eastAsia="仿宋" w:cstheme="minorBidi"/>
          <w:sz w:val="32"/>
          <w:szCs w:val="32"/>
        </w:rPr>
        <w:t>深入推进实施《中华人民共和国乡村振兴促进法》，坚持依法治农、依法护农、依法兴农，发挥法治对农牧业高质量发展的支撑作用、对农村牧区改革的引领作用。大力优化营商环境，</w:t>
      </w:r>
      <w:r>
        <w:rPr>
          <w:rFonts w:hint="eastAsia" w:ascii="仿宋" w:hAnsi="仿宋" w:eastAsia="仿宋" w:cstheme="minorBidi"/>
          <w:sz w:val="32"/>
          <w:szCs w:val="32"/>
          <w:lang w:eastAsia="zh-CN"/>
        </w:rPr>
        <w:t>深化</w:t>
      </w:r>
      <w:r>
        <w:rPr>
          <w:rFonts w:hint="eastAsia" w:ascii="仿宋" w:hAnsi="仿宋" w:eastAsia="仿宋" w:cstheme="minorBidi"/>
          <w:sz w:val="32"/>
          <w:szCs w:val="32"/>
        </w:rPr>
        <w:t>“放管服”改革，对权责清单实行动态管理，推进审批服务标准化、规范化、便利化。</w:t>
      </w:r>
      <w:r>
        <w:rPr>
          <w:rFonts w:hint="eastAsia" w:ascii="仿宋" w:hAnsi="仿宋" w:eastAsia="仿宋" w:cstheme="minorBidi"/>
          <w:sz w:val="32"/>
          <w:szCs w:val="32"/>
          <w:lang w:eastAsia="zh-CN"/>
        </w:rPr>
        <w:t>落实</w:t>
      </w:r>
      <w:r>
        <w:rPr>
          <w:rFonts w:hint="eastAsia" w:ascii="仿宋" w:hAnsi="仿宋" w:eastAsia="仿宋" w:cstheme="minorBidi"/>
          <w:sz w:val="32"/>
          <w:szCs w:val="32"/>
        </w:rPr>
        <w:t>“双随机</w:t>
      </w:r>
      <w:r>
        <w:rPr>
          <w:rFonts w:hint="eastAsia" w:ascii="仿宋" w:hAnsi="仿宋" w:eastAsia="仿宋" w:cstheme="minorBidi"/>
          <w:sz w:val="32"/>
          <w:szCs w:val="32"/>
          <w:lang w:eastAsia="zh-CN"/>
        </w:rPr>
        <w:t>、</w:t>
      </w:r>
      <w:r>
        <w:rPr>
          <w:rFonts w:hint="eastAsia" w:ascii="仿宋" w:hAnsi="仿宋" w:eastAsia="仿宋" w:cstheme="minorBidi"/>
          <w:sz w:val="32"/>
          <w:szCs w:val="32"/>
        </w:rPr>
        <w:t>一公开”</w:t>
      </w:r>
      <w:r>
        <w:rPr>
          <w:rFonts w:hint="eastAsia" w:ascii="仿宋" w:hAnsi="仿宋" w:eastAsia="仿宋" w:cstheme="minorBidi"/>
          <w:sz w:val="32"/>
          <w:szCs w:val="32"/>
          <w:lang w:eastAsia="zh-CN"/>
        </w:rPr>
        <w:t>制度</w:t>
      </w:r>
      <w:r>
        <w:rPr>
          <w:rFonts w:hint="eastAsia" w:ascii="仿宋" w:hAnsi="仿宋" w:eastAsia="仿宋" w:cstheme="minorBidi"/>
          <w:sz w:val="32"/>
          <w:szCs w:val="32"/>
        </w:rPr>
        <w:t>，加强事中事后监管，提高监管执法规范性和透明度。深化农牧业综合行政执法改革，实施农牧业综合行政执法能力提升行动，强化执法保障。对重大</w:t>
      </w:r>
      <w:r>
        <w:rPr>
          <w:rFonts w:hint="eastAsia" w:ascii="仿宋" w:hAnsi="仿宋" w:eastAsia="仿宋" w:cstheme="minorBidi"/>
          <w:sz w:val="32"/>
          <w:szCs w:val="32"/>
          <w:lang w:eastAsia="zh-CN"/>
        </w:rPr>
        <w:t>行政</w:t>
      </w:r>
      <w:r>
        <w:rPr>
          <w:rFonts w:hint="eastAsia" w:ascii="仿宋" w:hAnsi="仿宋" w:eastAsia="仿宋" w:cstheme="minorBidi"/>
          <w:sz w:val="32"/>
          <w:szCs w:val="32"/>
        </w:rPr>
        <w:t>执法决定进行合法性审查，强化农牧业行政执法监督。</w:t>
      </w:r>
      <w:r>
        <w:rPr>
          <w:rFonts w:hint="eastAsia" w:ascii="仿宋" w:hAnsi="仿宋" w:eastAsia="仿宋" w:cstheme="minorBidi"/>
          <w:sz w:val="32"/>
          <w:szCs w:val="32"/>
          <w:lang w:eastAsia="zh-CN"/>
        </w:rPr>
        <w:t>加强对习近平法治思想、</w:t>
      </w:r>
      <w:r>
        <w:rPr>
          <w:rFonts w:hint="eastAsia" w:ascii="仿宋" w:hAnsi="仿宋" w:eastAsia="仿宋" w:cstheme="minorBidi"/>
          <w:sz w:val="32"/>
          <w:szCs w:val="32"/>
        </w:rPr>
        <w:t>宪法</w:t>
      </w:r>
      <w:r>
        <w:rPr>
          <w:rFonts w:hint="eastAsia" w:ascii="仿宋" w:hAnsi="仿宋" w:eastAsia="仿宋" w:cstheme="minorBidi"/>
          <w:sz w:val="32"/>
          <w:szCs w:val="32"/>
          <w:lang w:eastAsia="zh-CN"/>
        </w:rPr>
        <w:t>、民法典及</w:t>
      </w:r>
      <w:r>
        <w:rPr>
          <w:rFonts w:hint="eastAsia" w:ascii="仿宋" w:hAnsi="仿宋" w:eastAsia="仿宋" w:cstheme="minorBidi"/>
          <w:sz w:val="32"/>
          <w:szCs w:val="32"/>
        </w:rPr>
        <w:t>农牧业</w:t>
      </w:r>
      <w:r>
        <w:rPr>
          <w:rFonts w:hint="eastAsia" w:ascii="仿宋" w:hAnsi="仿宋" w:eastAsia="仿宋" w:cstheme="minorBidi"/>
          <w:sz w:val="32"/>
          <w:szCs w:val="32"/>
          <w:lang w:eastAsia="zh-CN"/>
        </w:rPr>
        <w:t>农村牧区</w:t>
      </w:r>
      <w:r>
        <w:rPr>
          <w:rFonts w:hint="eastAsia" w:ascii="仿宋" w:hAnsi="仿宋" w:eastAsia="仿宋" w:cstheme="minorBidi"/>
          <w:sz w:val="32"/>
          <w:szCs w:val="32"/>
        </w:rPr>
        <w:t>相关法律法规</w:t>
      </w:r>
      <w:r>
        <w:rPr>
          <w:rFonts w:hint="eastAsia" w:ascii="仿宋" w:hAnsi="仿宋" w:eastAsia="仿宋" w:cstheme="minorBidi"/>
          <w:sz w:val="32"/>
          <w:szCs w:val="32"/>
          <w:lang w:eastAsia="zh-CN"/>
        </w:rPr>
        <w:t>的</w:t>
      </w:r>
      <w:r>
        <w:rPr>
          <w:rFonts w:hint="eastAsia" w:ascii="仿宋" w:hAnsi="仿宋" w:eastAsia="仿宋" w:cstheme="minorBidi"/>
          <w:sz w:val="32"/>
          <w:szCs w:val="32"/>
        </w:rPr>
        <w:t>学习</w:t>
      </w:r>
      <w:r>
        <w:rPr>
          <w:rFonts w:hint="eastAsia" w:ascii="仿宋" w:hAnsi="仿宋" w:eastAsia="仿宋" w:cstheme="minorBidi"/>
          <w:sz w:val="32"/>
          <w:szCs w:val="32"/>
          <w:lang w:eastAsia="zh-CN"/>
        </w:rPr>
        <w:t>贯彻</w:t>
      </w:r>
      <w:r>
        <w:rPr>
          <w:rFonts w:hint="eastAsia" w:ascii="仿宋" w:hAnsi="仿宋" w:eastAsia="仿宋" w:cstheme="minorBidi"/>
          <w:sz w:val="32"/>
          <w:szCs w:val="32"/>
        </w:rPr>
        <w:t>，全面落实“谁执法、谁普法”责任制，制定普法责任清单，把法治教育作为干部教育培训重点内容，通过集体学法、法律顾问讲授、案例分析和法律知识测试等多种方式，不断提升依法行政水平。</w:t>
      </w:r>
    </w:p>
    <w:p>
      <w:pPr>
        <w:pStyle w:val="4"/>
        <w:pageBreakBefore w:val="0"/>
        <w:widowControl w:val="0"/>
        <w:kinsoku/>
        <w:wordWrap/>
        <w:overflowPunct/>
        <w:topLinePunct w:val="0"/>
        <w:autoSpaceDE/>
        <w:autoSpaceDN/>
        <w:bidi w:val="0"/>
        <w:adjustRightInd/>
        <w:spacing w:before="156" w:beforeLines="50" w:after="156" w:afterLines="50" w:line="600" w:lineRule="exact"/>
        <w:textAlignment w:val="auto"/>
        <w:rPr>
          <w:rFonts w:ascii="Calibri Light" w:hAnsi="Calibri Light" w:cs="Times New Roman"/>
          <w:b w:val="0"/>
          <w:bCs w:val="0"/>
          <w:szCs w:val="36"/>
        </w:rPr>
      </w:pPr>
      <w:bookmarkStart w:id="569" w:name="_Toc517717901_WPSOffice_Level2"/>
      <w:bookmarkStart w:id="570" w:name="_Toc27598"/>
      <w:bookmarkStart w:id="571" w:name="_Toc18269"/>
      <w:bookmarkStart w:id="572" w:name="_Toc32507"/>
      <w:bookmarkStart w:id="573" w:name="_Toc14610"/>
      <w:r>
        <w:rPr>
          <w:rFonts w:hint="eastAsia" w:ascii="Calibri Light" w:hAnsi="Calibri Light" w:cs="Times New Roman"/>
          <w:b w:val="0"/>
          <w:bCs w:val="0"/>
          <w:szCs w:val="36"/>
        </w:rPr>
        <w:t xml:space="preserve">第四节 </w:t>
      </w:r>
      <w:bookmarkEnd w:id="564"/>
      <w:r>
        <w:rPr>
          <w:rFonts w:hint="eastAsia" w:ascii="Calibri Light" w:hAnsi="Calibri Light" w:cs="Times New Roman"/>
          <w:b w:val="0"/>
          <w:bCs w:val="0"/>
          <w:szCs w:val="36"/>
        </w:rPr>
        <w:t>严格评估考核</w:t>
      </w:r>
      <w:bookmarkEnd w:id="565"/>
      <w:bookmarkEnd w:id="566"/>
      <w:bookmarkEnd w:id="567"/>
      <w:bookmarkEnd w:id="568"/>
      <w:bookmarkEnd w:id="569"/>
      <w:bookmarkEnd w:id="570"/>
      <w:bookmarkEnd w:id="571"/>
      <w:bookmarkEnd w:id="572"/>
      <w:bookmarkEnd w:id="573"/>
    </w:p>
    <w:p>
      <w:pPr>
        <w:pageBreakBefore w:val="0"/>
        <w:widowControl w:val="0"/>
        <w:numPr>
          <w:ilvl w:val="255"/>
          <w:numId w:val="0"/>
        </w:numPr>
        <w:kinsoku/>
        <w:wordWrap/>
        <w:overflowPunct/>
        <w:topLinePunct w:val="0"/>
        <w:autoSpaceDE/>
        <w:autoSpaceDN/>
        <w:bidi w:val="0"/>
        <w:adjustRightInd/>
        <w:spacing w:line="600" w:lineRule="exact"/>
        <w:ind w:firstLine="640" w:firstLineChars="200"/>
        <w:textAlignment w:val="auto"/>
        <w:rPr>
          <w:rFonts w:ascii="仿宋" w:hAnsi="仿宋" w:eastAsia="仿宋" w:cstheme="minorBidi"/>
          <w:sz w:val="32"/>
          <w:szCs w:val="32"/>
        </w:rPr>
      </w:pPr>
      <w:r>
        <w:rPr>
          <w:rFonts w:hint="eastAsia" w:ascii="仿宋" w:hAnsi="仿宋" w:eastAsia="仿宋" w:cstheme="minorBidi"/>
          <w:sz w:val="32"/>
          <w:szCs w:val="32"/>
        </w:rPr>
        <w:t>建立规划实施督促检查和评价机制，加强对规划约束性指标和主要预期性指标完成情况的跟踪监测，开展规划落实情况评估，</w:t>
      </w:r>
      <w:r>
        <w:rPr>
          <w:rFonts w:hint="eastAsia" w:ascii="仿宋" w:hAnsi="仿宋" w:eastAsia="仿宋" w:cstheme="minorBidi"/>
          <w:sz w:val="32"/>
          <w:szCs w:val="32"/>
          <w:lang w:eastAsia="zh-CN"/>
        </w:rPr>
        <w:t>开展</w:t>
      </w:r>
      <w:r>
        <w:rPr>
          <w:rFonts w:hint="eastAsia" w:ascii="仿宋" w:hAnsi="仿宋" w:eastAsia="仿宋" w:cstheme="minorBidi"/>
          <w:sz w:val="32"/>
          <w:szCs w:val="32"/>
        </w:rPr>
        <w:t>年度监测、中期评估和终期总结工作，及时发现规划实施存在的问题，研究提出针对性措施建议。建立规划实施考核机制，对于规划中确定的农牧业农村牧区现代化发展重大政策、重点工程项目和重要改革任务，要落实责任主体和进度要求，把工作成效列入年度绩效考核内容，加大绩效考核力度，强化考核结果应用。</w:t>
      </w:r>
    </w:p>
    <w:p>
      <w:pPr>
        <w:pageBreakBefore w:val="0"/>
        <w:widowControl w:val="0"/>
        <w:numPr>
          <w:ilvl w:val="255"/>
          <w:numId w:val="0"/>
        </w:numPr>
        <w:kinsoku/>
        <w:wordWrap/>
        <w:overflowPunct/>
        <w:topLinePunct w:val="0"/>
        <w:autoSpaceDE/>
        <w:autoSpaceDN/>
        <w:bidi w:val="0"/>
        <w:adjustRightInd/>
        <w:spacing w:line="600" w:lineRule="exact"/>
        <w:ind w:firstLine="640" w:firstLineChars="200"/>
        <w:textAlignment w:val="auto"/>
        <w:rPr>
          <w:rFonts w:ascii="仿宋" w:hAnsi="仿宋" w:eastAsia="仿宋" w:cstheme="minorBidi"/>
          <w:sz w:val="32"/>
          <w:szCs w:val="32"/>
        </w:rPr>
      </w:pPr>
    </w:p>
    <w:p>
      <w:pPr>
        <w:pStyle w:val="2"/>
        <w:pageBreakBefore w:val="0"/>
        <w:widowControl w:val="0"/>
        <w:kinsoku/>
        <w:wordWrap/>
        <w:overflowPunct/>
        <w:topLinePunct w:val="0"/>
        <w:autoSpaceDE/>
        <w:autoSpaceDN/>
        <w:bidi w:val="0"/>
        <w:adjustRightInd/>
        <w:spacing w:line="600" w:lineRule="exact"/>
        <w:textAlignment w:val="auto"/>
      </w:pPr>
    </w:p>
    <w:p>
      <w:pPr>
        <w:pStyle w:val="2"/>
        <w:pageBreakBefore w:val="0"/>
        <w:widowControl w:val="0"/>
        <w:kinsoku/>
        <w:wordWrap/>
        <w:overflowPunct/>
        <w:topLinePunct w:val="0"/>
        <w:autoSpaceDE/>
        <w:autoSpaceDN/>
        <w:bidi w:val="0"/>
        <w:adjustRightInd/>
        <w:spacing w:line="600" w:lineRule="exact"/>
        <w:textAlignment w:val="auto"/>
      </w:pPr>
    </w:p>
    <w:sectPr>
      <w:footerReference r:id="rId7" w:type="default"/>
      <w:pgSz w:w="11900" w:h="16840"/>
      <w:pgMar w:top="1440" w:right="1800" w:bottom="1440" w:left="1800" w:header="851" w:footer="992" w:gutter="0"/>
      <w:pgBorders>
        <w:top w:val="none" w:sz="0" w:space="0"/>
        <w:left w:val="none" w:sz="0" w:space="0"/>
        <w:bottom w:val="none" w:sz="0" w:space="0"/>
        <w:right w:val="none" w:sz="0" w:space="0"/>
      </w:pgBorders>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Cambria">
    <w:panose1 w:val="02040503050406030204"/>
    <w:charset w:val="00"/>
    <w:family w:val="roman"/>
    <w:pitch w:val="default"/>
    <w:sig w:usb0="E00006FF" w:usb1="420024FF" w:usb2="02000000" w:usb3="00000000" w:csb0="2000019F" w:csb1="00000000"/>
  </w:font>
  <w:font w:name="Times New Roman (正文 CS 字体)">
    <w:altName w:val="Times New Roman"/>
    <w:panose1 w:val="02020603050405020304"/>
    <w:charset w:val="00"/>
    <w:family w:val="swiss"/>
    <w:pitch w:val="default"/>
    <w:sig w:usb0="00000000" w:usb1="00000000" w:usb2="00000009" w:usb3="00000000" w:csb0="000001FF" w:csb1="00000000"/>
  </w:font>
  <w:font w:name="楷体">
    <w:panose1 w:val="02010609060101010101"/>
    <w:charset w:val="86"/>
    <w:family w:val="modern"/>
    <w:pitch w:val="default"/>
    <w:sig w:usb0="800002BF" w:usb1="38CF7CFA" w:usb2="00000016" w:usb3="00000000" w:csb0="00040001" w:csb1="00000000"/>
  </w:font>
  <w:font w:name="Times New Roman (标题 CS)">
    <w:altName w:val="宋体"/>
    <w:panose1 w:val="02020603050405020304"/>
    <w:charset w:val="00"/>
    <w:family w:val="swiss"/>
    <w:pitch w:val="default"/>
    <w:sig w:usb0="00000000" w:usb1="00000000" w:usb2="00000009" w:usb3="00000000" w:csb0="000001FF" w:csb1="00000000"/>
  </w:font>
  <w:font w:name="仿宋">
    <w:panose1 w:val="02010609060101010101"/>
    <w:charset w:val="86"/>
    <w:family w:val="modern"/>
    <w:pitch w:val="default"/>
    <w:sig w:usb0="800002BF" w:usb1="38CF7CFA" w:usb2="00000016" w:usb3="00000000" w:csb0="00040001" w:csb1="00000000"/>
  </w:font>
  <w:font w:name="Calibri Light">
    <w:panose1 w:val="020F0302020204030204"/>
    <w:charset w:val="00"/>
    <w:family w:val="swiss"/>
    <w:pitch w:val="default"/>
    <w:sig w:usb0="E4002EFF" w:usb1="C000247B" w:usb2="00000009" w:usb3="00000000" w:csb0="200001FF" w:csb1="00000000"/>
  </w:font>
  <w:font w:name="方正粗宋简体">
    <w:altName w:val="宋体"/>
    <w:panose1 w:val="020B0604020202020204"/>
    <w:charset w:val="86"/>
    <w:family w:val="script"/>
    <w:pitch w:val="default"/>
    <w:sig w:usb0="00000000" w:usb1="00000000" w:usb2="00000010" w:usb3="00000000" w:csb0="00040000"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framePr w:wrap="around" w:vAnchor="text" w:hAnchor="margin" w:xAlign="center" w:y="1"/>
      <w:rPr>
        <w:rStyle w:val="29"/>
      </w:rPr>
    </w:pPr>
    <w:r>
      <w:rPr>
        <w:rStyle w:val="29"/>
      </w:rPr>
      <w:fldChar w:fldCharType="begin"/>
    </w:r>
    <w:r>
      <w:rPr>
        <w:rStyle w:val="29"/>
      </w:rPr>
      <w:instrText xml:space="preserve"> PAGE </w:instrText>
    </w:r>
    <w:r>
      <w:rPr>
        <w:rStyle w:val="29"/>
      </w:rPr>
      <w:fldChar w:fldCharType="separate"/>
    </w:r>
    <w:r>
      <w:rPr>
        <w:rStyle w:val="29"/>
      </w:rPr>
      <w:t>- 16 -</w:t>
    </w:r>
    <w:r>
      <w:rPr>
        <w:rStyle w:val="29"/>
      </w:rPr>
      <w:fldChar w:fldCharType="end"/>
    </w:r>
  </w:p>
  <w:p>
    <w:pPr>
      <w:pStyle w:val="1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pPr>
    <w:r>
      <w:rPr>
        <w:sz w:val="18"/>
      </w:rPr>
      <w:pict>
        <v:shape id="_x0000_s4100" o:spid="_x0000_s4100" o:spt="202" type="#_x0000_t202" style="position:absolute;left:0pt;margin-top:0pt;height:144pt;width:144pt;mso-position-horizontal:outside;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sdt>
                <w:sdtPr>
                  <w:rPr>
                    <w:rStyle w:val="29"/>
                    <w:sz w:val="21"/>
                    <w:szCs w:val="21"/>
                  </w:rPr>
                  <w:id w:val="527225311"/>
                </w:sdtPr>
                <w:sdtEndPr>
                  <w:rPr>
                    <w:rStyle w:val="29"/>
                    <w:sz w:val="21"/>
                    <w:szCs w:val="21"/>
                  </w:rPr>
                </w:sdtEndPr>
                <w:sdtContent>
                  <w:p>
                    <w:pPr>
                      <w:pStyle w:val="15"/>
                      <w:rPr>
                        <w:rStyle w:val="29"/>
                        <w:sz w:val="21"/>
                        <w:szCs w:val="21"/>
                      </w:rPr>
                    </w:pPr>
                    <w:r>
                      <w:rPr>
                        <w:rStyle w:val="29"/>
                        <w:sz w:val="24"/>
                        <w:szCs w:val="24"/>
                      </w:rPr>
                      <w:fldChar w:fldCharType="begin"/>
                    </w:r>
                    <w:r>
                      <w:rPr>
                        <w:rStyle w:val="29"/>
                        <w:sz w:val="24"/>
                        <w:szCs w:val="24"/>
                      </w:rPr>
                      <w:instrText xml:space="preserve"> PAGE </w:instrText>
                    </w:r>
                    <w:r>
                      <w:rPr>
                        <w:rStyle w:val="29"/>
                        <w:sz w:val="24"/>
                        <w:szCs w:val="24"/>
                      </w:rPr>
                      <w:fldChar w:fldCharType="separate"/>
                    </w:r>
                    <w:r>
                      <w:rPr>
                        <w:rStyle w:val="29"/>
                        <w:sz w:val="24"/>
                        <w:szCs w:val="24"/>
                      </w:rPr>
                      <w:t>1</w:t>
                    </w:r>
                    <w:r>
                      <w:rPr>
                        <w:rStyle w:val="29"/>
                        <w:sz w:val="24"/>
                        <w:szCs w:val="24"/>
                      </w:rPr>
                      <w:fldChar w:fldCharType="end"/>
                    </w:r>
                  </w:p>
                </w:sdtContent>
              </w:sdt>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YmFhM2I2ZGQ1N2JkOTM1Y2IwMmFkMzUwMjc0MGY3NjkifQ=="/>
  </w:docVars>
  <w:rsids>
    <w:rsidRoot w:val="00D7772F"/>
    <w:rsid w:val="00000701"/>
    <w:rsid w:val="00000D20"/>
    <w:rsid w:val="00001217"/>
    <w:rsid w:val="0000197D"/>
    <w:rsid w:val="00001B2D"/>
    <w:rsid w:val="00001CA2"/>
    <w:rsid w:val="000021F0"/>
    <w:rsid w:val="00004B01"/>
    <w:rsid w:val="00004F0A"/>
    <w:rsid w:val="00005248"/>
    <w:rsid w:val="00005ECD"/>
    <w:rsid w:val="00007CBA"/>
    <w:rsid w:val="00007EC4"/>
    <w:rsid w:val="00010B28"/>
    <w:rsid w:val="0001562B"/>
    <w:rsid w:val="000156B2"/>
    <w:rsid w:val="00015913"/>
    <w:rsid w:val="000159BF"/>
    <w:rsid w:val="00015ADC"/>
    <w:rsid w:val="000212ED"/>
    <w:rsid w:val="00021407"/>
    <w:rsid w:val="00024064"/>
    <w:rsid w:val="00024922"/>
    <w:rsid w:val="00024EE1"/>
    <w:rsid w:val="00024FF4"/>
    <w:rsid w:val="00024FF5"/>
    <w:rsid w:val="00032EBF"/>
    <w:rsid w:val="000350CB"/>
    <w:rsid w:val="00035238"/>
    <w:rsid w:val="00036313"/>
    <w:rsid w:val="00036807"/>
    <w:rsid w:val="00036E4E"/>
    <w:rsid w:val="00037C44"/>
    <w:rsid w:val="0004027A"/>
    <w:rsid w:val="00040694"/>
    <w:rsid w:val="000407FA"/>
    <w:rsid w:val="00040B3B"/>
    <w:rsid w:val="00040D6A"/>
    <w:rsid w:val="0004143E"/>
    <w:rsid w:val="0004207D"/>
    <w:rsid w:val="000429ED"/>
    <w:rsid w:val="00042E2E"/>
    <w:rsid w:val="000435B5"/>
    <w:rsid w:val="00043A4D"/>
    <w:rsid w:val="00043A59"/>
    <w:rsid w:val="000443D9"/>
    <w:rsid w:val="00044A7F"/>
    <w:rsid w:val="0004675B"/>
    <w:rsid w:val="000478C7"/>
    <w:rsid w:val="0005194D"/>
    <w:rsid w:val="00052C8C"/>
    <w:rsid w:val="00054632"/>
    <w:rsid w:val="000550A4"/>
    <w:rsid w:val="000552FE"/>
    <w:rsid w:val="00055369"/>
    <w:rsid w:val="00055DA7"/>
    <w:rsid w:val="00063FB6"/>
    <w:rsid w:val="0006400E"/>
    <w:rsid w:val="00064F30"/>
    <w:rsid w:val="00065078"/>
    <w:rsid w:val="00065599"/>
    <w:rsid w:val="00066111"/>
    <w:rsid w:val="00067045"/>
    <w:rsid w:val="0007026D"/>
    <w:rsid w:val="00070520"/>
    <w:rsid w:val="00070F71"/>
    <w:rsid w:val="000713D9"/>
    <w:rsid w:val="00073E2A"/>
    <w:rsid w:val="00077B6F"/>
    <w:rsid w:val="00077C03"/>
    <w:rsid w:val="00081B70"/>
    <w:rsid w:val="00083A2D"/>
    <w:rsid w:val="00083F0B"/>
    <w:rsid w:val="000842A2"/>
    <w:rsid w:val="00085091"/>
    <w:rsid w:val="00085142"/>
    <w:rsid w:val="00085C93"/>
    <w:rsid w:val="000860DD"/>
    <w:rsid w:val="00087892"/>
    <w:rsid w:val="000878C5"/>
    <w:rsid w:val="00087B65"/>
    <w:rsid w:val="00087B70"/>
    <w:rsid w:val="00087FF9"/>
    <w:rsid w:val="0009109D"/>
    <w:rsid w:val="00092195"/>
    <w:rsid w:val="00092544"/>
    <w:rsid w:val="0009274A"/>
    <w:rsid w:val="000927E2"/>
    <w:rsid w:val="00092FC6"/>
    <w:rsid w:val="000930A9"/>
    <w:rsid w:val="000940AF"/>
    <w:rsid w:val="0009450D"/>
    <w:rsid w:val="00094B9D"/>
    <w:rsid w:val="00094F03"/>
    <w:rsid w:val="00095151"/>
    <w:rsid w:val="00097D75"/>
    <w:rsid w:val="000A01B2"/>
    <w:rsid w:val="000A116E"/>
    <w:rsid w:val="000A1224"/>
    <w:rsid w:val="000A1621"/>
    <w:rsid w:val="000A2435"/>
    <w:rsid w:val="000A2687"/>
    <w:rsid w:val="000A2FA4"/>
    <w:rsid w:val="000A4FFA"/>
    <w:rsid w:val="000A56CD"/>
    <w:rsid w:val="000A5A58"/>
    <w:rsid w:val="000A6C0B"/>
    <w:rsid w:val="000A6E5E"/>
    <w:rsid w:val="000A70E2"/>
    <w:rsid w:val="000A7D84"/>
    <w:rsid w:val="000B0781"/>
    <w:rsid w:val="000B0A6F"/>
    <w:rsid w:val="000B0F21"/>
    <w:rsid w:val="000B188D"/>
    <w:rsid w:val="000B1EE6"/>
    <w:rsid w:val="000B24E0"/>
    <w:rsid w:val="000B37D7"/>
    <w:rsid w:val="000B4358"/>
    <w:rsid w:val="000B457A"/>
    <w:rsid w:val="000B5A3A"/>
    <w:rsid w:val="000B5AE6"/>
    <w:rsid w:val="000B630F"/>
    <w:rsid w:val="000B6720"/>
    <w:rsid w:val="000B7FB9"/>
    <w:rsid w:val="000C0628"/>
    <w:rsid w:val="000C5D59"/>
    <w:rsid w:val="000C6807"/>
    <w:rsid w:val="000D0EF3"/>
    <w:rsid w:val="000D17EB"/>
    <w:rsid w:val="000D2793"/>
    <w:rsid w:val="000D3AED"/>
    <w:rsid w:val="000D55B4"/>
    <w:rsid w:val="000D5641"/>
    <w:rsid w:val="000D6960"/>
    <w:rsid w:val="000D719B"/>
    <w:rsid w:val="000D7B76"/>
    <w:rsid w:val="000E167D"/>
    <w:rsid w:val="000E230B"/>
    <w:rsid w:val="000E4230"/>
    <w:rsid w:val="000E44CA"/>
    <w:rsid w:val="000E4FB0"/>
    <w:rsid w:val="000E53B7"/>
    <w:rsid w:val="000E576A"/>
    <w:rsid w:val="000E6284"/>
    <w:rsid w:val="000E7A3D"/>
    <w:rsid w:val="000E7B31"/>
    <w:rsid w:val="000F0C7F"/>
    <w:rsid w:val="000F18B6"/>
    <w:rsid w:val="000F1E5B"/>
    <w:rsid w:val="000F22F8"/>
    <w:rsid w:val="000F29D8"/>
    <w:rsid w:val="000F37E0"/>
    <w:rsid w:val="000F3858"/>
    <w:rsid w:val="000F39D2"/>
    <w:rsid w:val="000F3B4C"/>
    <w:rsid w:val="000F414A"/>
    <w:rsid w:val="000F544A"/>
    <w:rsid w:val="000F5737"/>
    <w:rsid w:val="000F7275"/>
    <w:rsid w:val="000F76F8"/>
    <w:rsid w:val="000F7C13"/>
    <w:rsid w:val="00100B86"/>
    <w:rsid w:val="001018EB"/>
    <w:rsid w:val="00101EE7"/>
    <w:rsid w:val="00102AF7"/>
    <w:rsid w:val="00105DBC"/>
    <w:rsid w:val="00110062"/>
    <w:rsid w:val="00110194"/>
    <w:rsid w:val="001107D4"/>
    <w:rsid w:val="00110804"/>
    <w:rsid w:val="00110A94"/>
    <w:rsid w:val="001139D0"/>
    <w:rsid w:val="00113F68"/>
    <w:rsid w:val="0011400E"/>
    <w:rsid w:val="00114063"/>
    <w:rsid w:val="00114B02"/>
    <w:rsid w:val="00116061"/>
    <w:rsid w:val="001171F4"/>
    <w:rsid w:val="00117873"/>
    <w:rsid w:val="00121AC0"/>
    <w:rsid w:val="00121C55"/>
    <w:rsid w:val="00126E7E"/>
    <w:rsid w:val="0013166E"/>
    <w:rsid w:val="00133756"/>
    <w:rsid w:val="00134078"/>
    <w:rsid w:val="001349B3"/>
    <w:rsid w:val="00134DE9"/>
    <w:rsid w:val="00134E6E"/>
    <w:rsid w:val="00135793"/>
    <w:rsid w:val="00136183"/>
    <w:rsid w:val="00136440"/>
    <w:rsid w:val="001369A8"/>
    <w:rsid w:val="0013736B"/>
    <w:rsid w:val="001375E8"/>
    <w:rsid w:val="00141103"/>
    <w:rsid w:val="00141254"/>
    <w:rsid w:val="00141A05"/>
    <w:rsid w:val="001433D9"/>
    <w:rsid w:val="00143552"/>
    <w:rsid w:val="00145014"/>
    <w:rsid w:val="0014531B"/>
    <w:rsid w:val="0014672E"/>
    <w:rsid w:val="00146AFE"/>
    <w:rsid w:val="00146E90"/>
    <w:rsid w:val="00146FDD"/>
    <w:rsid w:val="00147C20"/>
    <w:rsid w:val="00151DB0"/>
    <w:rsid w:val="00152310"/>
    <w:rsid w:val="00153086"/>
    <w:rsid w:val="00153252"/>
    <w:rsid w:val="00154F97"/>
    <w:rsid w:val="001553AE"/>
    <w:rsid w:val="001558D0"/>
    <w:rsid w:val="001606D8"/>
    <w:rsid w:val="00160796"/>
    <w:rsid w:val="00160F40"/>
    <w:rsid w:val="00161BC7"/>
    <w:rsid w:val="00162152"/>
    <w:rsid w:val="00162A47"/>
    <w:rsid w:val="001635CD"/>
    <w:rsid w:val="00163D64"/>
    <w:rsid w:val="00166C72"/>
    <w:rsid w:val="00167C92"/>
    <w:rsid w:val="0017008E"/>
    <w:rsid w:val="0017080C"/>
    <w:rsid w:val="0017106A"/>
    <w:rsid w:val="001721A8"/>
    <w:rsid w:val="00172BEC"/>
    <w:rsid w:val="00172F37"/>
    <w:rsid w:val="00173610"/>
    <w:rsid w:val="00174F9A"/>
    <w:rsid w:val="00176055"/>
    <w:rsid w:val="0017696C"/>
    <w:rsid w:val="00177CAC"/>
    <w:rsid w:val="001806A3"/>
    <w:rsid w:val="00181AF2"/>
    <w:rsid w:val="001823BF"/>
    <w:rsid w:val="001825E8"/>
    <w:rsid w:val="0018273F"/>
    <w:rsid w:val="001830EA"/>
    <w:rsid w:val="00183D11"/>
    <w:rsid w:val="001841BB"/>
    <w:rsid w:val="0018496B"/>
    <w:rsid w:val="001862F2"/>
    <w:rsid w:val="00186427"/>
    <w:rsid w:val="00187030"/>
    <w:rsid w:val="001878F2"/>
    <w:rsid w:val="00192E81"/>
    <w:rsid w:val="00193814"/>
    <w:rsid w:val="0019508B"/>
    <w:rsid w:val="001952CA"/>
    <w:rsid w:val="00195AAF"/>
    <w:rsid w:val="00196767"/>
    <w:rsid w:val="0019697E"/>
    <w:rsid w:val="001A046F"/>
    <w:rsid w:val="001A0F65"/>
    <w:rsid w:val="001A1015"/>
    <w:rsid w:val="001A19CA"/>
    <w:rsid w:val="001A258E"/>
    <w:rsid w:val="001A364E"/>
    <w:rsid w:val="001A38CB"/>
    <w:rsid w:val="001A42A6"/>
    <w:rsid w:val="001A4CAD"/>
    <w:rsid w:val="001A58D1"/>
    <w:rsid w:val="001A7855"/>
    <w:rsid w:val="001B0248"/>
    <w:rsid w:val="001B0F9B"/>
    <w:rsid w:val="001B1173"/>
    <w:rsid w:val="001B19E3"/>
    <w:rsid w:val="001B288A"/>
    <w:rsid w:val="001B2D48"/>
    <w:rsid w:val="001B2EC9"/>
    <w:rsid w:val="001B35B1"/>
    <w:rsid w:val="001B3F2B"/>
    <w:rsid w:val="001B3F78"/>
    <w:rsid w:val="001B4D96"/>
    <w:rsid w:val="001B4F02"/>
    <w:rsid w:val="001B59D6"/>
    <w:rsid w:val="001C014D"/>
    <w:rsid w:val="001C043D"/>
    <w:rsid w:val="001C241B"/>
    <w:rsid w:val="001C3167"/>
    <w:rsid w:val="001C3B6E"/>
    <w:rsid w:val="001C5007"/>
    <w:rsid w:val="001C6737"/>
    <w:rsid w:val="001C69B6"/>
    <w:rsid w:val="001D0C0E"/>
    <w:rsid w:val="001D136E"/>
    <w:rsid w:val="001D29D4"/>
    <w:rsid w:val="001D2B31"/>
    <w:rsid w:val="001D32B0"/>
    <w:rsid w:val="001D474C"/>
    <w:rsid w:val="001D4DDC"/>
    <w:rsid w:val="001D5116"/>
    <w:rsid w:val="001D5A40"/>
    <w:rsid w:val="001D66F3"/>
    <w:rsid w:val="001D7A7A"/>
    <w:rsid w:val="001E0AD2"/>
    <w:rsid w:val="001E1648"/>
    <w:rsid w:val="001E1762"/>
    <w:rsid w:val="001E3888"/>
    <w:rsid w:val="001E3952"/>
    <w:rsid w:val="001E4902"/>
    <w:rsid w:val="001E4B8C"/>
    <w:rsid w:val="001E4FC0"/>
    <w:rsid w:val="001E5BAE"/>
    <w:rsid w:val="001E5C85"/>
    <w:rsid w:val="001E6E5B"/>
    <w:rsid w:val="001F14F1"/>
    <w:rsid w:val="001F3467"/>
    <w:rsid w:val="001F404B"/>
    <w:rsid w:val="001F4A9E"/>
    <w:rsid w:val="001F4B00"/>
    <w:rsid w:val="001F5D4F"/>
    <w:rsid w:val="001F63ED"/>
    <w:rsid w:val="001F71A9"/>
    <w:rsid w:val="001F7861"/>
    <w:rsid w:val="0020097E"/>
    <w:rsid w:val="0020134C"/>
    <w:rsid w:val="002039E0"/>
    <w:rsid w:val="002051C5"/>
    <w:rsid w:val="002067CD"/>
    <w:rsid w:val="00206AEF"/>
    <w:rsid w:val="00207EBF"/>
    <w:rsid w:val="002100C4"/>
    <w:rsid w:val="0021038A"/>
    <w:rsid w:val="00210430"/>
    <w:rsid w:val="00210731"/>
    <w:rsid w:val="0021139E"/>
    <w:rsid w:val="00211449"/>
    <w:rsid w:val="002132D7"/>
    <w:rsid w:val="00213536"/>
    <w:rsid w:val="002143D0"/>
    <w:rsid w:val="00216B4D"/>
    <w:rsid w:val="0022268B"/>
    <w:rsid w:val="00222BCE"/>
    <w:rsid w:val="00224394"/>
    <w:rsid w:val="00224438"/>
    <w:rsid w:val="002254EF"/>
    <w:rsid w:val="00225699"/>
    <w:rsid w:val="0022587E"/>
    <w:rsid w:val="00225EEE"/>
    <w:rsid w:val="00225FCA"/>
    <w:rsid w:val="002269D7"/>
    <w:rsid w:val="00226DB2"/>
    <w:rsid w:val="0022704B"/>
    <w:rsid w:val="002300D5"/>
    <w:rsid w:val="0023035F"/>
    <w:rsid w:val="00234026"/>
    <w:rsid w:val="00235FD9"/>
    <w:rsid w:val="00236CF6"/>
    <w:rsid w:val="00236CFE"/>
    <w:rsid w:val="0024000E"/>
    <w:rsid w:val="0024081A"/>
    <w:rsid w:val="0024121D"/>
    <w:rsid w:val="0024306E"/>
    <w:rsid w:val="002432E1"/>
    <w:rsid w:val="00247B94"/>
    <w:rsid w:val="00252CBC"/>
    <w:rsid w:val="00253F86"/>
    <w:rsid w:val="00255170"/>
    <w:rsid w:val="00255B56"/>
    <w:rsid w:val="0025691C"/>
    <w:rsid w:val="0026121B"/>
    <w:rsid w:val="002619E6"/>
    <w:rsid w:val="00261D81"/>
    <w:rsid w:val="00262533"/>
    <w:rsid w:val="00264536"/>
    <w:rsid w:val="00264658"/>
    <w:rsid w:val="00265900"/>
    <w:rsid w:val="0026701D"/>
    <w:rsid w:val="00267736"/>
    <w:rsid w:val="00271595"/>
    <w:rsid w:val="0027166E"/>
    <w:rsid w:val="00272092"/>
    <w:rsid w:val="0027412E"/>
    <w:rsid w:val="002742A1"/>
    <w:rsid w:val="00275941"/>
    <w:rsid w:val="00275B70"/>
    <w:rsid w:val="00276281"/>
    <w:rsid w:val="00280430"/>
    <w:rsid w:val="0028113D"/>
    <w:rsid w:val="00281216"/>
    <w:rsid w:val="002835FD"/>
    <w:rsid w:val="00283790"/>
    <w:rsid w:val="00283BCC"/>
    <w:rsid w:val="00283DE6"/>
    <w:rsid w:val="002848A3"/>
    <w:rsid w:val="00284B3C"/>
    <w:rsid w:val="00284C04"/>
    <w:rsid w:val="00285337"/>
    <w:rsid w:val="002868A2"/>
    <w:rsid w:val="00290F50"/>
    <w:rsid w:val="002911FB"/>
    <w:rsid w:val="00291405"/>
    <w:rsid w:val="0029317E"/>
    <w:rsid w:val="002938CE"/>
    <w:rsid w:val="0029408D"/>
    <w:rsid w:val="0029487C"/>
    <w:rsid w:val="00294C1F"/>
    <w:rsid w:val="002A06B3"/>
    <w:rsid w:val="002A44AC"/>
    <w:rsid w:val="002A5291"/>
    <w:rsid w:val="002A5366"/>
    <w:rsid w:val="002A546F"/>
    <w:rsid w:val="002A7266"/>
    <w:rsid w:val="002B08FB"/>
    <w:rsid w:val="002B1B45"/>
    <w:rsid w:val="002B2D89"/>
    <w:rsid w:val="002B3A87"/>
    <w:rsid w:val="002B3AA8"/>
    <w:rsid w:val="002B4C54"/>
    <w:rsid w:val="002B5426"/>
    <w:rsid w:val="002B5630"/>
    <w:rsid w:val="002B589D"/>
    <w:rsid w:val="002B733C"/>
    <w:rsid w:val="002B7AA3"/>
    <w:rsid w:val="002C0117"/>
    <w:rsid w:val="002C0431"/>
    <w:rsid w:val="002C0490"/>
    <w:rsid w:val="002C07E7"/>
    <w:rsid w:val="002C080E"/>
    <w:rsid w:val="002C1121"/>
    <w:rsid w:val="002C1A89"/>
    <w:rsid w:val="002C1A92"/>
    <w:rsid w:val="002C2000"/>
    <w:rsid w:val="002C22D2"/>
    <w:rsid w:val="002C3BCA"/>
    <w:rsid w:val="002C3C20"/>
    <w:rsid w:val="002C454E"/>
    <w:rsid w:val="002C6080"/>
    <w:rsid w:val="002C62C0"/>
    <w:rsid w:val="002C6425"/>
    <w:rsid w:val="002C76A9"/>
    <w:rsid w:val="002C7700"/>
    <w:rsid w:val="002D0456"/>
    <w:rsid w:val="002D18F9"/>
    <w:rsid w:val="002D293C"/>
    <w:rsid w:val="002D2BEC"/>
    <w:rsid w:val="002D3C11"/>
    <w:rsid w:val="002D4EFB"/>
    <w:rsid w:val="002D6C0F"/>
    <w:rsid w:val="002D6DE1"/>
    <w:rsid w:val="002D7BAB"/>
    <w:rsid w:val="002D7C6A"/>
    <w:rsid w:val="002E0581"/>
    <w:rsid w:val="002E0A49"/>
    <w:rsid w:val="002E1012"/>
    <w:rsid w:val="002E59F2"/>
    <w:rsid w:val="002E6357"/>
    <w:rsid w:val="002E6C7D"/>
    <w:rsid w:val="002E79AE"/>
    <w:rsid w:val="002E7E7F"/>
    <w:rsid w:val="002F13AE"/>
    <w:rsid w:val="002F2772"/>
    <w:rsid w:val="002F278C"/>
    <w:rsid w:val="002F2EB7"/>
    <w:rsid w:val="002F30B8"/>
    <w:rsid w:val="002F4F32"/>
    <w:rsid w:val="002F5071"/>
    <w:rsid w:val="002F5AD5"/>
    <w:rsid w:val="002F5FF8"/>
    <w:rsid w:val="002F6098"/>
    <w:rsid w:val="002F631F"/>
    <w:rsid w:val="002F6904"/>
    <w:rsid w:val="002F70D2"/>
    <w:rsid w:val="002F7870"/>
    <w:rsid w:val="002F7D60"/>
    <w:rsid w:val="00300800"/>
    <w:rsid w:val="00301501"/>
    <w:rsid w:val="003037D9"/>
    <w:rsid w:val="003048A8"/>
    <w:rsid w:val="00311449"/>
    <w:rsid w:val="003115EF"/>
    <w:rsid w:val="00311BF4"/>
    <w:rsid w:val="00313F89"/>
    <w:rsid w:val="0031512E"/>
    <w:rsid w:val="00315C0E"/>
    <w:rsid w:val="00317787"/>
    <w:rsid w:val="00320CB3"/>
    <w:rsid w:val="00322461"/>
    <w:rsid w:val="003246D4"/>
    <w:rsid w:val="00324837"/>
    <w:rsid w:val="003263BB"/>
    <w:rsid w:val="003271E2"/>
    <w:rsid w:val="003307C4"/>
    <w:rsid w:val="003308F2"/>
    <w:rsid w:val="00330D2B"/>
    <w:rsid w:val="003315FE"/>
    <w:rsid w:val="003319AC"/>
    <w:rsid w:val="003321D0"/>
    <w:rsid w:val="0033363C"/>
    <w:rsid w:val="0033636C"/>
    <w:rsid w:val="003363E0"/>
    <w:rsid w:val="00337A8B"/>
    <w:rsid w:val="00340FD6"/>
    <w:rsid w:val="003420A8"/>
    <w:rsid w:val="00343B07"/>
    <w:rsid w:val="00343BA0"/>
    <w:rsid w:val="00344071"/>
    <w:rsid w:val="0034424E"/>
    <w:rsid w:val="00344595"/>
    <w:rsid w:val="003455E0"/>
    <w:rsid w:val="00345BEC"/>
    <w:rsid w:val="00345C70"/>
    <w:rsid w:val="003468A9"/>
    <w:rsid w:val="00351C50"/>
    <w:rsid w:val="00352D95"/>
    <w:rsid w:val="0035753D"/>
    <w:rsid w:val="003576F0"/>
    <w:rsid w:val="003606BD"/>
    <w:rsid w:val="00360A52"/>
    <w:rsid w:val="003612DA"/>
    <w:rsid w:val="00362C5A"/>
    <w:rsid w:val="00362DC4"/>
    <w:rsid w:val="00362E71"/>
    <w:rsid w:val="003632F8"/>
    <w:rsid w:val="00363E47"/>
    <w:rsid w:val="00364ADD"/>
    <w:rsid w:val="00364D13"/>
    <w:rsid w:val="00366249"/>
    <w:rsid w:val="0036633B"/>
    <w:rsid w:val="003663AE"/>
    <w:rsid w:val="00370DD3"/>
    <w:rsid w:val="00370F59"/>
    <w:rsid w:val="003710F5"/>
    <w:rsid w:val="0037314B"/>
    <w:rsid w:val="00375E7E"/>
    <w:rsid w:val="00376E25"/>
    <w:rsid w:val="003770D4"/>
    <w:rsid w:val="00377201"/>
    <w:rsid w:val="0037742B"/>
    <w:rsid w:val="003804BE"/>
    <w:rsid w:val="00382118"/>
    <w:rsid w:val="0038514A"/>
    <w:rsid w:val="0038561A"/>
    <w:rsid w:val="00385F98"/>
    <w:rsid w:val="003860E8"/>
    <w:rsid w:val="003863C0"/>
    <w:rsid w:val="00390C29"/>
    <w:rsid w:val="00392E03"/>
    <w:rsid w:val="00393F95"/>
    <w:rsid w:val="003951F1"/>
    <w:rsid w:val="003957AF"/>
    <w:rsid w:val="0039598B"/>
    <w:rsid w:val="00395B20"/>
    <w:rsid w:val="003970AE"/>
    <w:rsid w:val="003A03D1"/>
    <w:rsid w:val="003A0E4F"/>
    <w:rsid w:val="003A1844"/>
    <w:rsid w:val="003A19AC"/>
    <w:rsid w:val="003A23B7"/>
    <w:rsid w:val="003A24E8"/>
    <w:rsid w:val="003A3C20"/>
    <w:rsid w:val="003A5BDD"/>
    <w:rsid w:val="003A70D9"/>
    <w:rsid w:val="003A7BD3"/>
    <w:rsid w:val="003B04C6"/>
    <w:rsid w:val="003B25B0"/>
    <w:rsid w:val="003B32A6"/>
    <w:rsid w:val="003B3706"/>
    <w:rsid w:val="003B52BE"/>
    <w:rsid w:val="003B537F"/>
    <w:rsid w:val="003B6128"/>
    <w:rsid w:val="003C0B33"/>
    <w:rsid w:val="003C0DEA"/>
    <w:rsid w:val="003C130D"/>
    <w:rsid w:val="003C2BBB"/>
    <w:rsid w:val="003C4004"/>
    <w:rsid w:val="003C4009"/>
    <w:rsid w:val="003C49AF"/>
    <w:rsid w:val="003C5E3E"/>
    <w:rsid w:val="003C5F5F"/>
    <w:rsid w:val="003C614B"/>
    <w:rsid w:val="003C6BB6"/>
    <w:rsid w:val="003C6ED6"/>
    <w:rsid w:val="003C7F57"/>
    <w:rsid w:val="003D07AE"/>
    <w:rsid w:val="003D0B49"/>
    <w:rsid w:val="003D14E3"/>
    <w:rsid w:val="003D1741"/>
    <w:rsid w:val="003D1A4E"/>
    <w:rsid w:val="003D1F48"/>
    <w:rsid w:val="003D279F"/>
    <w:rsid w:val="003D3B25"/>
    <w:rsid w:val="003D3F5F"/>
    <w:rsid w:val="003D502E"/>
    <w:rsid w:val="003D5A74"/>
    <w:rsid w:val="003D5AB4"/>
    <w:rsid w:val="003D5DAD"/>
    <w:rsid w:val="003D69AF"/>
    <w:rsid w:val="003E02EB"/>
    <w:rsid w:val="003E12F6"/>
    <w:rsid w:val="003E21DB"/>
    <w:rsid w:val="003E33D7"/>
    <w:rsid w:val="003E4254"/>
    <w:rsid w:val="003E4D3E"/>
    <w:rsid w:val="003E513E"/>
    <w:rsid w:val="003E51E0"/>
    <w:rsid w:val="003E5518"/>
    <w:rsid w:val="003E56E6"/>
    <w:rsid w:val="003E6044"/>
    <w:rsid w:val="003E7330"/>
    <w:rsid w:val="003F226C"/>
    <w:rsid w:val="003F2A2B"/>
    <w:rsid w:val="003F344B"/>
    <w:rsid w:val="003F3514"/>
    <w:rsid w:val="003F4B8D"/>
    <w:rsid w:val="003F5BB1"/>
    <w:rsid w:val="003F6099"/>
    <w:rsid w:val="003F62E1"/>
    <w:rsid w:val="003F69E8"/>
    <w:rsid w:val="003F6A95"/>
    <w:rsid w:val="00400E96"/>
    <w:rsid w:val="00402B3F"/>
    <w:rsid w:val="00402F31"/>
    <w:rsid w:val="004035DA"/>
    <w:rsid w:val="004057CB"/>
    <w:rsid w:val="00405B8F"/>
    <w:rsid w:val="0041143A"/>
    <w:rsid w:val="004114DD"/>
    <w:rsid w:val="00411D01"/>
    <w:rsid w:val="0041422B"/>
    <w:rsid w:val="00415058"/>
    <w:rsid w:val="004161FB"/>
    <w:rsid w:val="00416B27"/>
    <w:rsid w:val="00417103"/>
    <w:rsid w:val="0041768C"/>
    <w:rsid w:val="00420205"/>
    <w:rsid w:val="00421ABB"/>
    <w:rsid w:val="004225B0"/>
    <w:rsid w:val="0042303C"/>
    <w:rsid w:val="00423560"/>
    <w:rsid w:val="00423972"/>
    <w:rsid w:val="00423C7A"/>
    <w:rsid w:val="0042469F"/>
    <w:rsid w:val="00425D79"/>
    <w:rsid w:val="00432455"/>
    <w:rsid w:val="00432B19"/>
    <w:rsid w:val="004340FD"/>
    <w:rsid w:val="00434D07"/>
    <w:rsid w:val="00435D3B"/>
    <w:rsid w:val="004364D0"/>
    <w:rsid w:val="00437D7B"/>
    <w:rsid w:val="004429AB"/>
    <w:rsid w:val="00442DD8"/>
    <w:rsid w:val="00442DED"/>
    <w:rsid w:val="00443178"/>
    <w:rsid w:val="004432C0"/>
    <w:rsid w:val="00444FD8"/>
    <w:rsid w:val="004451AB"/>
    <w:rsid w:val="00445A86"/>
    <w:rsid w:val="00446B95"/>
    <w:rsid w:val="00446E83"/>
    <w:rsid w:val="00446FC8"/>
    <w:rsid w:val="0044727B"/>
    <w:rsid w:val="00447D55"/>
    <w:rsid w:val="0045087D"/>
    <w:rsid w:val="004513E1"/>
    <w:rsid w:val="00451D65"/>
    <w:rsid w:val="004529E6"/>
    <w:rsid w:val="00455A06"/>
    <w:rsid w:val="00457E51"/>
    <w:rsid w:val="004602F9"/>
    <w:rsid w:val="0046084F"/>
    <w:rsid w:val="00460922"/>
    <w:rsid w:val="004609F7"/>
    <w:rsid w:val="00460B25"/>
    <w:rsid w:val="00461C65"/>
    <w:rsid w:val="00462452"/>
    <w:rsid w:val="00462566"/>
    <w:rsid w:val="00463943"/>
    <w:rsid w:val="00463DF8"/>
    <w:rsid w:val="00464F25"/>
    <w:rsid w:val="00465058"/>
    <w:rsid w:val="00466B0D"/>
    <w:rsid w:val="004676BD"/>
    <w:rsid w:val="00467936"/>
    <w:rsid w:val="0047107B"/>
    <w:rsid w:val="00473E0C"/>
    <w:rsid w:val="004741A6"/>
    <w:rsid w:val="00474DF8"/>
    <w:rsid w:val="0047517E"/>
    <w:rsid w:val="00475711"/>
    <w:rsid w:val="004800C4"/>
    <w:rsid w:val="00482C16"/>
    <w:rsid w:val="00483DE0"/>
    <w:rsid w:val="00484F87"/>
    <w:rsid w:val="004876BA"/>
    <w:rsid w:val="00490815"/>
    <w:rsid w:val="00493F4A"/>
    <w:rsid w:val="0049429F"/>
    <w:rsid w:val="004946C2"/>
    <w:rsid w:val="00494739"/>
    <w:rsid w:val="00494C88"/>
    <w:rsid w:val="00494CEB"/>
    <w:rsid w:val="00496626"/>
    <w:rsid w:val="004A104B"/>
    <w:rsid w:val="004A1517"/>
    <w:rsid w:val="004A1E92"/>
    <w:rsid w:val="004A21F4"/>
    <w:rsid w:val="004A3B82"/>
    <w:rsid w:val="004A4BF2"/>
    <w:rsid w:val="004A4C64"/>
    <w:rsid w:val="004A59B5"/>
    <w:rsid w:val="004A64CF"/>
    <w:rsid w:val="004A725F"/>
    <w:rsid w:val="004A7BEB"/>
    <w:rsid w:val="004B18BD"/>
    <w:rsid w:val="004B1AEA"/>
    <w:rsid w:val="004B1B2B"/>
    <w:rsid w:val="004B1E8B"/>
    <w:rsid w:val="004B2334"/>
    <w:rsid w:val="004B33F6"/>
    <w:rsid w:val="004B3647"/>
    <w:rsid w:val="004B3C77"/>
    <w:rsid w:val="004B4265"/>
    <w:rsid w:val="004B5E0E"/>
    <w:rsid w:val="004C0EBA"/>
    <w:rsid w:val="004C11E4"/>
    <w:rsid w:val="004C2195"/>
    <w:rsid w:val="004C21D6"/>
    <w:rsid w:val="004C268D"/>
    <w:rsid w:val="004C3A4F"/>
    <w:rsid w:val="004C4A73"/>
    <w:rsid w:val="004C629B"/>
    <w:rsid w:val="004C7D66"/>
    <w:rsid w:val="004D028E"/>
    <w:rsid w:val="004D046B"/>
    <w:rsid w:val="004D0BFB"/>
    <w:rsid w:val="004D1F32"/>
    <w:rsid w:val="004D2970"/>
    <w:rsid w:val="004D333D"/>
    <w:rsid w:val="004D3A75"/>
    <w:rsid w:val="004D4650"/>
    <w:rsid w:val="004D4852"/>
    <w:rsid w:val="004D4AE7"/>
    <w:rsid w:val="004D4E4B"/>
    <w:rsid w:val="004D564E"/>
    <w:rsid w:val="004D778E"/>
    <w:rsid w:val="004D7CE7"/>
    <w:rsid w:val="004E00B6"/>
    <w:rsid w:val="004E0217"/>
    <w:rsid w:val="004E34BF"/>
    <w:rsid w:val="004E4F06"/>
    <w:rsid w:val="004E6024"/>
    <w:rsid w:val="004E796B"/>
    <w:rsid w:val="004F0CBB"/>
    <w:rsid w:val="004F149B"/>
    <w:rsid w:val="004F26BC"/>
    <w:rsid w:val="004F33E9"/>
    <w:rsid w:val="004F3630"/>
    <w:rsid w:val="004F4065"/>
    <w:rsid w:val="004F607A"/>
    <w:rsid w:val="004F6943"/>
    <w:rsid w:val="0050041D"/>
    <w:rsid w:val="0050219A"/>
    <w:rsid w:val="005023BF"/>
    <w:rsid w:val="005046AA"/>
    <w:rsid w:val="0050571E"/>
    <w:rsid w:val="00505AAC"/>
    <w:rsid w:val="005063CC"/>
    <w:rsid w:val="00506C79"/>
    <w:rsid w:val="005076B0"/>
    <w:rsid w:val="00510129"/>
    <w:rsid w:val="00510C08"/>
    <w:rsid w:val="0051154F"/>
    <w:rsid w:val="005119EF"/>
    <w:rsid w:val="00512A96"/>
    <w:rsid w:val="00513004"/>
    <w:rsid w:val="0051393C"/>
    <w:rsid w:val="0051473A"/>
    <w:rsid w:val="00515876"/>
    <w:rsid w:val="00516F22"/>
    <w:rsid w:val="00517163"/>
    <w:rsid w:val="00517CC2"/>
    <w:rsid w:val="00517F4A"/>
    <w:rsid w:val="00521957"/>
    <w:rsid w:val="00522BFB"/>
    <w:rsid w:val="00522D26"/>
    <w:rsid w:val="00522E4E"/>
    <w:rsid w:val="00523747"/>
    <w:rsid w:val="0052449A"/>
    <w:rsid w:val="00524791"/>
    <w:rsid w:val="0052517F"/>
    <w:rsid w:val="00526D37"/>
    <w:rsid w:val="005310CD"/>
    <w:rsid w:val="005312C0"/>
    <w:rsid w:val="00532B51"/>
    <w:rsid w:val="00532FCE"/>
    <w:rsid w:val="005337EE"/>
    <w:rsid w:val="00533CBA"/>
    <w:rsid w:val="00534ADB"/>
    <w:rsid w:val="005361E0"/>
    <w:rsid w:val="00536E93"/>
    <w:rsid w:val="005409DE"/>
    <w:rsid w:val="005409E2"/>
    <w:rsid w:val="00543602"/>
    <w:rsid w:val="005446DC"/>
    <w:rsid w:val="0054612C"/>
    <w:rsid w:val="005465FE"/>
    <w:rsid w:val="00546644"/>
    <w:rsid w:val="00546B72"/>
    <w:rsid w:val="00550933"/>
    <w:rsid w:val="00551AAB"/>
    <w:rsid w:val="005529FC"/>
    <w:rsid w:val="00552ABE"/>
    <w:rsid w:val="00553AB3"/>
    <w:rsid w:val="00554360"/>
    <w:rsid w:val="005546AB"/>
    <w:rsid w:val="00555027"/>
    <w:rsid w:val="0055778A"/>
    <w:rsid w:val="00557B10"/>
    <w:rsid w:val="00560F2E"/>
    <w:rsid w:val="00563CE0"/>
    <w:rsid w:val="00563E9B"/>
    <w:rsid w:val="00564128"/>
    <w:rsid w:val="00565C37"/>
    <w:rsid w:val="00566C90"/>
    <w:rsid w:val="00566D63"/>
    <w:rsid w:val="00566E8A"/>
    <w:rsid w:val="005676E0"/>
    <w:rsid w:val="00567A62"/>
    <w:rsid w:val="005700F8"/>
    <w:rsid w:val="00570458"/>
    <w:rsid w:val="00571FE2"/>
    <w:rsid w:val="005720EC"/>
    <w:rsid w:val="0057253A"/>
    <w:rsid w:val="0057292C"/>
    <w:rsid w:val="00572D24"/>
    <w:rsid w:val="00572EDE"/>
    <w:rsid w:val="0057423D"/>
    <w:rsid w:val="005748AA"/>
    <w:rsid w:val="00575ED0"/>
    <w:rsid w:val="00576436"/>
    <w:rsid w:val="00576F19"/>
    <w:rsid w:val="005778C9"/>
    <w:rsid w:val="0058026A"/>
    <w:rsid w:val="00580384"/>
    <w:rsid w:val="00581BDB"/>
    <w:rsid w:val="0058287F"/>
    <w:rsid w:val="0058373D"/>
    <w:rsid w:val="00584211"/>
    <w:rsid w:val="00585260"/>
    <w:rsid w:val="00585728"/>
    <w:rsid w:val="00585DFC"/>
    <w:rsid w:val="00591447"/>
    <w:rsid w:val="00594BFF"/>
    <w:rsid w:val="00595C30"/>
    <w:rsid w:val="00596932"/>
    <w:rsid w:val="00596CF9"/>
    <w:rsid w:val="00597018"/>
    <w:rsid w:val="0059717D"/>
    <w:rsid w:val="0059727F"/>
    <w:rsid w:val="00597C93"/>
    <w:rsid w:val="00597D7F"/>
    <w:rsid w:val="005A0357"/>
    <w:rsid w:val="005A132E"/>
    <w:rsid w:val="005A2991"/>
    <w:rsid w:val="005A41D4"/>
    <w:rsid w:val="005A521C"/>
    <w:rsid w:val="005A5AF2"/>
    <w:rsid w:val="005B02BD"/>
    <w:rsid w:val="005B18E7"/>
    <w:rsid w:val="005B21AA"/>
    <w:rsid w:val="005B2612"/>
    <w:rsid w:val="005B3FC5"/>
    <w:rsid w:val="005B57F6"/>
    <w:rsid w:val="005B5B5B"/>
    <w:rsid w:val="005B70D0"/>
    <w:rsid w:val="005C0FD2"/>
    <w:rsid w:val="005C2B9E"/>
    <w:rsid w:val="005C3727"/>
    <w:rsid w:val="005C39AC"/>
    <w:rsid w:val="005C52AE"/>
    <w:rsid w:val="005C5DC4"/>
    <w:rsid w:val="005C6453"/>
    <w:rsid w:val="005D1707"/>
    <w:rsid w:val="005D39CD"/>
    <w:rsid w:val="005D44EE"/>
    <w:rsid w:val="005D4683"/>
    <w:rsid w:val="005D4BDE"/>
    <w:rsid w:val="005D4C08"/>
    <w:rsid w:val="005D61F6"/>
    <w:rsid w:val="005D64C4"/>
    <w:rsid w:val="005D7503"/>
    <w:rsid w:val="005D7C03"/>
    <w:rsid w:val="005D7CC4"/>
    <w:rsid w:val="005E0BA9"/>
    <w:rsid w:val="005E0F67"/>
    <w:rsid w:val="005E13EB"/>
    <w:rsid w:val="005E211A"/>
    <w:rsid w:val="005E3EE7"/>
    <w:rsid w:val="005E4274"/>
    <w:rsid w:val="005E4C53"/>
    <w:rsid w:val="005E5839"/>
    <w:rsid w:val="005E60BB"/>
    <w:rsid w:val="005E6CD7"/>
    <w:rsid w:val="005F1BDB"/>
    <w:rsid w:val="005F229F"/>
    <w:rsid w:val="005F3085"/>
    <w:rsid w:val="005F43D1"/>
    <w:rsid w:val="005F472D"/>
    <w:rsid w:val="005F4E11"/>
    <w:rsid w:val="005F5124"/>
    <w:rsid w:val="005F5555"/>
    <w:rsid w:val="005F688E"/>
    <w:rsid w:val="005F6944"/>
    <w:rsid w:val="005F7685"/>
    <w:rsid w:val="005F7F3B"/>
    <w:rsid w:val="00600FCA"/>
    <w:rsid w:val="006015AD"/>
    <w:rsid w:val="00601652"/>
    <w:rsid w:val="006016C8"/>
    <w:rsid w:val="0060303B"/>
    <w:rsid w:val="0060392C"/>
    <w:rsid w:val="00603ACF"/>
    <w:rsid w:val="0060574A"/>
    <w:rsid w:val="00606C8B"/>
    <w:rsid w:val="006074C3"/>
    <w:rsid w:val="00611F7E"/>
    <w:rsid w:val="00612848"/>
    <w:rsid w:val="006151DA"/>
    <w:rsid w:val="0061604B"/>
    <w:rsid w:val="00616502"/>
    <w:rsid w:val="00620CED"/>
    <w:rsid w:val="0062111E"/>
    <w:rsid w:val="00622C6A"/>
    <w:rsid w:val="0062441B"/>
    <w:rsid w:val="00625FBA"/>
    <w:rsid w:val="0062674F"/>
    <w:rsid w:val="00630380"/>
    <w:rsid w:val="006307D8"/>
    <w:rsid w:val="00631003"/>
    <w:rsid w:val="0063112F"/>
    <w:rsid w:val="006327D7"/>
    <w:rsid w:val="00633E4E"/>
    <w:rsid w:val="00634432"/>
    <w:rsid w:val="00635CD4"/>
    <w:rsid w:val="0063634C"/>
    <w:rsid w:val="00637BE9"/>
    <w:rsid w:val="00637E5E"/>
    <w:rsid w:val="006420A9"/>
    <w:rsid w:val="00642473"/>
    <w:rsid w:val="0064409F"/>
    <w:rsid w:val="00645CB5"/>
    <w:rsid w:val="00647FD2"/>
    <w:rsid w:val="00650733"/>
    <w:rsid w:val="00650CA3"/>
    <w:rsid w:val="006520D6"/>
    <w:rsid w:val="006536DF"/>
    <w:rsid w:val="0065506D"/>
    <w:rsid w:val="006565F3"/>
    <w:rsid w:val="00657075"/>
    <w:rsid w:val="0066040E"/>
    <w:rsid w:val="00661591"/>
    <w:rsid w:val="006616BE"/>
    <w:rsid w:val="006621F9"/>
    <w:rsid w:val="006622C4"/>
    <w:rsid w:val="0066319C"/>
    <w:rsid w:val="00664C73"/>
    <w:rsid w:val="00665CD9"/>
    <w:rsid w:val="00670A48"/>
    <w:rsid w:val="00672A86"/>
    <w:rsid w:val="00673096"/>
    <w:rsid w:val="0067377D"/>
    <w:rsid w:val="00673F81"/>
    <w:rsid w:val="00675FD5"/>
    <w:rsid w:val="00677F2B"/>
    <w:rsid w:val="006810F6"/>
    <w:rsid w:val="00682B44"/>
    <w:rsid w:val="00683347"/>
    <w:rsid w:val="006850FE"/>
    <w:rsid w:val="00685920"/>
    <w:rsid w:val="0068645D"/>
    <w:rsid w:val="00686CEA"/>
    <w:rsid w:val="0068745A"/>
    <w:rsid w:val="0068771E"/>
    <w:rsid w:val="00687D84"/>
    <w:rsid w:val="006902AD"/>
    <w:rsid w:val="00690542"/>
    <w:rsid w:val="00691341"/>
    <w:rsid w:val="00691D00"/>
    <w:rsid w:val="00691EF9"/>
    <w:rsid w:val="00692A22"/>
    <w:rsid w:val="006941F6"/>
    <w:rsid w:val="00694280"/>
    <w:rsid w:val="00695101"/>
    <w:rsid w:val="00695548"/>
    <w:rsid w:val="00696FE9"/>
    <w:rsid w:val="0069798E"/>
    <w:rsid w:val="00697F0C"/>
    <w:rsid w:val="006A048C"/>
    <w:rsid w:val="006A2A52"/>
    <w:rsid w:val="006A3AB7"/>
    <w:rsid w:val="006A458F"/>
    <w:rsid w:val="006A7814"/>
    <w:rsid w:val="006B02CF"/>
    <w:rsid w:val="006B40EB"/>
    <w:rsid w:val="006B4F3F"/>
    <w:rsid w:val="006B551F"/>
    <w:rsid w:val="006B5A1D"/>
    <w:rsid w:val="006C06B6"/>
    <w:rsid w:val="006C09AE"/>
    <w:rsid w:val="006C1E82"/>
    <w:rsid w:val="006C2F28"/>
    <w:rsid w:val="006C3B72"/>
    <w:rsid w:val="006C3B91"/>
    <w:rsid w:val="006C441D"/>
    <w:rsid w:val="006C4C4E"/>
    <w:rsid w:val="006C5517"/>
    <w:rsid w:val="006C7828"/>
    <w:rsid w:val="006D0E4C"/>
    <w:rsid w:val="006D219C"/>
    <w:rsid w:val="006D41D8"/>
    <w:rsid w:val="006D4258"/>
    <w:rsid w:val="006D4FDC"/>
    <w:rsid w:val="006D512E"/>
    <w:rsid w:val="006D521B"/>
    <w:rsid w:val="006D5B2A"/>
    <w:rsid w:val="006D5F63"/>
    <w:rsid w:val="006D6ADE"/>
    <w:rsid w:val="006E2965"/>
    <w:rsid w:val="006E46C8"/>
    <w:rsid w:val="006E541F"/>
    <w:rsid w:val="006E6C3F"/>
    <w:rsid w:val="006E6EDF"/>
    <w:rsid w:val="006E7E86"/>
    <w:rsid w:val="006F0111"/>
    <w:rsid w:val="006F079A"/>
    <w:rsid w:val="006F1585"/>
    <w:rsid w:val="006F2FE4"/>
    <w:rsid w:val="006F301B"/>
    <w:rsid w:val="006F3957"/>
    <w:rsid w:val="006F4371"/>
    <w:rsid w:val="006F45E9"/>
    <w:rsid w:val="006F4693"/>
    <w:rsid w:val="006F739E"/>
    <w:rsid w:val="006F74DA"/>
    <w:rsid w:val="006F7A37"/>
    <w:rsid w:val="00700014"/>
    <w:rsid w:val="00701A2F"/>
    <w:rsid w:val="007027B6"/>
    <w:rsid w:val="00702DF1"/>
    <w:rsid w:val="00702F09"/>
    <w:rsid w:val="007030DD"/>
    <w:rsid w:val="00704D07"/>
    <w:rsid w:val="00705F82"/>
    <w:rsid w:val="00706716"/>
    <w:rsid w:val="00706912"/>
    <w:rsid w:val="00706B43"/>
    <w:rsid w:val="0071195F"/>
    <w:rsid w:val="00711D36"/>
    <w:rsid w:val="007120D1"/>
    <w:rsid w:val="00712352"/>
    <w:rsid w:val="00712C81"/>
    <w:rsid w:val="00714CE7"/>
    <w:rsid w:val="00716451"/>
    <w:rsid w:val="00716887"/>
    <w:rsid w:val="00716982"/>
    <w:rsid w:val="00716C47"/>
    <w:rsid w:val="007170C7"/>
    <w:rsid w:val="007170C8"/>
    <w:rsid w:val="00720C88"/>
    <w:rsid w:val="00722DE0"/>
    <w:rsid w:val="00722FDC"/>
    <w:rsid w:val="0072318D"/>
    <w:rsid w:val="0072628F"/>
    <w:rsid w:val="00726837"/>
    <w:rsid w:val="00726DFD"/>
    <w:rsid w:val="00727EBD"/>
    <w:rsid w:val="00730BE6"/>
    <w:rsid w:val="00731B01"/>
    <w:rsid w:val="0073251B"/>
    <w:rsid w:val="007328C2"/>
    <w:rsid w:val="00732FD0"/>
    <w:rsid w:val="0073353F"/>
    <w:rsid w:val="00733643"/>
    <w:rsid w:val="00733E1D"/>
    <w:rsid w:val="0073514C"/>
    <w:rsid w:val="007357F7"/>
    <w:rsid w:val="00735E19"/>
    <w:rsid w:val="00736CA8"/>
    <w:rsid w:val="0073784B"/>
    <w:rsid w:val="00740D2A"/>
    <w:rsid w:val="0074137C"/>
    <w:rsid w:val="00742D49"/>
    <w:rsid w:val="0074426A"/>
    <w:rsid w:val="00744DE0"/>
    <w:rsid w:val="007456B3"/>
    <w:rsid w:val="007467F3"/>
    <w:rsid w:val="007474F6"/>
    <w:rsid w:val="00747C27"/>
    <w:rsid w:val="007502BF"/>
    <w:rsid w:val="007503E2"/>
    <w:rsid w:val="007513DD"/>
    <w:rsid w:val="007530D7"/>
    <w:rsid w:val="00753600"/>
    <w:rsid w:val="007546EC"/>
    <w:rsid w:val="00755798"/>
    <w:rsid w:val="00756895"/>
    <w:rsid w:val="0075742F"/>
    <w:rsid w:val="00757B24"/>
    <w:rsid w:val="00762030"/>
    <w:rsid w:val="00762E6A"/>
    <w:rsid w:val="0076395E"/>
    <w:rsid w:val="00763C12"/>
    <w:rsid w:val="00765738"/>
    <w:rsid w:val="00766774"/>
    <w:rsid w:val="0076752E"/>
    <w:rsid w:val="007702AF"/>
    <w:rsid w:val="0077069B"/>
    <w:rsid w:val="00771889"/>
    <w:rsid w:val="007719DD"/>
    <w:rsid w:val="00771E56"/>
    <w:rsid w:val="007734A3"/>
    <w:rsid w:val="007746D7"/>
    <w:rsid w:val="00776FAC"/>
    <w:rsid w:val="00780DAA"/>
    <w:rsid w:val="0078164E"/>
    <w:rsid w:val="00784F7A"/>
    <w:rsid w:val="00790284"/>
    <w:rsid w:val="00790E46"/>
    <w:rsid w:val="00791334"/>
    <w:rsid w:val="00791808"/>
    <w:rsid w:val="00792EB2"/>
    <w:rsid w:val="00793D91"/>
    <w:rsid w:val="00794A95"/>
    <w:rsid w:val="007952C8"/>
    <w:rsid w:val="007952E0"/>
    <w:rsid w:val="00795FEF"/>
    <w:rsid w:val="00796A4B"/>
    <w:rsid w:val="00796BD9"/>
    <w:rsid w:val="007970D0"/>
    <w:rsid w:val="007A02F3"/>
    <w:rsid w:val="007A18EC"/>
    <w:rsid w:val="007A289F"/>
    <w:rsid w:val="007A3113"/>
    <w:rsid w:val="007A3B26"/>
    <w:rsid w:val="007A4062"/>
    <w:rsid w:val="007A4DBC"/>
    <w:rsid w:val="007A586A"/>
    <w:rsid w:val="007B02F2"/>
    <w:rsid w:val="007B0FE9"/>
    <w:rsid w:val="007B1205"/>
    <w:rsid w:val="007B1BD7"/>
    <w:rsid w:val="007B2011"/>
    <w:rsid w:val="007B2AF6"/>
    <w:rsid w:val="007B2E22"/>
    <w:rsid w:val="007B2E6E"/>
    <w:rsid w:val="007B36F3"/>
    <w:rsid w:val="007B38FC"/>
    <w:rsid w:val="007B5194"/>
    <w:rsid w:val="007B55AF"/>
    <w:rsid w:val="007B778C"/>
    <w:rsid w:val="007C1280"/>
    <w:rsid w:val="007C21AF"/>
    <w:rsid w:val="007C2790"/>
    <w:rsid w:val="007C2FEC"/>
    <w:rsid w:val="007C36F2"/>
    <w:rsid w:val="007C4414"/>
    <w:rsid w:val="007C5D0B"/>
    <w:rsid w:val="007C6A25"/>
    <w:rsid w:val="007D0E73"/>
    <w:rsid w:val="007D25EB"/>
    <w:rsid w:val="007D2A05"/>
    <w:rsid w:val="007D596F"/>
    <w:rsid w:val="007D68D1"/>
    <w:rsid w:val="007D6D33"/>
    <w:rsid w:val="007D6E42"/>
    <w:rsid w:val="007E063B"/>
    <w:rsid w:val="007E2A94"/>
    <w:rsid w:val="007E3EDF"/>
    <w:rsid w:val="007E712F"/>
    <w:rsid w:val="007E7356"/>
    <w:rsid w:val="007E7D79"/>
    <w:rsid w:val="007E7F48"/>
    <w:rsid w:val="007F10A6"/>
    <w:rsid w:val="007F34B7"/>
    <w:rsid w:val="007F34CA"/>
    <w:rsid w:val="007F3B5F"/>
    <w:rsid w:val="007F40D9"/>
    <w:rsid w:val="007F53A5"/>
    <w:rsid w:val="007F6630"/>
    <w:rsid w:val="007F6AB3"/>
    <w:rsid w:val="007F7959"/>
    <w:rsid w:val="007F7AB3"/>
    <w:rsid w:val="00801171"/>
    <w:rsid w:val="00801793"/>
    <w:rsid w:val="008023A0"/>
    <w:rsid w:val="0080350C"/>
    <w:rsid w:val="00804A54"/>
    <w:rsid w:val="008063B8"/>
    <w:rsid w:val="00807132"/>
    <w:rsid w:val="00807621"/>
    <w:rsid w:val="0080779A"/>
    <w:rsid w:val="00807F89"/>
    <w:rsid w:val="00811BB3"/>
    <w:rsid w:val="0081215E"/>
    <w:rsid w:val="00814C1E"/>
    <w:rsid w:val="00814E5D"/>
    <w:rsid w:val="00815CFE"/>
    <w:rsid w:val="0081756C"/>
    <w:rsid w:val="00820F42"/>
    <w:rsid w:val="00821039"/>
    <w:rsid w:val="0082156D"/>
    <w:rsid w:val="008221F2"/>
    <w:rsid w:val="00822770"/>
    <w:rsid w:val="00823973"/>
    <w:rsid w:val="00823F25"/>
    <w:rsid w:val="00824CB6"/>
    <w:rsid w:val="008265C1"/>
    <w:rsid w:val="008271E2"/>
    <w:rsid w:val="00827BCE"/>
    <w:rsid w:val="0083014F"/>
    <w:rsid w:val="0083098C"/>
    <w:rsid w:val="00830F39"/>
    <w:rsid w:val="0083131B"/>
    <w:rsid w:val="008340EB"/>
    <w:rsid w:val="008358D9"/>
    <w:rsid w:val="00836354"/>
    <w:rsid w:val="00840A92"/>
    <w:rsid w:val="00840B66"/>
    <w:rsid w:val="00840BF9"/>
    <w:rsid w:val="00840E47"/>
    <w:rsid w:val="008419AD"/>
    <w:rsid w:val="00841BD2"/>
    <w:rsid w:val="00841F67"/>
    <w:rsid w:val="00842091"/>
    <w:rsid w:val="0084271F"/>
    <w:rsid w:val="008448CF"/>
    <w:rsid w:val="00844FB1"/>
    <w:rsid w:val="0084570C"/>
    <w:rsid w:val="00845AE4"/>
    <w:rsid w:val="00845C6A"/>
    <w:rsid w:val="00845DD9"/>
    <w:rsid w:val="00845E85"/>
    <w:rsid w:val="00847491"/>
    <w:rsid w:val="00850335"/>
    <w:rsid w:val="0085192F"/>
    <w:rsid w:val="00852A39"/>
    <w:rsid w:val="0085448C"/>
    <w:rsid w:val="0085486A"/>
    <w:rsid w:val="00854B94"/>
    <w:rsid w:val="00855A2B"/>
    <w:rsid w:val="0085781E"/>
    <w:rsid w:val="00862424"/>
    <w:rsid w:val="0086509E"/>
    <w:rsid w:val="00866147"/>
    <w:rsid w:val="00867592"/>
    <w:rsid w:val="00867BCF"/>
    <w:rsid w:val="008709EE"/>
    <w:rsid w:val="00871026"/>
    <w:rsid w:val="0087128A"/>
    <w:rsid w:val="0087134E"/>
    <w:rsid w:val="008722B8"/>
    <w:rsid w:val="00872A1E"/>
    <w:rsid w:val="00873762"/>
    <w:rsid w:val="00873A75"/>
    <w:rsid w:val="008742C5"/>
    <w:rsid w:val="00874D12"/>
    <w:rsid w:val="00874DF6"/>
    <w:rsid w:val="00876F63"/>
    <w:rsid w:val="008776A3"/>
    <w:rsid w:val="0087796E"/>
    <w:rsid w:val="00877BC8"/>
    <w:rsid w:val="008811AA"/>
    <w:rsid w:val="008813F6"/>
    <w:rsid w:val="008819CD"/>
    <w:rsid w:val="00881BD1"/>
    <w:rsid w:val="008828F8"/>
    <w:rsid w:val="008833AC"/>
    <w:rsid w:val="0088389D"/>
    <w:rsid w:val="008846BE"/>
    <w:rsid w:val="00884C78"/>
    <w:rsid w:val="00884D43"/>
    <w:rsid w:val="00884EF4"/>
    <w:rsid w:val="00885372"/>
    <w:rsid w:val="0088550B"/>
    <w:rsid w:val="008858E9"/>
    <w:rsid w:val="0088600D"/>
    <w:rsid w:val="00887B32"/>
    <w:rsid w:val="00887FC4"/>
    <w:rsid w:val="008902C6"/>
    <w:rsid w:val="00890B3F"/>
    <w:rsid w:val="00891BE5"/>
    <w:rsid w:val="0089648A"/>
    <w:rsid w:val="008964C4"/>
    <w:rsid w:val="00896A88"/>
    <w:rsid w:val="008978F1"/>
    <w:rsid w:val="00897B81"/>
    <w:rsid w:val="00897EA2"/>
    <w:rsid w:val="008A30F4"/>
    <w:rsid w:val="008A5BD1"/>
    <w:rsid w:val="008A6B69"/>
    <w:rsid w:val="008B052E"/>
    <w:rsid w:val="008B05B0"/>
    <w:rsid w:val="008B1C21"/>
    <w:rsid w:val="008B1DE8"/>
    <w:rsid w:val="008B2B34"/>
    <w:rsid w:val="008B46C6"/>
    <w:rsid w:val="008B5930"/>
    <w:rsid w:val="008B59D4"/>
    <w:rsid w:val="008B6721"/>
    <w:rsid w:val="008B7D4C"/>
    <w:rsid w:val="008C0F33"/>
    <w:rsid w:val="008C22FB"/>
    <w:rsid w:val="008C2CC0"/>
    <w:rsid w:val="008C3DF2"/>
    <w:rsid w:val="008C40EA"/>
    <w:rsid w:val="008C4D70"/>
    <w:rsid w:val="008C4F54"/>
    <w:rsid w:val="008C5262"/>
    <w:rsid w:val="008C64DC"/>
    <w:rsid w:val="008D0B12"/>
    <w:rsid w:val="008D0FE4"/>
    <w:rsid w:val="008D10CB"/>
    <w:rsid w:val="008D10F9"/>
    <w:rsid w:val="008D171F"/>
    <w:rsid w:val="008D17AC"/>
    <w:rsid w:val="008D1F41"/>
    <w:rsid w:val="008D3607"/>
    <w:rsid w:val="008D446A"/>
    <w:rsid w:val="008D5388"/>
    <w:rsid w:val="008D5FB7"/>
    <w:rsid w:val="008D6031"/>
    <w:rsid w:val="008D6814"/>
    <w:rsid w:val="008D72F3"/>
    <w:rsid w:val="008E0612"/>
    <w:rsid w:val="008E09CE"/>
    <w:rsid w:val="008E3060"/>
    <w:rsid w:val="008E307D"/>
    <w:rsid w:val="008E3108"/>
    <w:rsid w:val="008E5D26"/>
    <w:rsid w:val="008E66CB"/>
    <w:rsid w:val="008F0E5D"/>
    <w:rsid w:val="008F48F6"/>
    <w:rsid w:val="008F7749"/>
    <w:rsid w:val="0090021E"/>
    <w:rsid w:val="009006AF"/>
    <w:rsid w:val="00900B7C"/>
    <w:rsid w:val="009010D3"/>
    <w:rsid w:val="00902512"/>
    <w:rsid w:val="0090458C"/>
    <w:rsid w:val="00904D2E"/>
    <w:rsid w:val="00906373"/>
    <w:rsid w:val="00907954"/>
    <w:rsid w:val="00911526"/>
    <w:rsid w:val="00911625"/>
    <w:rsid w:val="009116E8"/>
    <w:rsid w:val="0091233C"/>
    <w:rsid w:val="009145D5"/>
    <w:rsid w:val="00914DF6"/>
    <w:rsid w:val="00915A29"/>
    <w:rsid w:val="00915DC7"/>
    <w:rsid w:val="0091759F"/>
    <w:rsid w:val="00920B8C"/>
    <w:rsid w:val="00921508"/>
    <w:rsid w:val="0092179B"/>
    <w:rsid w:val="00922099"/>
    <w:rsid w:val="00925345"/>
    <w:rsid w:val="00925D8D"/>
    <w:rsid w:val="00925E4D"/>
    <w:rsid w:val="009266D4"/>
    <w:rsid w:val="00926962"/>
    <w:rsid w:val="009275DF"/>
    <w:rsid w:val="00927FDD"/>
    <w:rsid w:val="00927FF4"/>
    <w:rsid w:val="009312C6"/>
    <w:rsid w:val="009315C6"/>
    <w:rsid w:val="00932996"/>
    <w:rsid w:val="00932D55"/>
    <w:rsid w:val="0093331F"/>
    <w:rsid w:val="00934401"/>
    <w:rsid w:val="00935C7B"/>
    <w:rsid w:val="0093620E"/>
    <w:rsid w:val="00936B06"/>
    <w:rsid w:val="00937AFC"/>
    <w:rsid w:val="0094012A"/>
    <w:rsid w:val="00940365"/>
    <w:rsid w:val="00941D02"/>
    <w:rsid w:val="00941D0F"/>
    <w:rsid w:val="009424DA"/>
    <w:rsid w:val="009463C4"/>
    <w:rsid w:val="00946CE3"/>
    <w:rsid w:val="00947260"/>
    <w:rsid w:val="00950731"/>
    <w:rsid w:val="00950A3D"/>
    <w:rsid w:val="00950AF9"/>
    <w:rsid w:val="00950BD8"/>
    <w:rsid w:val="00951326"/>
    <w:rsid w:val="00951527"/>
    <w:rsid w:val="00952FBF"/>
    <w:rsid w:val="0095484B"/>
    <w:rsid w:val="00955E79"/>
    <w:rsid w:val="00956416"/>
    <w:rsid w:val="00957215"/>
    <w:rsid w:val="009608CB"/>
    <w:rsid w:val="00960BB5"/>
    <w:rsid w:val="00960C58"/>
    <w:rsid w:val="00960D33"/>
    <w:rsid w:val="0096189E"/>
    <w:rsid w:val="00961906"/>
    <w:rsid w:val="009624B9"/>
    <w:rsid w:val="009637E2"/>
    <w:rsid w:val="00963B0D"/>
    <w:rsid w:val="0096490F"/>
    <w:rsid w:val="00964DC3"/>
    <w:rsid w:val="0096685B"/>
    <w:rsid w:val="00966F45"/>
    <w:rsid w:val="009673B6"/>
    <w:rsid w:val="00967ADF"/>
    <w:rsid w:val="00971FD4"/>
    <w:rsid w:val="00972CA5"/>
    <w:rsid w:val="009740E4"/>
    <w:rsid w:val="00976792"/>
    <w:rsid w:val="00976BD7"/>
    <w:rsid w:val="0097712C"/>
    <w:rsid w:val="00977DEE"/>
    <w:rsid w:val="00981547"/>
    <w:rsid w:val="00981C0E"/>
    <w:rsid w:val="009822F4"/>
    <w:rsid w:val="00983178"/>
    <w:rsid w:val="00983607"/>
    <w:rsid w:val="0098363A"/>
    <w:rsid w:val="00983A93"/>
    <w:rsid w:val="0098454B"/>
    <w:rsid w:val="00985335"/>
    <w:rsid w:val="00985DC6"/>
    <w:rsid w:val="0098744F"/>
    <w:rsid w:val="0099146C"/>
    <w:rsid w:val="00993DA5"/>
    <w:rsid w:val="00994828"/>
    <w:rsid w:val="00994E7C"/>
    <w:rsid w:val="0099641D"/>
    <w:rsid w:val="009A0454"/>
    <w:rsid w:val="009A1C06"/>
    <w:rsid w:val="009A2E6D"/>
    <w:rsid w:val="009A2F6F"/>
    <w:rsid w:val="009A7C76"/>
    <w:rsid w:val="009A7E07"/>
    <w:rsid w:val="009A7E46"/>
    <w:rsid w:val="009B1BD5"/>
    <w:rsid w:val="009B2863"/>
    <w:rsid w:val="009B2A77"/>
    <w:rsid w:val="009B3946"/>
    <w:rsid w:val="009B4728"/>
    <w:rsid w:val="009B5662"/>
    <w:rsid w:val="009B59E0"/>
    <w:rsid w:val="009B6437"/>
    <w:rsid w:val="009C106E"/>
    <w:rsid w:val="009C1947"/>
    <w:rsid w:val="009C22BA"/>
    <w:rsid w:val="009C233C"/>
    <w:rsid w:val="009C2620"/>
    <w:rsid w:val="009C35F9"/>
    <w:rsid w:val="009C369C"/>
    <w:rsid w:val="009C4299"/>
    <w:rsid w:val="009C47F8"/>
    <w:rsid w:val="009C5E6A"/>
    <w:rsid w:val="009C7341"/>
    <w:rsid w:val="009C77E9"/>
    <w:rsid w:val="009C786C"/>
    <w:rsid w:val="009C7A51"/>
    <w:rsid w:val="009D1323"/>
    <w:rsid w:val="009D13E8"/>
    <w:rsid w:val="009D14E2"/>
    <w:rsid w:val="009D164E"/>
    <w:rsid w:val="009D1ACF"/>
    <w:rsid w:val="009D484C"/>
    <w:rsid w:val="009D51B2"/>
    <w:rsid w:val="009D57C4"/>
    <w:rsid w:val="009D5DE1"/>
    <w:rsid w:val="009D726C"/>
    <w:rsid w:val="009D7BA0"/>
    <w:rsid w:val="009E2C3C"/>
    <w:rsid w:val="009E2E02"/>
    <w:rsid w:val="009E4AAD"/>
    <w:rsid w:val="009E5FA1"/>
    <w:rsid w:val="009E71F7"/>
    <w:rsid w:val="009F0197"/>
    <w:rsid w:val="009F0542"/>
    <w:rsid w:val="009F0A21"/>
    <w:rsid w:val="009F1F6D"/>
    <w:rsid w:val="009F2074"/>
    <w:rsid w:val="009F286A"/>
    <w:rsid w:val="009F32CC"/>
    <w:rsid w:val="009F3DC6"/>
    <w:rsid w:val="009F3E6C"/>
    <w:rsid w:val="009F62D0"/>
    <w:rsid w:val="009F6845"/>
    <w:rsid w:val="009F6CCD"/>
    <w:rsid w:val="009F73B1"/>
    <w:rsid w:val="00A00824"/>
    <w:rsid w:val="00A01C26"/>
    <w:rsid w:val="00A02270"/>
    <w:rsid w:val="00A045B4"/>
    <w:rsid w:val="00A05247"/>
    <w:rsid w:val="00A05BA3"/>
    <w:rsid w:val="00A05F1F"/>
    <w:rsid w:val="00A079C7"/>
    <w:rsid w:val="00A10895"/>
    <w:rsid w:val="00A113ED"/>
    <w:rsid w:val="00A11438"/>
    <w:rsid w:val="00A1147E"/>
    <w:rsid w:val="00A11F52"/>
    <w:rsid w:val="00A120C1"/>
    <w:rsid w:val="00A1248B"/>
    <w:rsid w:val="00A14520"/>
    <w:rsid w:val="00A1544B"/>
    <w:rsid w:val="00A1573C"/>
    <w:rsid w:val="00A174A2"/>
    <w:rsid w:val="00A17B68"/>
    <w:rsid w:val="00A20233"/>
    <w:rsid w:val="00A20265"/>
    <w:rsid w:val="00A2039F"/>
    <w:rsid w:val="00A203BD"/>
    <w:rsid w:val="00A20EF3"/>
    <w:rsid w:val="00A20F3C"/>
    <w:rsid w:val="00A2387F"/>
    <w:rsid w:val="00A2692E"/>
    <w:rsid w:val="00A26998"/>
    <w:rsid w:val="00A26A43"/>
    <w:rsid w:val="00A27023"/>
    <w:rsid w:val="00A270A4"/>
    <w:rsid w:val="00A30436"/>
    <w:rsid w:val="00A3085C"/>
    <w:rsid w:val="00A3100E"/>
    <w:rsid w:val="00A310C5"/>
    <w:rsid w:val="00A3154E"/>
    <w:rsid w:val="00A33277"/>
    <w:rsid w:val="00A3439A"/>
    <w:rsid w:val="00A344EF"/>
    <w:rsid w:val="00A35839"/>
    <w:rsid w:val="00A42E34"/>
    <w:rsid w:val="00A431CC"/>
    <w:rsid w:val="00A43555"/>
    <w:rsid w:val="00A4433E"/>
    <w:rsid w:val="00A4730B"/>
    <w:rsid w:val="00A50C90"/>
    <w:rsid w:val="00A50DC6"/>
    <w:rsid w:val="00A51139"/>
    <w:rsid w:val="00A51C5A"/>
    <w:rsid w:val="00A52679"/>
    <w:rsid w:val="00A52769"/>
    <w:rsid w:val="00A529D5"/>
    <w:rsid w:val="00A52BAF"/>
    <w:rsid w:val="00A52FD0"/>
    <w:rsid w:val="00A54036"/>
    <w:rsid w:val="00A54DEF"/>
    <w:rsid w:val="00A56293"/>
    <w:rsid w:val="00A57BF3"/>
    <w:rsid w:val="00A60F8B"/>
    <w:rsid w:val="00A648A6"/>
    <w:rsid w:val="00A67F09"/>
    <w:rsid w:val="00A70A73"/>
    <w:rsid w:val="00A734A7"/>
    <w:rsid w:val="00A74BBE"/>
    <w:rsid w:val="00A75D5F"/>
    <w:rsid w:val="00A76A13"/>
    <w:rsid w:val="00A77C8C"/>
    <w:rsid w:val="00A80E13"/>
    <w:rsid w:val="00A80F30"/>
    <w:rsid w:val="00A826A6"/>
    <w:rsid w:val="00A83C60"/>
    <w:rsid w:val="00A8502C"/>
    <w:rsid w:val="00A855D0"/>
    <w:rsid w:val="00A8572B"/>
    <w:rsid w:val="00A8657E"/>
    <w:rsid w:val="00A87A6A"/>
    <w:rsid w:val="00A900E3"/>
    <w:rsid w:val="00A90374"/>
    <w:rsid w:val="00A90B9D"/>
    <w:rsid w:val="00A91613"/>
    <w:rsid w:val="00A91A45"/>
    <w:rsid w:val="00A927ED"/>
    <w:rsid w:val="00A932CD"/>
    <w:rsid w:val="00A93680"/>
    <w:rsid w:val="00A952EB"/>
    <w:rsid w:val="00A979CD"/>
    <w:rsid w:val="00AA05A5"/>
    <w:rsid w:val="00AA065D"/>
    <w:rsid w:val="00AA14EC"/>
    <w:rsid w:val="00AA1566"/>
    <w:rsid w:val="00AA1E38"/>
    <w:rsid w:val="00AA1F51"/>
    <w:rsid w:val="00AA2FA9"/>
    <w:rsid w:val="00AA36CC"/>
    <w:rsid w:val="00AA44BE"/>
    <w:rsid w:val="00AA5A64"/>
    <w:rsid w:val="00AA77ED"/>
    <w:rsid w:val="00AB02A2"/>
    <w:rsid w:val="00AB05E7"/>
    <w:rsid w:val="00AB06BC"/>
    <w:rsid w:val="00AB074F"/>
    <w:rsid w:val="00AB0EAC"/>
    <w:rsid w:val="00AB1232"/>
    <w:rsid w:val="00AB151E"/>
    <w:rsid w:val="00AB3496"/>
    <w:rsid w:val="00AB4922"/>
    <w:rsid w:val="00AB5392"/>
    <w:rsid w:val="00AB5909"/>
    <w:rsid w:val="00AC16AC"/>
    <w:rsid w:val="00AC19F8"/>
    <w:rsid w:val="00AC1FF2"/>
    <w:rsid w:val="00AC3302"/>
    <w:rsid w:val="00AC3685"/>
    <w:rsid w:val="00AC467A"/>
    <w:rsid w:val="00AC6051"/>
    <w:rsid w:val="00AC6135"/>
    <w:rsid w:val="00AC7832"/>
    <w:rsid w:val="00AC7867"/>
    <w:rsid w:val="00AD00AC"/>
    <w:rsid w:val="00AD1252"/>
    <w:rsid w:val="00AD16D0"/>
    <w:rsid w:val="00AD2288"/>
    <w:rsid w:val="00AD349B"/>
    <w:rsid w:val="00AD520F"/>
    <w:rsid w:val="00AE04B7"/>
    <w:rsid w:val="00AE2520"/>
    <w:rsid w:val="00AE52D5"/>
    <w:rsid w:val="00AE7BF9"/>
    <w:rsid w:val="00AF04B5"/>
    <w:rsid w:val="00AF13DE"/>
    <w:rsid w:val="00AF241E"/>
    <w:rsid w:val="00AF29D9"/>
    <w:rsid w:val="00AF382B"/>
    <w:rsid w:val="00AF4506"/>
    <w:rsid w:val="00AF5394"/>
    <w:rsid w:val="00AF5926"/>
    <w:rsid w:val="00AF5C92"/>
    <w:rsid w:val="00AF6654"/>
    <w:rsid w:val="00B002DB"/>
    <w:rsid w:val="00B00FF0"/>
    <w:rsid w:val="00B03839"/>
    <w:rsid w:val="00B049B2"/>
    <w:rsid w:val="00B06AE3"/>
    <w:rsid w:val="00B0784C"/>
    <w:rsid w:val="00B110B9"/>
    <w:rsid w:val="00B1137A"/>
    <w:rsid w:val="00B11520"/>
    <w:rsid w:val="00B1388C"/>
    <w:rsid w:val="00B14504"/>
    <w:rsid w:val="00B14BE8"/>
    <w:rsid w:val="00B15206"/>
    <w:rsid w:val="00B15D95"/>
    <w:rsid w:val="00B17866"/>
    <w:rsid w:val="00B17CFF"/>
    <w:rsid w:val="00B22D71"/>
    <w:rsid w:val="00B239F9"/>
    <w:rsid w:val="00B24047"/>
    <w:rsid w:val="00B244EF"/>
    <w:rsid w:val="00B2471F"/>
    <w:rsid w:val="00B255C8"/>
    <w:rsid w:val="00B26365"/>
    <w:rsid w:val="00B27E1F"/>
    <w:rsid w:val="00B3002D"/>
    <w:rsid w:val="00B301DE"/>
    <w:rsid w:val="00B3063E"/>
    <w:rsid w:val="00B30DE1"/>
    <w:rsid w:val="00B3253D"/>
    <w:rsid w:val="00B32AF9"/>
    <w:rsid w:val="00B33E50"/>
    <w:rsid w:val="00B343AA"/>
    <w:rsid w:val="00B34896"/>
    <w:rsid w:val="00B3648B"/>
    <w:rsid w:val="00B36AE8"/>
    <w:rsid w:val="00B36F32"/>
    <w:rsid w:val="00B3762A"/>
    <w:rsid w:val="00B37ECC"/>
    <w:rsid w:val="00B401DC"/>
    <w:rsid w:val="00B43A42"/>
    <w:rsid w:val="00B4409C"/>
    <w:rsid w:val="00B45CDE"/>
    <w:rsid w:val="00B465C3"/>
    <w:rsid w:val="00B47CC2"/>
    <w:rsid w:val="00B5176B"/>
    <w:rsid w:val="00B518C8"/>
    <w:rsid w:val="00B523F7"/>
    <w:rsid w:val="00B53F94"/>
    <w:rsid w:val="00B5413E"/>
    <w:rsid w:val="00B544AA"/>
    <w:rsid w:val="00B563F0"/>
    <w:rsid w:val="00B5732D"/>
    <w:rsid w:val="00B57B93"/>
    <w:rsid w:val="00B628E6"/>
    <w:rsid w:val="00B6317B"/>
    <w:rsid w:val="00B64D40"/>
    <w:rsid w:val="00B66695"/>
    <w:rsid w:val="00B667F6"/>
    <w:rsid w:val="00B66C12"/>
    <w:rsid w:val="00B67767"/>
    <w:rsid w:val="00B67DB9"/>
    <w:rsid w:val="00B71233"/>
    <w:rsid w:val="00B72A59"/>
    <w:rsid w:val="00B73A5D"/>
    <w:rsid w:val="00B74AD3"/>
    <w:rsid w:val="00B74B40"/>
    <w:rsid w:val="00B75A0E"/>
    <w:rsid w:val="00B77949"/>
    <w:rsid w:val="00B8011D"/>
    <w:rsid w:val="00B81D05"/>
    <w:rsid w:val="00B82581"/>
    <w:rsid w:val="00B842E3"/>
    <w:rsid w:val="00B86005"/>
    <w:rsid w:val="00B874B9"/>
    <w:rsid w:val="00B90316"/>
    <w:rsid w:val="00B9070D"/>
    <w:rsid w:val="00B919DE"/>
    <w:rsid w:val="00B91B5B"/>
    <w:rsid w:val="00B934BF"/>
    <w:rsid w:val="00B93C3C"/>
    <w:rsid w:val="00B95C3F"/>
    <w:rsid w:val="00B964D0"/>
    <w:rsid w:val="00B96FF3"/>
    <w:rsid w:val="00B97D38"/>
    <w:rsid w:val="00BA032B"/>
    <w:rsid w:val="00BA05A3"/>
    <w:rsid w:val="00BA0D64"/>
    <w:rsid w:val="00BA19E2"/>
    <w:rsid w:val="00BA4247"/>
    <w:rsid w:val="00BA7BC5"/>
    <w:rsid w:val="00BB0B3F"/>
    <w:rsid w:val="00BB210D"/>
    <w:rsid w:val="00BB2BF3"/>
    <w:rsid w:val="00BB6F17"/>
    <w:rsid w:val="00BB705A"/>
    <w:rsid w:val="00BB7770"/>
    <w:rsid w:val="00BC3733"/>
    <w:rsid w:val="00BC45A9"/>
    <w:rsid w:val="00BC4819"/>
    <w:rsid w:val="00BC5860"/>
    <w:rsid w:val="00BD00E2"/>
    <w:rsid w:val="00BD0614"/>
    <w:rsid w:val="00BD0D95"/>
    <w:rsid w:val="00BD1BFF"/>
    <w:rsid w:val="00BD1E26"/>
    <w:rsid w:val="00BD2D78"/>
    <w:rsid w:val="00BD3F4C"/>
    <w:rsid w:val="00BD40F0"/>
    <w:rsid w:val="00BD4D1A"/>
    <w:rsid w:val="00BD5591"/>
    <w:rsid w:val="00BD5E21"/>
    <w:rsid w:val="00BD712E"/>
    <w:rsid w:val="00BE0816"/>
    <w:rsid w:val="00BE0E42"/>
    <w:rsid w:val="00BE1561"/>
    <w:rsid w:val="00BE4907"/>
    <w:rsid w:val="00BE49E8"/>
    <w:rsid w:val="00BE5768"/>
    <w:rsid w:val="00BE609D"/>
    <w:rsid w:val="00BE67AA"/>
    <w:rsid w:val="00BE70AF"/>
    <w:rsid w:val="00BE7368"/>
    <w:rsid w:val="00BE7459"/>
    <w:rsid w:val="00BF0906"/>
    <w:rsid w:val="00BF0D43"/>
    <w:rsid w:val="00BF0D85"/>
    <w:rsid w:val="00BF1441"/>
    <w:rsid w:val="00BF21B1"/>
    <w:rsid w:val="00BF319B"/>
    <w:rsid w:val="00BF3E1F"/>
    <w:rsid w:val="00BF425B"/>
    <w:rsid w:val="00BF59DF"/>
    <w:rsid w:val="00BF6831"/>
    <w:rsid w:val="00BF7137"/>
    <w:rsid w:val="00C00597"/>
    <w:rsid w:val="00C00CA8"/>
    <w:rsid w:val="00C014FD"/>
    <w:rsid w:val="00C019A5"/>
    <w:rsid w:val="00C025B2"/>
    <w:rsid w:val="00C02BD6"/>
    <w:rsid w:val="00C03834"/>
    <w:rsid w:val="00C04283"/>
    <w:rsid w:val="00C11C82"/>
    <w:rsid w:val="00C12DA4"/>
    <w:rsid w:val="00C13D67"/>
    <w:rsid w:val="00C14407"/>
    <w:rsid w:val="00C152DA"/>
    <w:rsid w:val="00C15716"/>
    <w:rsid w:val="00C15BC7"/>
    <w:rsid w:val="00C1720A"/>
    <w:rsid w:val="00C17434"/>
    <w:rsid w:val="00C17D6C"/>
    <w:rsid w:val="00C20EB7"/>
    <w:rsid w:val="00C20FEC"/>
    <w:rsid w:val="00C21804"/>
    <w:rsid w:val="00C23E29"/>
    <w:rsid w:val="00C27AEA"/>
    <w:rsid w:val="00C30FEE"/>
    <w:rsid w:val="00C31081"/>
    <w:rsid w:val="00C311DF"/>
    <w:rsid w:val="00C32DD3"/>
    <w:rsid w:val="00C32EAB"/>
    <w:rsid w:val="00C335C7"/>
    <w:rsid w:val="00C353CD"/>
    <w:rsid w:val="00C35B45"/>
    <w:rsid w:val="00C37E26"/>
    <w:rsid w:val="00C402E7"/>
    <w:rsid w:val="00C418AC"/>
    <w:rsid w:val="00C427F3"/>
    <w:rsid w:val="00C43E6A"/>
    <w:rsid w:val="00C44A52"/>
    <w:rsid w:val="00C453AB"/>
    <w:rsid w:val="00C459EE"/>
    <w:rsid w:val="00C4649A"/>
    <w:rsid w:val="00C46884"/>
    <w:rsid w:val="00C469FF"/>
    <w:rsid w:val="00C47B1B"/>
    <w:rsid w:val="00C47CFA"/>
    <w:rsid w:val="00C52090"/>
    <w:rsid w:val="00C520CC"/>
    <w:rsid w:val="00C52D5C"/>
    <w:rsid w:val="00C54AE4"/>
    <w:rsid w:val="00C55485"/>
    <w:rsid w:val="00C57A66"/>
    <w:rsid w:val="00C57D35"/>
    <w:rsid w:val="00C612ED"/>
    <w:rsid w:val="00C6313D"/>
    <w:rsid w:val="00C6490D"/>
    <w:rsid w:val="00C64A74"/>
    <w:rsid w:val="00C66292"/>
    <w:rsid w:val="00C673D4"/>
    <w:rsid w:val="00C67771"/>
    <w:rsid w:val="00C7007B"/>
    <w:rsid w:val="00C7025B"/>
    <w:rsid w:val="00C702FB"/>
    <w:rsid w:val="00C70A78"/>
    <w:rsid w:val="00C71371"/>
    <w:rsid w:val="00C728C4"/>
    <w:rsid w:val="00C72D59"/>
    <w:rsid w:val="00C73EC9"/>
    <w:rsid w:val="00C75C32"/>
    <w:rsid w:val="00C77224"/>
    <w:rsid w:val="00C777D9"/>
    <w:rsid w:val="00C80ACD"/>
    <w:rsid w:val="00C80C94"/>
    <w:rsid w:val="00C81BAA"/>
    <w:rsid w:val="00C82D98"/>
    <w:rsid w:val="00C82ECF"/>
    <w:rsid w:val="00C83EB6"/>
    <w:rsid w:val="00C84A0D"/>
    <w:rsid w:val="00C857AF"/>
    <w:rsid w:val="00C8617C"/>
    <w:rsid w:val="00C8647E"/>
    <w:rsid w:val="00C86986"/>
    <w:rsid w:val="00C90D13"/>
    <w:rsid w:val="00C9117B"/>
    <w:rsid w:val="00C9176A"/>
    <w:rsid w:val="00C919B3"/>
    <w:rsid w:val="00C92CAC"/>
    <w:rsid w:val="00C92D4C"/>
    <w:rsid w:val="00C93CF1"/>
    <w:rsid w:val="00C941F6"/>
    <w:rsid w:val="00C95DCB"/>
    <w:rsid w:val="00C976B4"/>
    <w:rsid w:val="00C97E64"/>
    <w:rsid w:val="00CA04EE"/>
    <w:rsid w:val="00CA06AD"/>
    <w:rsid w:val="00CA090C"/>
    <w:rsid w:val="00CA0CF6"/>
    <w:rsid w:val="00CA0F62"/>
    <w:rsid w:val="00CA1B86"/>
    <w:rsid w:val="00CA2573"/>
    <w:rsid w:val="00CA2B06"/>
    <w:rsid w:val="00CA54F6"/>
    <w:rsid w:val="00CA58EC"/>
    <w:rsid w:val="00CB1772"/>
    <w:rsid w:val="00CB344B"/>
    <w:rsid w:val="00CB3C76"/>
    <w:rsid w:val="00CB48E4"/>
    <w:rsid w:val="00CB6912"/>
    <w:rsid w:val="00CC054F"/>
    <w:rsid w:val="00CC1F85"/>
    <w:rsid w:val="00CC28E2"/>
    <w:rsid w:val="00CC3317"/>
    <w:rsid w:val="00CC52A9"/>
    <w:rsid w:val="00CC54E7"/>
    <w:rsid w:val="00CC55CF"/>
    <w:rsid w:val="00CC6E07"/>
    <w:rsid w:val="00CC7B67"/>
    <w:rsid w:val="00CD326A"/>
    <w:rsid w:val="00CD3414"/>
    <w:rsid w:val="00CD4FF5"/>
    <w:rsid w:val="00CD628B"/>
    <w:rsid w:val="00CD761F"/>
    <w:rsid w:val="00CE03C1"/>
    <w:rsid w:val="00CE0D16"/>
    <w:rsid w:val="00CE108D"/>
    <w:rsid w:val="00CE18CA"/>
    <w:rsid w:val="00CE1B16"/>
    <w:rsid w:val="00CE2311"/>
    <w:rsid w:val="00CE31B7"/>
    <w:rsid w:val="00CE3310"/>
    <w:rsid w:val="00CE352C"/>
    <w:rsid w:val="00CE3970"/>
    <w:rsid w:val="00CE3A1B"/>
    <w:rsid w:val="00CE3D1C"/>
    <w:rsid w:val="00CE4228"/>
    <w:rsid w:val="00CE4E45"/>
    <w:rsid w:val="00CE5B24"/>
    <w:rsid w:val="00CE5D93"/>
    <w:rsid w:val="00CE79A4"/>
    <w:rsid w:val="00CF2A48"/>
    <w:rsid w:val="00CF2ADC"/>
    <w:rsid w:val="00CF6CA2"/>
    <w:rsid w:val="00D01AB4"/>
    <w:rsid w:val="00D02052"/>
    <w:rsid w:val="00D02E1B"/>
    <w:rsid w:val="00D03CE1"/>
    <w:rsid w:val="00D03F66"/>
    <w:rsid w:val="00D0485B"/>
    <w:rsid w:val="00D052F4"/>
    <w:rsid w:val="00D067B8"/>
    <w:rsid w:val="00D07061"/>
    <w:rsid w:val="00D07445"/>
    <w:rsid w:val="00D07609"/>
    <w:rsid w:val="00D07943"/>
    <w:rsid w:val="00D07F1A"/>
    <w:rsid w:val="00D11479"/>
    <w:rsid w:val="00D11E81"/>
    <w:rsid w:val="00D126EE"/>
    <w:rsid w:val="00D127EA"/>
    <w:rsid w:val="00D145D8"/>
    <w:rsid w:val="00D14D21"/>
    <w:rsid w:val="00D14DF9"/>
    <w:rsid w:val="00D15C60"/>
    <w:rsid w:val="00D16CE4"/>
    <w:rsid w:val="00D17C71"/>
    <w:rsid w:val="00D2118A"/>
    <w:rsid w:val="00D225B9"/>
    <w:rsid w:val="00D225CF"/>
    <w:rsid w:val="00D231D6"/>
    <w:rsid w:val="00D24F42"/>
    <w:rsid w:val="00D25145"/>
    <w:rsid w:val="00D2585C"/>
    <w:rsid w:val="00D258BA"/>
    <w:rsid w:val="00D261CF"/>
    <w:rsid w:val="00D262E2"/>
    <w:rsid w:val="00D2679D"/>
    <w:rsid w:val="00D30097"/>
    <w:rsid w:val="00D3095F"/>
    <w:rsid w:val="00D30AF0"/>
    <w:rsid w:val="00D31BDF"/>
    <w:rsid w:val="00D3355C"/>
    <w:rsid w:val="00D338D7"/>
    <w:rsid w:val="00D3482A"/>
    <w:rsid w:val="00D34F39"/>
    <w:rsid w:val="00D371C7"/>
    <w:rsid w:val="00D421D3"/>
    <w:rsid w:val="00D42FF3"/>
    <w:rsid w:val="00D43B0A"/>
    <w:rsid w:val="00D43E43"/>
    <w:rsid w:val="00D43FEC"/>
    <w:rsid w:val="00D44968"/>
    <w:rsid w:val="00D45C83"/>
    <w:rsid w:val="00D471F3"/>
    <w:rsid w:val="00D47B19"/>
    <w:rsid w:val="00D47BBF"/>
    <w:rsid w:val="00D508EB"/>
    <w:rsid w:val="00D52DF0"/>
    <w:rsid w:val="00D53283"/>
    <w:rsid w:val="00D533DE"/>
    <w:rsid w:val="00D551A3"/>
    <w:rsid w:val="00D56306"/>
    <w:rsid w:val="00D5731E"/>
    <w:rsid w:val="00D57702"/>
    <w:rsid w:val="00D60043"/>
    <w:rsid w:val="00D6013F"/>
    <w:rsid w:val="00D616F6"/>
    <w:rsid w:val="00D61A0E"/>
    <w:rsid w:val="00D6278A"/>
    <w:rsid w:val="00D62DEA"/>
    <w:rsid w:val="00D63B79"/>
    <w:rsid w:val="00D63E35"/>
    <w:rsid w:val="00D63ED8"/>
    <w:rsid w:val="00D64DAA"/>
    <w:rsid w:val="00D6522B"/>
    <w:rsid w:val="00D66B18"/>
    <w:rsid w:val="00D66EBC"/>
    <w:rsid w:val="00D6718E"/>
    <w:rsid w:val="00D67A58"/>
    <w:rsid w:val="00D67FCF"/>
    <w:rsid w:val="00D72BAF"/>
    <w:rsid w:val="00D73290"/>
    <w:rsid w:val="00D73EA8"/>
    <w:rsid w:val="00D74B61"/>
    <w:rsid w:val="00D75D19"/>
    <w:rsid w:val="00D75FA2"/>
    <w:rsid w:val="00D7772F"/>
    <w:rsid w:val="00D8043D"/>
    <w:rsid w:val="00D81A06"/>
    <w:rsid w:val="00D833B9"/>
    <w:rsid w:val="00D83D0D"/>
    <w:rsid w:val="00D84B0F"/>
    <w:rsid w:val="00D8507D"/>
    <w:rsid w:val="00D86C4E"/>
    <w:rsid w:val="00D87F4A"/>
    <w:rsid w:val="00D9108D"/>
    <w:rsid w:val="00D915E8"/>
    <w:rsid w:val="00D916B7"/>
    <w:rsid w:val="00D924C4"/>
    <w:rsid w:val="00D92C3F"/>
    <w:rsid w:val="00D93690"/>
    <w:rsid w:val="00D93804"/>
    <w:rsid w:val="00D968A6"/>
    <w:rsid w:val="00D96F5F"/>
    <w:rsid w:val="00DA0872"/>
    <w:rsid w:val="00DA0BCB"/>
    <w:rsid w:val="00DA1E6D"/>
    <w:rsid w:val="00DA40BD"/>
    <w:rsid w:val="00DA48C8"/>
    <w:rsid w:val="00DA5142"/>
    <w:rsid w:val="00DA72DB"/>
    <w:rsid w:val="00DA778D"/>
    <w:rsid w:val="00DB19D2"/>
    <w:rsid w:val="00DB232C"/>
    <w:rsid w:val="00DB42A3"/>
    <w:rsid w:val="00DB7BEE"/>
    <w:rsid w:val="00DB7CEF"/>
    <w:rsid w:val="00DC15EA"/>
    <w:rsid w:val="00DC1FFA"/>
    <w:rsid w:val="00DC269F"/>
    <w:rsid w:val="00DC2CB4"/>
    <w:rsid w:val="00DC404A"/>
    <w:rsid w:val="00DD0648"/>
    <w:rsid w:val="00DD069E"/>
    <w:rsid w:val="00DD1E4C"/>
    <w:rsid w:val="00DD23E3"/>
    <w:rsid w:val="00DD3490"/>
    <w:rsid w:val="00DD6665"/>
    <w:rsid w:val="00DD70B8"/>
    <w:rsid w:val="00DE08BC"/>
    <w:rsid w:val="00DE1704"/>
    <w:rsid w:val="00DE1A6B"/>
    <w:rsid w:val="00DE1D0E"/>
    <w:rsid w:val="00DE1FA8"/>
    <w:rsid w:val="00DE26BB"/>
    <w:rsid w:val="00DE41DC"/>
    <w:rsid w:val="00DE4D76"/>
    <w:rsid w:val="00DE5DA0"/>
    <w:rsid w:val="00DE6517"/>
    <w:rsid w:val="00DE6C96"/>
    <w:rsid w:val="00DF07F1"/>
    <w:rsid w:val="00DF0EA6"/>
    <w:rsid w:val="00DF2AB1"/>
    <w:rsid w:val="00DF38D2"/>
    <w:rsid w:val="00DF3C94"/>
    <w:rsid w:val="00DF424E"/>
    <w:rsid w:val="00DF6077"/>
    <w:rsid w:val="00E006D3"/>
    <w:rsid w:val="00E012EE"/>
    <w:rsid w:val="00E0181B"/>
    <w:rsid w:val="00E01A70"/>
    <w:rsid w:val="00E01ABC"/>
    <w:rsid w:val="00E01ECB"/>
    <w:rsid w:val="00E02864"/>
    <w:rsid w:val="00E03FD9"/>
    <w:rsid w:val="00E1101A"/>
    <w:rsid w:val="00E114CB"/>
    <w:rsid w:val="00E1332D"/>
    <w:rsid w:val="00E1525F"/>
    <w:rsid w:val="00E15D67"/>
    <w:rsid w:val="00E161E7"/>
    <w:rsid w:val="00E203D5"/>
    <w:rsid w:val="00E226FB"/>
    <w:rsid w:val="00E238A6"/>
    <w:rsid w:val="00E23B55"/>
    <w:rsid w:val="00E23C71"/>
    <w:rsid w:val="00E243B7"/>
    <w:rsid w:val="00E24686"/>
    <w:rsid w:val="00E25520"/>
    <w:rsid w:val="00E25617"/>
    <w:rsid w:val="00E30FD7"/>
    <w:rsid w:val="00E34C03"/>
    <w:rsid w:val="00E373BC"/>
    <w:rsid w:val="00E37BA7"/>
    <w:rsid w:val="00E40B53"/>
    <w:rsid w:val="00E40CCD"/>
    <w:rsid w:val="00E43EDE"/>
    <w:rsid w:val="00E43F23"/>
    <w:rsid w:val="00E44E7E"/>
    <w:rsid w:val="00E45577"/>
    <w:rsid w:val="00E4720A"/>
    <w:rsid w:val="00E47652"/>
    <w:rsid w:val="00E50625"/>
    <w:rsid w:val="00E507BE"/>
    <w:rsid w:val="00E5196A"/>
    <w:rsid w:val="00E5225B"/>
    <w:rsid w:val="00E5301A"/>
    <w:rsid w:val="00E53699"/>
    <w:rsid w:val="00E54EF7"/>
    <w:rsid w:val="00E55528"/>
    <w:rsid w:val="00E563A3"/>
    <w:rsid w:val="00E57159"/>
    <w:rsid w:val="00E5751C"/>
    <w:rsid w:val="00E5757B"/>
    <w:rsid w:val="00E57F9C"/>
    <w:rsid w:val="00E61A7E"/>
    <w:rsid w:val="00E625B2"/>
    <w:rsid w:val="00E63646"/>
    <w:rsid w:val="00E65809"/>
    <w:rsid w:val="00E65F73"/>
    <w:rsid w:val="00E67549"/>
    <w:rsid w:val="00E676E6"/>
    <w:rsid w:val="00E70284"/>
    <w:rsid w:val="00E7053F"/>
    <w:rsid w:val="00E72414"/>
    <w:rsid w:val="00E72FBE"/>
    <w:rsid w:val="00E7627F"/>
    <w:rsid w:val="00E76E67"/>
    <w:rsid w:val="00E80257"/>
    <w:rsid w:val="00E80313"/>
    <w:rsid w:val="00E80BB0"/>
    <w:rsid w:val="00E83B4E"/>
    <w:rsid w:val="00E85659"/>
    <w:rsid w:val="00E85F41"/>
    <w:rsid w:val="00E86378"/>
    <w:rsid w:val="00E86693"/>
    <w:rsid w:val="00E86E76"/>
    <w:rsid w:val="00E90DFC"/>
    <w:rsid w:val="00E90E01"/>
    <w:rsid w:val="00E91034"/>
    <w:rsid w:val="00E91650"/>
    <w:rsid w:val="00E92A59"/>
    <w:rsid w:val="00E93087"/>
    <w:rsid w:val="00E93A57"/>
    <w:rsid w:val="00E95555"/>
    <w:rsid w:val="00E9719A"/>
    <w:rsid w:val="00E97438"/>
    <w:rsid w:val="00E9758C"/>
    <w:rsid w:val="00E9766D"/>
    <w:rsid w:val="00EA3BC7"/>
    <w:rsid w:val="00EA498E"/>
    <w:rsid w:val="00EA5A03"/>
    <w:rsid w:val="00EA5B92"/>
    <w:rsid w:val="00EA5E01"/>
    <w:rsid w:val="00EB0CE9"/>
    <w:rsid w:val="00EB3442"/>
    <w:rsid w:val="00EB3BC7"/>
    <w:rsid w:val="00EB3D67"/>
    <w:rsid w:val="00EB5874"/>
    <w:rsid w:val="00EB6730"/>
    <w:rsid w:val="00EB7416"/>
    <w:rsid w:val="00EB7588"/>
    <w:rsid w:val="00EC121A"/>
    <w:rsid w:val="00EC26D3"/>
    <w:rsid w:val="00EC3FD7"/>
    <w:rsid w:val="00EC6014"/>
    <w:rsid w:val="00EC784E"/>
    <w:rsid w:val="00ED0582"/>
    <w:rsid w:val="00ED1CC8"/>
    <w:rsid w:val="00ED1FFF"/>
    <w:rsid w:val="00ED2827"/>
    <w:rsid w:val="00ED2EBD"/>
    <w:rsid w:val="00ED3F09"/>
    <w:rsid w:val="00ED42F2"/>
    <w:rsid w:val="00ED527B"/>
    <w:rsid w:val="00ED64C6"/>
    <w:rsid w:val="00ED66F6"/>
    <w:rsid w:val="00EE1C2C"/>
    <w:rsid w:val="00EE23BC"/>
    <w:rsid w:val="00EE24B3"/>
    <w:rsid w:val="00EE2BC4"/>
    <w:rsid w:val="00EE3761"/>
    <w:rsid w:val="00EE4A84"/>
    <w:rsid w:val="00EE751B"/>
    <w:rsid w:val="00EE76FA"/>
    <w:rsid w:val="00EF0354"/>
    <w:rsid w:val="00EF0742"/>
    <w:rsid w:val="00EF18B0"/>
    <w:rsid w:val="00EF1DC4"/>
    <w:rsid w:val="00EF25CA"/>
    <w:rsid w:val="00EF49D7"/>
    <w:rsid w:val="00EF545A"/>
    <w:rsid w:val="00EF5615"/>
    <w:rsid w:val="00EF5632"/>
    <w:rsid w:val="00EF608A"/>
    <w:rsid w:val="00EF60FB"/>
    <w:rsid w:val="00EF6606"/>
    <w:rsid w:val="00EF68C3"/>
    <w:rsid w:val="00EF7E51"/>
    <w:rsid w:val="00F008FC"/>
    <w:rsid w:val="00F01816"/>
    <w:rsid w:val="00F019DF"/>
    <w:rsid w:val="00F01BCC"/>
    <w:rsid w:val="00F02C5F"/>
    <w:rsid w:val="00F03695"/>
    <w:rsid w:val="00F03C25"/>
    <w:rsid w:val="00F05F97"/>
    <w:rsid w:val="00F06FB6"/>
    <w:rsid w:val="00F07E0F"/>
    <w:rsid w:val="00F1027C"/>
    <w:rsid w:val="00F1028A"/>
    <w:rsid w:val="00F103E4"/>
    <w:rsid w:val="00F1071A"/>
    <w:rsid w:val="00F11066"/>
    <w:rsid w:val="00F129CF"/>
    <w:rsid w:val="00F12C44"/>
    <w:rsid w:val="00F12F16"/>
    <w:rsid w:val="00F12F6E"/>
    <w:rsid w:val="00F13C2C"/>
    <w:rsid w:val="00F13CD2"/>
    <w:rsid w:val="00F142B5"/>
    <w:rsid w:val="00F14BDD"/>
    <w:rsid w:val="00F151D9"/>
    <w:rsid w:val="00F16EB7"/>
    <w:rsid w:val="00F17E0F"/>
    <w:rsid w:val="00F20661"/>
    <w:rsid w:val="00F20C9F"/>
    <w:rsid w:val="00F212F4"/>
    <w:rsid w:val="00F21DC6"/>
    <w:rsid w:val="00F224AE"/>
    <w:rsid w:val="00F23394"/>
    <w:rsid w:val="00F24A89"/>
    <w:rsid w:val="00F24F98"/>
    <w:rsid w:val="00F25990"/>
    <w:rsid w:val="00F25AE0"/>
    <w:rsid w:val="00F27827"/>
    <w:rsid w:val="00F3004F"/>
    <w:rsid w:val="00F30919"/>
    <w:rsid w:val="00F31A5C"/>
    <w:rsid w:val="00F31EAC"/>
    <w:rsid w:val="00F3233D"/>
    <w:rsid w:val="00F32D47"/>
    <w:rsid w:val="00F32E8B"/>
    <w:rsid w:val="00F33D40"/>
    <w:rsid w:val="00F34723"/>
    <w:rsid w:val="00F36242"/>
    <w:rsid w:val="00F36FEC"/>
    <w:rsid w:val="00F372E9"/>
    <w:rsid w:val="00F4134E"/>
    <w:rsid w:val="00F4176C"/>
    <w:rsid w:val="00F41CDB"/>
    <w:rsid w:val="00F41DDB"/>
    <w:rsid w:val="00F43635"/>
    <w:rsid w:val="00F441A4"/>
    <w:rsid w:val="00F445B9"/>
    <w:rsid w:val="00F4472D"/>
    <w:rsid w:val="00F50A1D"/>
    <w:rsid w:val="00F51C93"/>
    <w:rsid w:val="00F5254E"/>
    <w:rsid w:val="00F52A56"/>
    <w:rsid w:val="00F52BD1"/>
    <w:rsid w:val="00F5452D"/>
    <w:rsid w:val="00F549A3"/>
    <w:rsid w:val="00F55FFA"/>
    <w:rsid w:val="00F56D35"/>
    <w:rsid w:val="00F60076"/>
    <w:rsid w:val="00F601F5"/>
    <w:rsid w:val="00F608C7"/>
    <w:rsid w:val="00F60F45"/>
    <w:rsid w:val="00F6192D"/>
    <w:rsid w:val="00F62B4F"/>
    <w:rsid w:val="00F62F44"/>
    <w:rsid w:val="00F63641"/>
    <w:rsid w:val="00F6378A"/>
    <w:rsid w:val="00F663EB"/>
    <w:rsid w:val="00F70196"/>
    <w:rsid w:val="00F710B5"/>
    <w:rsid w:val="00F7255A"/>
    <w:rsid w:val="00F73860"/>
    <w:rsid w:val="00F738A0"/>
    <w:rsid w:val="00F75488"/>
    <w:rsid w:val="00F774E9"/>
    <w:rsid w:val="00F77662"/>
    <w:rsid w:val="00F7778A"/>
    <w:rsid w:val="00F77AA2"/>
    <w:rsid w:val="00F81803"/>
    <w:rsid w:val="00F82634"/>
    <w:rsid w:val="00F833F8"/>
    <w:rsid w:val="00F83440"/>
    <w:rsid w:val="00F83AE3"/>
    <w:rsid w:val="00F845C0"/>
    <w:rsid w:val="00F85682"/>
    <w:rsid w:val="00F856A0"/>
    <w:rsid w:val="00F8606D"/>
    <w:rsid w:val="00F86383"/>
    <w:rsid w:val="00F86B19"/>
    <w:rsid w:val="00F901DE"/>
    <w:rsid w:val="00F90CFE"/>
    <w:rsid w:val="00F91DBA"/>
    <w:rsid w:val="00F94409"/>
    <w:rsid w:val="00F9458C"/>
    <w:rsid w:val="00F94B94"/>
    <w:rsid w:val="00F94CB4"/>
    <w:rsid w:val="00F95AED"/>
    <w:rsid w:val="00FA031A"/>
    <w:rsid w:val="00FA03A1"/>
    <w:rsid w:val="00FA06F2"/>
    <w:rsid w:val="00FA11E0"/>
    <w:rsid w:val="00FA2A7F"/>
    <w:rsid w:val="00FA4B28"/>
    <w:rsid w:val="00FA5912"/>
    <w:rsid w:val="00FA74BA"/>
    <w:rsid w:val="00FB126E"/>
    <w:rsid w:val="00FB215F"/>
    <w:rsid w:val="00FB220C"/>
    <w:rsid w:val="00FB22D0"/>
    <w:rsid w:val="00FB35E0"/>
    <w:rsid w:val="00FB4062"/>
    <w:rsid w:val="00FC06C8"/>
    <w:rsid w:val="00FC07FA"/>
    <w:rsid w:val="00FC1570"/>
    <w:rsid w:val="00FC1AF2"/>
    <w:rsid w:val="00FC2681"/>
    <w:rsid w:val="00FC2A17"/>
    <w:rsid w:val="00FC3F94"/>
    <w:rsid w:val="00FC41E3"/>
    <w:rsid w:val="00FC5E39"/>
    <w:rsid w:val="00FC6835"/>
    <w:rsid w:val="00FC6C75"/>
    <w:rsid w:val="00FD02C4"/>
    <w:rsid w:val="00FD277B"/>
    <w:rsid w:val="00FD2E0F"/>
    <w:rsid w:val="00FD346F"/>
    <w:rsid w:val="00FD4599"/>
    <w:rsid w:val="00FD57CF"/>
    <w:rsid w:val="00FD5EC5"/>
    <w:rsid w:val="00FD648B"/>
    <w:rsid w:val="00FD7354"/>
    <w:rsid w:val="00FE0AB1"/>
    <w:rsid w:val="00FE16E1"/>
    <w:rsid w:val="00FE1ED1"/>
    <w:rsid w:val="00FE24C6"/>
    <w:rsid w:val="00FE298D"/>
    <w:rsid w:val="00FE3481"/>
    <w:rsid w:val="00FE43D9"/>
    <w:rsid w:val="00FE4D63"/>
    <w:rsid w:val="00FE6106"/>
    <w:rsid w:val="00FE6684"/>
    <w:rsid w:val="00FE6740"/>
    <w:rsid w:val="00FE70AB"/>
    <w:rsid w:val="00FE71BB"/>
    <w:rsid w:val="00FE7F0B"/>
    <w:rsid w:val="00FF01AF"/>
    <w:rsid w:val="00FF33EE"/>
    <w:rsid w:val="00FF3DAD"/>
    <w:rsid w:val="00FF3E3C"/>
    <w:rsid w:val="00FF509D"/>
    <w:rsid w:val="00FF5659"/>
    <w:rsid w:val="00FF6967"/>
    <w:rsid w:val="00FF6B21"/>
    <w:rsid w:val="00FF6CA7"/>
    <w:rsid w:val="01016449"/>
    <w:rsid w:val="014A2F67"/>
    <w:rsid w:val="015624B0"/>
    <w:rsid w:val="019B3B2F"/>
    <w:rsid w:val="01C123B6"/>
    <w:rsid w:val="01C635DF"/>
    <w:rsid w:val="01C71594"/>
    <w:rsid w:val="01FDFAB8"/>
    <w:rsid w:val="02191F99"/>
    <w:rsid w:val="022B0482"/>
    <w:rsid w:val="02630EFD"/>
    <w:rsid w:val="02644BEA"/>
    <w:rsid w:val="026F40A4"/>
    <w:rsid w:val="027C08D2"/>
    <w:rsid w:val="02842382"/>
    <w:rsid w:val="02963795"/>
    <w:rsid w:val="02B44732"/>
    <w:rsid w:val="02E46B0D"/>
    <w:rsid w:val="030A478B"/>
    <w:rsid w:val="03211E44"/>
    <w:rsid w:val="03242D2C"/>
    <w:rsid w:val="03306186"/>
    <w:rsid w:val="036B6F21"/>
    <w:rsid w:val="036F5416"/>
    <w:rsid w:val="0377214E"/>
    <w:rsid w:val="037A5C8A"/>
    <w:rsid w:val="038251CD"/>
    <w:rsid w:val="038D0101"/>
    <w:rsid w:val="0398745A"/>
    <w:rsid w:val="03AB4AA3"/>
    <w:rsid w:val="03DA5DF0"/>
    <w:rsid w:val="03DF0922"/>
    <w:rsid w:val="04045897"/>
    <w:rsid w:val="04111A9D"/>
    <w:rsid w:val="04165268"/>
    <w:rsid w:val="042345C0"/>
    <w:rsid w:val="042718EE"/>
    <w:rsid w:val="042D739D"/>
    <w:rsid w:val="043B3DC8"/>
    <w:rsid w:val="043C404C"/>
    <w:rsid w:val="044718FD"/>
    <w:rsid w:val="04A8328A"/>
    <w:rsid w:val="04BC0462"/>
    <w:rsid w:val="04C07348"/>
    <w:rsid w:val="04C57E21"/>
    <w:rsid w:val="04C65E7A"/>
    <w:rsid w:val="04DC4258"/>
    <w:rsid w:val="04FD2238"/>
    <w:rsid w:val="05043245"/>
    <w:rsid w:val="050E067D"/>
    <w:rsid w:val="051661A8"/>
    <w:rsid w:val="05232D64"/>
    <w:rsid w:val="05344431"/>
    <w:rsid w:val="05665AED"/>
    <w:rsid w:val="057E2CC9"/>
    <w:rsid w:val="05876912"/>
    <w:rsid w:val="05A04CFC"/>
    <w:rsid w:val="05C9793F"/>
    <w:rsid w:val="05D2786C"/>
    <w:rsid w:val="05D66AA2"/>
    <w:rsid w:val="05E378E5"/>
    <w:rsid w:val="05E9810C"/>
    <w:rsid w:val="05F152FD"/>
    <w:rsid w:val="05FE13F6"/>
    <w:rsid w:val="061436A8"/>
    <w:rsid w:val="06765E61"/>
    <w:rsid w:val="068B3A1B"/>
    <w:rsid w:val="06986CF8"/>
    <w:rsid w:val="06A80036"/>
    <w:rsid w:val="06C60ADA"/>
    <w:rsid w:val="06D44860"/>
    <w:rsid w:val="06EB4170"/>
    <w:rsid w:val="06FB5154"/>
    <w:rsid w:val="06FE5431"/>
    <w:rsid w:val="070338A3"/>
    <w:rsid w:val="070F05F5"/>
    <w:rsid w:val="070F5125"/>
    <w:rsid w:val="071156D0"/>
    <w:rsid w:val="072EE03E"/>
    <w:rsid w:val="07446A9E"/>
    <w:rsid w:val="076D2EC5"/>
    <w:rsid w:val="077F5755"/>
    <w:rsid w:val="07B67269"/>
    <w:rsid w:val="07B72CEF"/>
    <w:rsid w:val="07D5705B"/>
    <w:rsid w:val="07DC3BE0"/>
    <w:rsid w:val="07DD3C98"/>
    <w:rsid w:val="07ED9C63"/>
    <w:rsid w:val="07F3456A"/>
    <w:rsid w:val="07F3EE70"/>
    <w:rsid w:val="07F74263"/>
    <w:rsid w:val="08183A93"/>
    <w:rsid w:val="084B63B5"/>
    <w:rsid w:val="08680C7C"/>
    <w:rsid w:val="08732A56"/>
    <w:rsid w:val="08A959E5"/>
    <w:rsid w:val="08CC79CE"/>
    <w:rsid w:val="08DF6F86"/>
    <w:rsid w:val="08E3295E"/>
    <w:rsid w:val="08F127A5"/>
    <w:rsid w:val="08FC5C28"/>
    <w:rsid w:val="090055AD"/>
    <w:rsid w:val="09502698"/>
    <w:rsid w:val="095C3786"/>
    <w:rsid w:val="097135F5"/>
    <w:rsid w:val="099C18F2"/>
    <w:rsid w:val="09A040CC"/>
    <w:rsid w:val="09B73BD7"/>
    <w:rsid w:val="09C72916"/>
    <w:rsid w:val="09EA4152"/>
    <w:rsid w:val="0A400C60"/>
    <w:rsid w:val="0A5B444C"/>
    <w:rsid w:val="0A5C4679"/>
    <w:rsid w:val="0A5D255D"/>
    <w:rsid w:val="0A6F0D0A"/>
    <w:rsid w:val="0A732F2C"/>
    <w:rsid w:val="0A761A1D"/>
    <w:rsid w:val="0A7F6E2F"/>
    <w:rsid w:val="0A96285D"/>
    <w:rsid w:val="0AAC2F04"/>
    <w:rsid w:val="0ABF5E8F"/>
    <w:rsid w:val="0ADE5515"/>
    <w:rsid w:val="0AF92826"/>
    <w:rsid w:val="0AFD4160"/>
    <w:rsid w:val="0B387087"/>
    <w:rsid w:val="0B4F5F0D"/>
    <w:rsid w:val="0B62446D"/>
    <w:rsid w:val="0B6679DB"/>
    <w:rsid w:val="0B95392E"/>
    <w:rsid w:val="0BA8235E"/>
    <w:rsid w:val="0BBF7655"/>
    <w:rsid w:val="0BC24013"/>
    <w:rsid w:val="0BF73B08"/>
    <w:rsid w:val="0BF7C66F"/>
    <w:rsid w:val="0BFF23CF"/>
    <w:rsid w:val="0C0D271E"/>
    <w:rsid w:val="0C1F1A7D"/>
    <w:rsid w:val="0C205C66"/>
    <w:rsid w:val="0C23536D"/>
    <w:rsid w:val="0C2D7AD6"/>
    <w:rsid w:val="0C347B07"/>
    <w:rsid w:val="0C45727A"/>
    <w:rsid w:val="0C5816FA"/>
    <w:rsid w:val="0C587940"/>
    <w:rsid w:val="0C6C656A"/>
    <w:rsid w:val="0C6E124E"/>
    <w:rsid w:val="0C767E38"/>
    <w:rsid w:val="0C7B2208"/>
    <w:rsid w:val="0CC20DDA"/>
    <w:rsid w:val="0CC96BED"/>
    <w:rsid w:val="0CCE3DFC"/>
    <w:rsid w:val="0CE2258C"/>
    <w:rsid w:val="0D0971FD"/>
    <w:rsid w:val="0D2640D4"/>
    <w:rsid w:val="0D2713F4"/>
    <w:rsid w:val="0D2E79EB"/>
    <w:rsid w:val="0D3E2EA5"/>
    <w:rsid w:val="0D4A39C7"/>
    <w:rsid w:val="0D67C31B"/>
    <w:rsid w:val="0D6831E2"/>
    <w:rsid w:val="0D8E6A8C"/>
    <w:rsid w:val="0DA35C73"/>
    <w:rsid w:val="0DCE09E6"/>
    <w:rsid w:val="0DD534BF"/>
    <w:rsid w:val="0DDB748C"/>
    <w:rsid w:val="0DE78F9C"/>
    <w:rsid w:val="0DE873A8"/>
    <w:rsid w:val="0DF2345A"/>
    <w:rsid w:val="0DFD2741"/>
    <w:rsid w:val="0E1B3647"/>
    <w:rsid w:val="0E2A1611"/>
    <w:rsid w:val="0E3840EB"/>
    <w:rsid w:val="0E4805A4"/>
    <w:rsid w:val="0E4A10B0"/>
    <w:rsid w:val="0E523DF8"/>
    <w:rsid w:val="0E6C4457"/>
    <w:rsid w:val="0E7A2875"/>
    <w:rsid w:val="0E861A3E"/>
    <w:rsid w:val="0E8C0F63"/>
    <w:rsid w:val="0E9025BA"/>
    <w:rsid w:val="0E915CD1"/>
    <w:rsid w:val="0EB806F6"/>
    <w:rsid w:val="0EB9013C"/>
    <w:rsid w:val="0EBBE945"/>
    <w:rsid w:val="0EE14DD0"/>
    <w:rsid w:val="0F4525CF"/>
    <w:rsid w:val="0F4B233A"/>
    <w:rsid w:val="0F4C7B24"/>
    <w:rsid w:val="0F6F1DA2"/>
    <w:rsid w:val="0F7103C8"/>
    <w:rsid w:val="0F73F8E7"/>
    <w:rsid w:val="0F7F7AD7"/>
    <w:rsid w:val="0F8B3A4F"/>
    <w:rsid w:val="0FBF01EC"/>
    <w:rsid w:val="0FBFE613"/>
    <w:rsid w:val="0FDD309A"/>
    <w:rsid w:val="0FDF07F8"/>
    <w:rsid w:val="0FDF1867"/>
    <w:rsid w:val="0FDF5183"/>
    <w:rsid w:val="0FE77C9C"/>
    <w:rsid w:val="0FE96218"/>
    <w:rsid w:val="0FF51DC8"/>
    <w:rsid w:val="0FFC683B"/>
    <w:rsid w:val="0FFFBADA"/>
    <w:rsid w:val="100D3861"/>
    <w:rsid w:val="10394C6E"/>
    <w:rsid w:val="10465923"/>
    <w:rsid w:val="10777486"/>
    <w:rsid w:val="10925478"/>
    <w:rsid w:val="10994057"/>
    <w:rsid w:val="10AE05CD"/>
    <w:rsid w:val="110D15FA"/>
    <w:rsid w:val="1111308C"/>
    <w:rsid w:val="112F3840"/>
    <w:rsid w:val="11373924"/>
    <w:rsid w:val="11430499"/>
    <w:rsid w:val="11441C9B"/>
    <w:rsid w:val="118C0664"/>
    <w:rsid w:val="11A323C5"/>
    <w:rsid w:val="11AB029C"/>
    <w:rsid w:val="11B34B11"/>
    <w:rsid w:val="11B96735"/>
    <w:rsid w:val="11EB326B"/>
    <w:rsid w:val="11EE63BF"/>
    <w:rsid w:val="11F11869"/>
    <w:rsid w:val="11F44277"/>
    <w:rsid w:val="11F463A0"/>
    <w:rsid w:val="11F84DFA"/>
    <w:rsid w:val="12091AEF"/>
    <w:rsid w:val="1220290C"/>
    <w:rsid w:val="12344E88"/>
    <w:rsid w:val="12517CB1"/>
    <w:rsid w:val="12601EFC"/>
    <w:rsid w:val="12682534"/>
    <w:rsid w:val="12AC478B"/>
    <w:rsid w:val="12C312E5"/>
    <w:rsid w:val="12CB4052"/>
    <w:rsid w:val="12D36726"/>
    <w:rsid w:val="12D56161"/>
    <w:rsid w:val="12EB4ADB"/>
    <w:rsid w:val="131F277D"/>
    <w:rsid w:val="1338F4F0"/>
    <w:rsid w:val="134715A5"/>
    <w:rsid w:val="1355498A"/>
    <w:rsid w:val="13734537"/>
    <w:rsid w:val="13750153"/>
    <w:rsid w:val="137731CB"/>
    <w:rsid w:val="137BAE7C"/>
    <w:rsid w:val="13A65640"/>
    <w:rsid w:val="13BB515C"/>
    <w:rsid w:val="13C52735"/>
    <w:rsid w:val="13EC7735"/>
    <w:rsid w:val="13F14B4F"/>
    <w:rsid w:val="13FC7CEC"/>
    <w:rsid w:val="13FF0F40"/>
    <w:rsid w:val="142D7C54"/>
    <w:rsid w:val="143B56E6"/>
    <w:rsid w:val="14451B08"/>
    <w:rsid w:val="149022F5"/>
    <w:rsid w:val="14994873"/>
    <w:rsid w:val="14A33692"/>
    <w:rsid w:val="14A95556"/>
    <w:rsid w:val="14B34393"/>
    <w:rsid w:val="14CD3376"/>
    <w:rsid w:val="14DDE6DA"/>
    <w:rsid w:val="14E263CC"/>
    <w:rsid w:val="14FFD363"/>
    <w:rsid w:val="15015F38"/>
    <w:rsid w:val="151F465F"/>
    <w:rsid w:val="15724F57"/>
    <w:rsid w:val="15737ED5"/>
    <w:rsid w:val="15747800"/>
    <w:rsid w:val="159C5EBE"/>
    <w:rsid w:val="15A57F70"/>
    <w:rsid w:val="15A7413B"/>
    <w:rsid w:val="15AF6FA5"/>
    <w:rsid w:val="15B3B949"/>
    <w:rsid w:val="15CF777C"/>
    <w:rsid w:val="15D71918"/>
    <w:rsid w:val="15D7392C"/>
    <w:rsid w:val="15E957F5"/>
    <w:rsid w:val="165F8A96"/>
    <w:rsid w:val="166154D9"/>
    <w:rsid w:val="16620897"/>
    <w:rsid w:val="16706CB9"/>
    <w:rsid w:val="1679277A"/>
    <w:rsid w:val="168809C1"/>
    <w:rsid w:val="1688372A"/>
    <w:rsid w:val="16906C20"/>
    <w:rsid w:val="16912320"/>
    <w:rsid w:val="16A642EA"/>
    <w:rsid w:val="16AA0C79"/>
    <w:rsid w:val="16CB515E"/>
    <w:rsid w:val="16CF9482"/>
    <w:rsid w:val="16DE5348"/>
    <w:rsid w:val="16E75584"/>
    <w:rsid w:val="16EF7E9D"/>
    <w:rsid w:val="16FEFB4C"/>
    <w:rsid w:val="171437BC"/>
    <w:rsid w:val="171F31B6"/>
    <w:rsid w:val="17297243"/>
    <w:rsid w:val="172B3BAF"/>
    <w:rsid w:val="17306DC5"/>
    <w:rsid w:val="17517DB4"/>
    <w:rsid w:val="175362BD"/>
    <w:rsid w:val="17564E4E"/>
    <w:rsid w:val="175A3626"/>
    <w:rsid w:val="176339B9"/>
    <w:rsid w:val="176D2214"/>
    <w:rsid w:val="177A76FB"/>
    <w:rsid w:val="177FDC0C"/>
    <w:rsid w:val="17830BC4"/>
    <w:rsid w:val="179673AD"/>
    <w:rsid w:val="179D3EE7"/>
    <w:rsid w:val="17A41034"/>
    <w:rsid w:val="17AE6F0D"/>
    <w:rsid w:val="17C5A603"/>
    <w:rsid w:val="17CB69C5"/>
    <w:rsid w:val="17EFFC56"/>
    <w:rsid w:val="17F37347"/>
    <w:rsid w:val="17FB6B3A"/>
    <w:rsid w:val="18294E05"/>
    <w:rsid w:val="1843338E"/>
    <w:rsid w:val="189F63A4"/>
    <w:rsid w:val="18B50B59"/>
    <w:rsid w:val="18BA1C83"/>
    <w:rsid w:val="18BE5009"/>
    <w:rsid w:val="18DD4DBC"/>
    <w:rsid w:val="18E7300E"/>
    <w:rsid w:val="18FD36DF"/>
    <w:rsid w:val="19120D80"/>
    <w:rsid w:val="191279EB"/>
    <w:rsid w:val="194B49BE"/>
    <w:rsid w:val="19557004"/>
    <w:rsid w:val="195861A0"/>
    <w:rsid w:val="195D6BA6"/>
    <w:rsid w:val="198C09D0"/>
    <w:rsid w:val="19917D18"/>
    <w:rsid w:val="19D32F03"/>
    <w:rsid w:val="19E6EEC6"/>
    <w:rsid w:val="19F2FF62"/>
    <w:rsid w:val="19F74764"/>
    <w:rsid w:val="1A165786"/>
    <w:rsid w:val="1A3E6EBC"/>
    <w:rsid w:val="1A531651"/>
    <w:rsid w:val="1AA64CC3"/>
    <w:rsid w:val="1AC342F1"/>
    <w:rsid w:val="1ACB0083"/>
    <w:rsid w:val="1ACC1513"/>
    <w:rsid w:val="1AD4468E"/>
    <w:rsid w:val="1ADD27BD"/>
    <w:rsid w:val="1ADD7B4C"/>
    <w:rsid w:val="1AFB7030"/>
    <w:rsid w:val="1AFE27BD"/>
    <w:rsid w:val="1B174D12"/>
    <w:rsid w:val="1B284EDC"/>
    <w:rsid w:val="1B4A3BD6"/>
    <w:rsid w:val="1B565504"/>
    <w:rsid w:val="1B6F1143"/>
    <w:rsid w:val="1B77BBDD"/>
    <w:rsid w:val="1B7A0E74"/>
    <w:rsid w:val="1B9BBCC4"/>
    <w:rsid w:val="1BA63F86"/>
    <w:rsid w:val="1BAE6808"/>
    <w:rsid w:val="1BB35625"/>
    <w:rsid w:val="1BE5395D"/>
    <w:rsid w:val="1BEAA7BE"/>
    <w:rsid w:val="1BEFF4F8"/>
    <w:rsid w:val="1BFD5652"/>
    <w:rsid w:val="1C123A0E"/>
    <w:rsid w:val="1C1954B5"/>
    <w:rsid w:val="1C9D026D"/>
    <w:rsid w:val="1CBC5C15"/>
    <w:rsid w:val="1CC40B64"/>
    <w:rsid w:val="1CD23286"/>
    <w:rsid w:val="1CD74540"/>
    <w:rsid w:val="1CE9019E"/>
    <w:rsid w:val="1CF954B7"/>
    <w:rsid w:val="1D0572DB"/>
    <w:rsid w:val="1D38294F"/>
    <w:rsid w:val="1D4B21DC"/>
    <w:rsid w:val="1D5A6BB2"/>
    <w:rsid w:val="1D5FF657"/>
    <w:rsid w:val="1D6B8DD7"/>
    <w:rsid w:val="1D799629"/>
    <w:rsid w:val="1DA34B10"/>
    <w:rsid w:val="1DC10845"/>
    <w:rsid w:val="1DC93500"/>
    <w:rsid w:val="1DE7A4F4"/>
    <w:rsid w:val="1DEF14B7"/>
    <w:rsid w:val="1DFE49F6"/>
    <w:rsid w:val="1DFEF25E"/>
    <w:rsid w:val="1DFF21B1"/>
    <w:rsid w:val="1DFF271E"/>
    <w:rsid w:val="1DFF77B5"/>
    <w:rsid w:val="1E266B09"/>
    <w:rsid w:val="1E363BB7"/>
    <w:rsid w:val="1E563996"/>
    <w:rsid w:val="1E5B5266"/>
    <w:rsid w:val="1E5BB265"/>
    <w:rsid w:val="1E5F50D9"/>
    <w:rsid w:val="1E7E8BCA"/>
    <w:rsid w:val="1E7F0877"/>
    <w:rsid w:val="1E9371D9"/>
    <w:rsid w:val="1EA06BE8"/>
    <w:rsid w:val="1EAC7FCC"/>
    <w:rsid w:val="1EB71593"/>
    <w:rsid w:val="1EB7236A"/>
    <w:rsid w:val="1ED36B33"/>
    <w:rsid w:val="1EDC35A3"/>
    <w:rsid w:val="1EDD02BC"/>
    <w:rsid w:val="1EE204B1"/>
    <w:rsid w:val="1EEF2931"/>
    <w:rsid w:val="1EF36D0B"/>
    <w:rsid w:val="1F0C7536"/>
    <w:rsid w:val="1F212698"/>
    <w:rsid w:val="1F2C796E"/>
    <w:rsid w:val="1F3A4613"/>
    <w:rsid w:val="1F3E8FC1"/>
    <w:rsid w:val="1F3F4242"/>
    <w:rsid w:val="1F4EF821"/>
    <w:rsid w:val="1F581A95"/>
    <w:rsid w:val="1F68043D"/>
    <w:rsid w:val="1F75083B"/>
    <w:rsid w:val="1F77B54F"/>
    <w:rsid w:val="1F7B364C"/>
    <w:rsid w:val="1F7D485F"/>
    <w:rsid w:val="1F887F6B"/>
    <w:rsid w:val="1F954420"/>
    <w:rsid w:val="1F9D423F"/>
    <w:rsid w:val="1FA7A1B2"/>
    <w:rsid w:val="1FAE7B44"/>
    <w:rsid w:val="1FB1E482"/>
    <w:rsid w:val="1FB501A7"/>
    <w:rsid w:val="1FB53C07"/>
    <w:rsid w:val="1FB651ED"/>
    <w:rsid w:val="1FBB09A2"/>
    <w:rsid w:val="1FBB726F"/>
    <w:rsid w:val="1FC46087"/>
    <w:rsid w:val="1FD149F0"/>
    <w:rsid w:val="1FD61EE3"/>
    <w:rsid w:val="1FD793CA"/>
    <w:rsid w:val="1FD94D5C"/>
    <w:rsid w:val="1FE73B1D"/>
    <w:rsid w:val="1FF7F685"/>
    <w:rsid w:val="1FFF29B0"/>
    <w:rsid w:val="1FFF5983"/>
    <w:rsid w:val="2061168E"/>
    <w:rsid w:val="20673EBA"/>
    <w:rsid w:val="2075250A"/>
    <w:rsid w:val="20840DA7"/>
    <w:rsid w:val="20847649"/>
    <w:rsid w:val="20917D10"/>
    <w:rsid w:val="20A40717"/>
    <w:rsid w:val="20C47107"/>
    <w:rsid w:val="21093C90"/>
    <w:rsid w:val="210B5D4D"/>
    <w:rsid w:val="21221B95"/>
    <w:rsid w:val="21362809"/>
    <w:rsid w:val="2146659D"/>
    <w:rsid w:val="21926D46"/>
    <w:rsid w:val="219A7D2B"/>
    <w:rsid w:val="21AB2AE5"/>
    <w:rsid w:val="21AB504F"/>
    <w:rsid w:val="21BF4BA9"/>
    <w:rsid w:val="21C52462"/>
    <w:rsid w:val="21E14DC4"/>
    <w:rsid w:val="21F574E9"/>
    <w:rsid w:val="22184D51"/>
    <w:rsid w:val="224E42C7"/>
    <w:rsid w:val="224E47FB"/>
    <w:rsid w:val="2275687B"/>
    <w:rsid w:val="22841700"/>
    <w:rsid w:val="2289067E"/>
    <w:rsid w:val="228B0281"/>
    <w:rsid w:val="22927984"/>
    <w:rsid w:val="22B45163"/>
    <w:rsid w:val="22C92EAC"/>
    <w:rsid w:val="22E376EB"/>
    <w:rsid w:val="22F33B6D"/>
    <w:rsid w:val="22F60342"/>
    <w:rsid w:val="230420D2"/>
    <w:rsid w:val="232F5637"/>
    <w:rsid w:val="235943C3"/>
    <w:rsid w:val="237A1D8C"/>
    <w:rsid w:val="239B435B"/>
    <w:rsid w:val="239D61E8"/>
    <w:rsid w:val="23A62CE3"/>
    <w:rsid w:val="23AF1F2B"/>
    <w:rsid w:val="23B17A30"/>
    <w:rsid w:val="23B80F9A"/>
    <w:rsid w:val="23D54C43"/>
    <w:rsid w:val="23EBB3A3"/>
    <w:rsid w:val="23EE4ED7"/>
    <w:rsid w:val="240C1DB3"/>
    <w:rsid w:val="24265D18"/>
    <w:rsid w:val="242C15B9"/>
    <w:rsid w:val="24411393"/>
    <w:rsid w:val="246E124B"/>
    <w:rsid w:val="24740C3C"/>
    <w:rsid w:val="247B04B6"/>
    <w:rsid w:val="24A67CE2"/>
    <w:rsid w:val="24B9E822"/>
    <w:rsid w:val="24BF5292"/>
    <w:rsid w:val="24CA25CC"/>
    <w:rsid w:val="24F84517"/>
    <w:rsid w:val="24FB19A3"/>
    <w:rsid w:val="2522175C"/>
    <w:rsid w:val="252D544D"/>
    <w:rsid w:val="253B5020"/>
    <w:rsid w:val="2563686D"/>
    <w:rsid w:val="25735BE7"/>
    <w:rsid w:val="25895672"/>
    <w:rsid w:val="25AA5979"/>
    <w:rsid w:val="25AF1875"/>
    <w:rsid w:val="25B37265"/>
    <w:rsid w:val="25C052E7"/>
    <w:rsid w:val="25EB66AD"/>
    <w:rsid w:val="25FB1550"/>
    <w:rsid w:val="25FE0EAD"/>
    <w:rsid w:val="26114AD8"/>
    <w:rsid w:val="263354EE"/>
    <w:rsid w:val="265D20A7"/>
    <w:rsid w:val="265E53FE"/>
    <w:rsid w:val="266357C0"/>
    <w:rsid w:val="2669680C"/>
    <w:rsid w:val="26777618"/>
    <w:rsid w:val="26791230"/>
    <w:rsid w:val="26983CEA"/>
    <w:rsid w:val="269A6A6E"/>
    <w:rsid w:val="269FA737"/>
    <w:rsid w:val="26A3387D"/>
    <w:rsid w:val="26AA2AD3"/>
    <w:rsid w:val="26AA6007"/>
    <w:rsid w:val="26AD2F94"/>
    <w:rsid w:val="26AE6248"/>
    <w:rsid w:val="26B62569"/>
    <w:rsid w:val="26C629A3"/>
    <w:rsid w:val="26C93070"/>
    <w:rsid w:val="26E74D76"/>
    <w:rsid w:val="26EE611D"/>
    <w:rsid w:val="26F04034"/>
    <w:rsid w:val="26F8489F"/>
    <w:rsid w:val="26FE0036"/>
    <w:rsid w:val="27163BC9"/>
    <w:rsid w:val="27182CFD"/>
    <w:rsid w:val="273F09D2"/>
    <w:rsid w:val="277600FA"/>
    <w:rsid w:val="277BABC2"/>
    <w:rsid w:val="277FA20D"/>
    <w:rsid w:val="279703C9"/>
    <w:rsid w:val="279B2A58"/>
    <w:rsid w:val="27AA69A2"/>
    <w:rsid w:val="27C60DA9"/>
    <w:rsid w:val="27CE0F9B"/>
    <w:rsid w:val="27CEA13B"/>
    <w:rsid w:val="27D1C5F8"/>
    <w:rsid w:val="27D721A8"/>
    <w:rsid w:val="27E73BB3"/>
    <w:rsid w:val="27FD17FD"/>
    <w:rsid w:val="27FF1391"/>
    <w:rsid w:val="27FF324B"/>
    <w:rsid w:val="27FF779B"/>
    <w:rsid w:val="28386C74"/>
    <w:rsid w:val="28493A83"/>
    <w:rsid w:val="28604FE7"/>
    <w:rsid w:val="286C1CB0"/>
    <w:rsid w:val="28947DA2"/>
    <w:rsid w:val="28A3466F"/>
    <w:rsid w:val="28BB0066"/>
    <w:rsid w:val="28FDE007"/>
    <w:rsid w:val="2932018A"/>
    <w:rsid w:val="294A79CB"/>
    <w:rsid w:val="294B68FE"/>
    <w:rsid w:val="29537674"/>
    <w:rsid w:val="29661D7C"/>
    <w:rsid w:val="296D4472"/>
    <w:rsid w:val="29757FBB"/>
    <w:rsid w:val="298026CA"/>
    <w:rsid w:val="298C246F"/>
    <w:rsid w:val="299037A8"/>
    <w:rsid w:val="2991141F"/>
    <w:rsid w:val="29B66143"/>
    <w:rsid w:val="29DA560E"/>
    <w:rsid w:val="29DED147"/>
    <w:rsid w:val="29EE1CD6"/>
    <w:rsid w:val="2A1E39B9"/>
    <w:rsid w:val="2A25126B"/>
    <w:rsid w:val="2A3002DA"/>
    <w:rsid w:val="2A35A0D0"/>
    <w:rsid w:val="2A3D3491"/>
    <w:rsid w:val="2A4921EC"/>
    <w:rsid w:val="2A514A27"/>
    <w:rsid w:val="2A617BD1"/>
    <w:rsid w:val="2A672227"/>
    <w:rsid w:val="2A6938C3"/>
    <w:rsid w:val="2A734F0D"/>
    <w:rsid w:val="2A871ECB"/>
    <w:rsid w:val="2ABFF9A6"/>
    <w:rsid w:val="2AC249FE"/>
    <w:rsid w:val="2AC344B9"/>
    <w:rsid w:val="2AD84C0D"/>
    <w:rsid w:val="2B03403A"/>
    <w:rsid w:val="2B1F48F4"/>
    <w:rsid w:val="2B23531E"/>
    <w:rsid w:val="2B517268"/>
    <w:rsid w:val="2B5E6AC9"/>
    <w:rsid w:val="2B610CE2"/>
    <w:rsid w:val="2B9A3BCA"/>
    <w:rsid w:val="2B9F42EB"/>
    <w:rsid w:val="2BA35206"/>
    <w:rsid w:val="2BAB1F95"/>
    <w:rsid w:val="2BADD74A"/>
    <w:rsid w:val="2BB66CD7"/>
    <w:rsid w:val="2BBFE3EB"/>
    <w:rsid w:val="2BCF4C12"/>
    <w:rsid w:val="2BED0AE0"/>
    <w:rsid w:val="2BED3BF7"/>
    <w:rsid w:val="2BF111D6"/>
    <w:rsid w:val="2BF721D3"/>
    <w:rsid w:val="2BF7DEB3"/>
    <w:rsid w:val="2BF963F1"/>
    <w:rsid w:val="2C2E6493"/>
    <w:rsid w:val="2C3962CF"/>
    <w:rsid w:val="2C3FAFA1"/>
    <w:rsid w:val="2C421740"/>
    <w:rsid w:val="2C465038"/>
    <w:rsid w:val="2C5663B9"/>
    <w:rsid w:val="2C6C4D1C"/>
    <w:rsid w:val="2C6D1E34"/>
    <w:rsid w:val="2C9E2314"/>
    <w:rsid w:val="2CAE1E2F"/>
    <w:rsid w:val="2CB7D1E1"/>
    <w:rsid w:val="2CCE5550"/>
    <w:rsid w:val="2CDA1081"/>
    <w:rsid w:val="2CF14126"/>
    <w:rsid w:val="2CF7E4EE"/>
    <w:rsid w:val="2CFE6894"/>
    <w:rsid w:val="2D10101F"/>
    <w:rsid w:val="2D33573B"/>
    <w:rsid w:val="2D4E398D"/>
    <w:rsid w:val="2D5F57C3"/>
    <w:rsid w:val="2D731DFE"/>
    <w:rsid w:val="2D74AE43"/>
    <w:rsid w:val="2D7D0967"/>
    <w:rsid w:val="2D7D66B5"/>
    <w:rsid w:val="2DBFD56D"/>
    <w:rsid w:val="2DC8321C"/>
    <w:rsid w:val="2DDC6D4E"/>
    <w:rsid w:val="2DDD2D14"/>
    <w:rsid w:val="2DF74431"/>
    <w:rsid w:val="2DF7E049"/>
    <w:rsid w:val="2DF86F61"/>
    <w:rsid w:val="2DFC4534"/>
    <w:rsid w:val="2E0B6FBF"/>
    <w:rsid w:val="2E1C73B8"/>
    <w:rsid w:val="2E1E1680"/>
    <w:rsid w:val="2E2E1865"/>
    <w:rsid w:val="2E370CB4"/>
    <w:rsid w:val="2E3B6762"/>
    <w:rsid w:val="2E3D1882"/>
    <w:rsid w:val="2E412209"/>
    <w:rsid w:val="2E57735D"/>
    <w:rsid w:val="2E612400"/>
    <w:rsid w:val="2E6D122F"/>
    <w:rsid w:val="2E6DA061"/>
    <w:rsid w:val="2E71268D"/>
    <w:rsid w:val="2E7C3896"/>
    <w:rsid w:val="2E89159D"/>
    <w:rsid w:val="2EA70AA1"/>
    <w:rsid w:val="2EBB605D"/>
    <w:rsid w:val="2EBBE11F"/>
    <w:rsid w:val="2EBE4884"/>
    <w:rsid w:val="2EC11F85"/>
    <w:rsid w:val="2ECF53D1"/>
    <w:rsid w:val="2EE352BC"/>
    <w:rsid w:val="2EFBA18A"/>
    <w:rsid w:val="2EFE4B9F"/>
    <w:rsid w:val="2EFFCF90"/>
    <w:rsid w:val="2F31082F"/>
    <w:rsid w:val="2F310CC2"/>
    <w:rsid w:val="2F396FBC"/>
    <w:rsid w:val="2F3F2D0B"/>
    <w:rsid w:val="2F4D0EB6"/>
    <w:rsid w:val="2F5E0BE7"/>
    <w:rsid w:val="2F5F10FD"/>
    <w:rsid w:val="2F6F19CE"/>
    <w:rsid w:val="2F7161A5"/>
    <w:rsid w:val="2F8D07E7"/>
    <w:rsid w:val="2FA8320F"/>
    <w:rsid w:val="2FAC0809"/>
    <w:rsid w:val="2FB45029"/>
    <w:rsid w:val="2FB75CDC"/>
    <w:rsid w:val="2FB8A540"/>
    <w:rsid w:val="2FC7B207"/>
    <w:rsid w:val="2FCE3CC0"/>
    <w:rsid w:val="2FCFC64D"/>
    <w:rsid w:val="2FD05F7D"/>
    <w:rsid w:val="2FD51119"/>
    <w:rsid w:val="2FE344D4"/>
    <w:rsid w:val="2FEF5131"/>
    <w:rsid w:val="2FF20944"/>
    <w:rsid w:val="2FF68D6B"/>
    <w:rsid w:val="2FF7CBB4"/>
    <w:rsid w:val="2FF7F075"/>
    <w:rsid w:val="2FFA0AE2"/>
    <w:rsid w:val="2FFF3CB2"/>
    <w:rsid w:val="2FFF7748"/>
    <w:rsid w:val="2FFFFA46"/>
    <w:rsid w:val="30177BF3"/>
    <w:rsid w:val="301A547C"/>
    <w:rsid w:val="301C4311"/>
    <w:rsid w:val="305D75BE"/>
    <w:rsid w:val="30612DCB"/>
    <w:rsid w:val="306B7AEE"/>
    <w:rsid w:val="306C534F"/>
    <w:rsid w:val="30883DFB"/>
    <w:rsid w:val="309E155F"/>
    <w:rsid w:val="30A73C3B"/>
    <w:rsid w:val="30BBF2A5"/>
    <w:rsid w:val="30EC639E"/>
    <w:rsid w:val="31027962"/>
    <w:rsid w:val="31173D9A"/>
    <w:rsid w:val="313C02E4"/>
    <w:rsid w:val="315A0B70"/>
    <w:rsid w:val="31626EB9"/>
    <w:rsid w:val="319334C6"/>
    <w:rsid w:val="319F2AA2"/>
    <w:rsid w:val="31B17FB8"/>
    <w:rsid w:val="31B405C6"/>
    <w:rsid w:val="31B8195A"/>
    <w:rsid w:val="31BEA993"/>
    <w:rsid w:val="31C03864"/>
    <w:rsid w:val="31ED1C11"/>
    <w:rsid w:val="31F908C2"/>
    <w:rsid w:val="32277E1B"/>
    <w:rsid w:val="325068E7"/>
    <w:rsid w:val="32520F9B"/>
    <w:rsid w:val="327B6B70"/>
    <w:rsid w:val="328B0085"/>
    <w:rsid w:val="329A0FA9"/>
    <w:rsid w:val="329DFE3F"/>
    <w:rsid w:val="32BC1CE9"/>
    <w:rsid w:val="32D1DF02"/>
    <w:rsid w:val="32D31321"/>
    <w:rsid w:val="32D7B2A4"/>
    <w:rsid w:val="32E7A639"/>
    <w:rsid w:val="32E94FAB"/>
    <w:rsid w:val="32EC12B2"/>
    <w:rsid w:val="32F874D4"/>
    <w:rsid w:val="32FE6B29"/>
    <w:rsid w:val="330A322A"/>
    <w:rsid w:val="33247697"/>
    <w:rsid w:val="3334327C"/>
    <w:rsid w:val="33555950"/>
    <w:rsid w:val="335A73D1"/>
    <w:rsid w:val="336738AE"/>
    <w:rsid w:val="336B35DC"/>
    <w:rsid w:val="337EFA9E"/>
    <w:rsid w:val="33BE456D"/>
    <w:rsid w:val="33C74A8B"/>
    <w:rsid w:val="33CA42E3"/>
    <w:rsid w:val="33DF28FD"/>
    <w:rsid w:val="33FF864B"/>
    <w:rsid w:val="344A1F94"/>
    <w:rsid w:val="34723588"/>
    <w:rsid w:val="348C59B9"/>
    <w:rsid w:val="34910D7F"/>
    <w:rsid w:val="349178FA"/>
    <w:rsid w:val="34AA74CE"/>
    <w:rsid w:val="34BE395B"/>
    <w:rsid w:val="34BFEC85"/>
    <w:rsid w:val="34C0400C"/>
    <w:rsid w:val="351E0221"/>
    <w:rsid w:val="352359A2"/>
    <w:rsid w:val="35341DFA"/>
    <w:rsid w:val="35375926"/>
    <w:rsid w:val="353F3346"/>
    <w:rsid w:val="354D468B"/>
    <w:rsid w:val="355B7099"/>
    <w:rsid w:val="35645BBD"/>
    <w:rsid w:val="35691A1E"/>
    <w:rsid w:val="357E0719"/>
    <w:rsid w:val="357F8CFE"/>
    <w:rsid w:val="358F5735"/>
    <w:rsid w:val="35B75B32"/>
    <w:rsid w:val="35C81D9D"/>
    <w:rsid w:val="35D61EB1"/>
    <w:rsid w:val="35E664D5"/>
    <w:rsid w:val="35EA863B"/>
    <w:rsid w:val="35F6546D"/>
    <w:rsid w:val="35FFBB04"/>
    <w:rsid w:val="3605258A"/>
    <w:rsid w:val="361723CB"/>
    <w:rsid w:val="36193814"/>
    <w:rsid w:val="36376DED"/>
    <w:rsid w:val="36384A28"/>
    <w:rsid w:val="364F3F65"/>
    <w:rsid w:val="366F5D16"/>
    <w:rsid w:val="367C28F1"/>
    <w:rsid w:val="367D994B"/>
    <w:rsid w:val="36A470A9"/>
    <w:rsid w:val="36AA4802"/>
    <w:rsid w:val="36C66E7D"/>
    <w:rsid w:val="36E17B53"/>
    <w:rsid w:val="36E7309A"/>
    <w:rsid w:val="36F36BCB"/>
    <w:rsid w:val="36F97BDB"/>
    <w:rsid w:val="36FF8D45"/>
    <w:rsid w:val="370A39B7"/>
    <w:rsid w:val="370B76E9"/>
    <w:rsid w:val="37137532"/>
    <w:rsid w:val="37395067"/>
    <w:rsid w:val="373CA4C6"/>
    <w:rsid w:val="373F7D47"/>
    <w:rsid w:val="37401E22"/>
    <w:rsid w:val="374D71FD"/>
    <w:rsid w:val="375064DA"/>
    <w:rsid w:val="37534D18"/>
    <w:rsid w:val="375906A4"/>
    <w:rsid w:val="375C6666"/>
    <w:rsid w:val="375EE73C"/>
    <w:rsid w:val="375FC6AA"/>
    <w:rsid w:val="377C994F"/>
    <w:rsid w:val="377D1FE1"/>
    <w:rsid w:val="377EDE3F"/>
    <w:rsid w:val="377F6BEB"/>
    <w:rsid w:val="377FBD57"/>
    <w:rsid w:val="37982549"/>
    <w:rsid w:val="37AAAB4B"/>
    <w:rsid w:val="37BB4774"/>
    <w:rsid w:val="37BBB793"/>
    <w:rsid w:val="37CF2F6A"/>
    <w:rsid w:val="37D7BE02"/>
    <w:rsid w:val="37D99604"/>
    <w:rsid w:val="37DF295F"/>
    <w:rsid w:val="37E23375"/>
    <w:rsid w:val="37F172FC"/>
    <w:rsid w:val="37F5168D"/>
    <w:rsid w:val="37F529B1"/>
    <w:rsid w:val="37F650E0"/>
    <w:rsid w:val="37F9E346"/>
    <w:rsid w:val="37FA5709"/>
    <w:rsid w:val="37FB31DD"/>
    <w:rsid w:val="37FB827B"/>
    <w:rsid w:val="37FFAD58"/>
    <w:rsid w:val="37FFD068"/>
    <w:rsid w:val="38040905"/>
    <w:rsid w:val="3804478F"/>
    <w:rsid w:val="38297753"/>
    <w:rsid w:val="383E4E95"/>
    <w:rsid w:val="385F498E"/>
    <w:rsid w:val="386B5906"/>
    <w:rsid w:val="389543B1"/>
    <w:rsid w:val="389F224D"/>
    <w:rsid w:val="38AC6D46"/>
    <w:rsid w:val="38B7B636"/>
    <w:rsid w:val="38DDFCBE"/>
    <w:rsid w:val="38F92163"/>
    <w:rsid w:val="38F97F42"/>
    <w:rsid w:val="392B589C"/>
    <w:rsid w:val="392C4E18"/>
    <w:rsid w:val="392E176A"/>
    <w:rsid w:val="39387011"/>
    <w:rsid w:val="396646D3"/>
    <w:rsid w:val="39700B04"/>
    <w:rsid w:val="39771D81"/>
    <w:rsid w:val="397C3824"/>
    <w:rsid w:val="3995204C"/>
    <w:rsid w:val="399741EA"/>
    <w:rsid w:val="39F78E6B"/>
    <w:rsid w:val="39F7D146"/>
    <w:rsid w:val="39FD0ACC"/>
    <w:rsid w:val="39FF2895"/>
    <w:rsid w:val="3A006594"/>
    <w:rsid w:val="3A193974"/>
    <w:rsid w:val="3A2541C8"/>
    <w:rsid w:val="3A293990"/>
    <w:rsid w:val="3A294229"/>
    <w:rsid w:val="3A485B79"/>
    <w:rsid w:val="3A4D56A8"/>
    <w:rsid w:val="3A5FEF43"/>
    <w:rsid w:val="3A796153"/>
    <w:rsid w:val="3A7B59C1"/>
    <w:rsid w:val="3A7F0826"/>
    <w:rsid w:val="3A852B7D"/>
    <w:rsid w:val="3A9A4874"/>
    <w:rsid w:val="3AA322B2"/>
    <w:rsid w:val="3ABE1B9E"/>
    <w:rsid w:val="3AC90FE2"/>
    <w:rsid w:val="3AD75FC4"/>
    <w:rsid w:val="3AE60ABB"/>
    <w:rsid w:val="3AF571F3"/>
    <w:rsid w:val="3AFC07B5"/>
    <w:rsid w:val="3AFD672C"/>
    <w:rsid w:val="3B0A6514"/>
    <w:rsid w:val="3B0E2DF3"/>
    <w:rsid w:val="3B261281"/>
    <w:rsid w:val="3B316DB9"/>
    <w:rsid w:val="3B533C35"/>
    <w:rsid w:val="3B5E9A99"/>
    <w:rsid w:val="3B6A6BE8"/>
    <w:rsid w:val="3B6D030B"/>
    <w:rsid w:val="3B6D1978"/>
    <w:rsid w:val="3B6E78E4"/>
    <w:rsid w:val="3B6F9278"/>
    <w:rsid w:val="3B723A36"/>
    <w:rsid w:val="3B74425D"/>
    <w:rsid w:val="3B777670"/>
    <w:rsid w:val="3B7D3E00"/>
    <w:rsid w:val="3B7FF12C"/>
    <w:rsid w:val="3B7FFEA6"/>
    <w:rsid w:val="3B8E43EC"/>
    <w:rsid w:val="3B952315"/>
    <w:rsid w:val="3B9D8A67"/>
    <w:rsid w:val="3BA5070F"/>
    <w:rsid w:val="3BA6C418"/>
    <w:rsid w:val="3BAB79ED"/>
    <w:rsid w:val="3BACE992"/>
    <w:rsid w:val="3BAF0A5A"/>
    <w:rsid w:val="3BB02BBF"/>
    <w:rsid w:val="3BBB37AD"/>
    <w:rsid w:val="3BBF1101"/>
    <w:rsid w:val="3BBF170C"/>
    <w:rsid w:val="3BBF3A0E"/>
    <w:rsid w:val="3BBFF8A3"/>
    <w:rsid w:val="3BCFA1BE"/>
    <w:rsid w:val="3BD2B626"/>
    <w:rsid w:val="3BDF0883"/>
    <w:rsid w:val="3BE07CD8"/>
    <w:rsid w:val="3BEEB5D3"/>
    <w:rsid w:val="3BF32496"/>
    <w:rsid w:val="3BF83A93"/>
    <w:rsid w:val="3BF9432E"/>
    <w:rsid w:val="3BF951C6"/>
    <w:rsid w:val="3BFD16DA"/>
    <w:rsid w:val="3BFF05EE"/>
    <w:rsid w:val="3BFFA73A"/>
    <w:rsid w:val="3BFFEB07"/>
    <w:rsid w:val="3BFFFBA7"/>
    <w:rsid w:val="3C0F310A"/>
    <w:rsid w:val="3C5EC1AD"/>
    <w:rsid w:val="3C791B3A"/>
    <w:rsid w:val="3C8F6E4A"/>
    <w:rsid w:val="3CBA9269"/>
    <w:rsid w:val="3CBD4D35"/>
    <w:rsid w:val="3CBF6638"/>
    <w:rsid w:val="3CCE580F"/>
    <w:rsid w:val="3CCEA366"/>
    <w:rsid w:val="3CCF1FB9"/>
    <w:rsid w:val="3CCFD43C"/>
    <w:rsid w:val="3CD54D0D"/>
    <w:rsid w:val="3CDF4E0B"/>
    <w:rsid w:val="3CFAF8DB"/>
    <w:rsid w:val="3CFE2FEF"/>
    <w:rsid w:val="3D093E18"/>
    <w:rsid w:val="3D1330D0"/>
    <w:rsid w:val="3D2D11F6"/>
    <w:rsid w:val="3D2FD868"/>
    <w:rsid w:val="3D54759C"/>
    <w:rsid w:val="3D55D996"/>
    <w:rsid w:val="3D58688A"/>
    <w:rsid w:val="3D5FF058"/>
    <w:rsid w:val="3D6D33CB"/>
    <w:rsid w:val="3D7D2136"/>
    <w:rsid w:val="3D7DB910"/>
    <w:rsid w:val="3D7DDB94"/>
    <w:rsid w:val="3D7E89AF"/>
    <w:rsid w:val="3D7FC1F2"/>
    <w:rsid w:val="3D9B5208"/>
    <w:rsid w:val="3DA662BF"/>
    <w:rsid w:val="3DA82D91"/>
    <w:rsid w:val="3DAB7FBF"/>
    <w:rsid w:val="3DAEF2C7"/>
    <w:rsid w:val="3DBDD449"/>
    <w:rsid w:val="3DBF99B3"/>
    <w:rsid w:val="3DBFE4A4"/>
    <w:rsid w:val="3DCB6468"/>
    <w:rsid w:val="3DCC2907"/>
    <w:rsid w:val="3DCDE433"/>
    <w:rsid w:val="3DDB64C4"/>
    <w:rsid w:val="3DDEBB1A"/>
    <w:rsid w:val="3DE7DD70"/>
    <w:rsid w:val="3DEBB676"/>
    <w:rsid w:val="3DEEF84C"/>
    <w:rsid w:val="3DEF9A77"/>
    <w:rsid w:val="3DF1DE25"/>
    <w:rsid w:val="3DF7665C"/>
    <w:rsid w:val="3DFBAA27"/>
    <w:rsid w:val="3DFC549D"/>
    <w:rsid w:val="3DFF3A02"/>
    <w:rsid w:val="3E1B0193"/>
    <w:rsid w:val="3E1D54A0"/>
    <w:rsid w:val="3E1F7A3F"/>
    <w:rsid w:val="3E210319"/>
    <w:rsid w:val="3E53C819"/>
    <w:rsid w:val="3E68CA51"/>
    <w:rsid w:val="3E6A0936"/>
    <w:rsid w:val="3E6B1765"/>
    <w:rsid w:val="3E6F6046"/>
    <w:rsid w:val="3E7FD1D3"/>
    <w:rsid w:val="3E927889"/>
    <w:rsid w:val="3EAB3912"/>
    <w:rsid w:val="3EAF5C86"/>
    <w:rsid w:val="3EB3F3DD"/>
    <w:rsid w:val="3EBB7223"/>
    <w:rsid w:val="3ECF316A"/>
    <w:rsid w:val="3ECF41AC"/>
    <w:rsid w:val="3ECF639B"/>
    <w:rsid w:val="3ED96356"/>
    <w:rsid w:val="3EDFAE3A"/>
    <w:rsid w:val="3EE6EFF6"/>
    <w:rsid w:val="3EEFC179"/>
    <w:rsid w:val="3EF35EC1"/>
    <w:rsid w:val="3EF47779"/>
    <w:rsid w:val="3EFAC21C"/>
    <w:rsid w:val="3EFC7411"/>
    <w:rsid w:val="3EFCEB44"/>
    <w:rsid w:val="3EFD6B64"/>
    <w:rsid w:val="3EFE5775"/>
    <w:rsid w:val="3EFF0100"/>
    <w:rsid w:val="3EFF0F07"/>
    <w:rsid w:val="3EFF96BE"/>
    <w:rsid w:val="3EFFA03B"/>
    <w:rsid w:val="3EFFA4FA"/>
    <w:rsid w:val="3F0C26B7"/>
    <w:rsid w:val="3F174070"/>
    <w:rsid w:val="3F215DFF"/>
    <w:rsid w:val="3F2B98AF"/>
    <w:rsid w:val="3F394FF8"/>
    <w:rsid w:val="3F3B1518"/>
    <w:rsid w:val="3F4738A8"/>
    <w:rsid w:val="3F497BDA"/>
    <w:rsid w:val="3F550396"/>
    <w:rsid w:val="3F5B1FB7"/>
    <w:rsid w:val="3F5B5B39"/>
    <w:rsid w:val="3F5FA794"/>
    <w:rsid w:val="3F6037A9"/>
    <w:rsid w:val="3F679DA8"/>
    <w:rsid w:val="3F6BDF87"/>
    <w:rsid w:val="3F6D029F"/>
    <w:rsid w:val="3F73B8D3"/>
    <w:rsid w:val="3F756CA9"/>
    <w:rsid w:val="3F79C70B"/>
    <w:rsid w:val="3F7A192A"/>
    <w:rsid w:val="3F7E5DE2"/>
    <w:rsid w:val="3F7F78F1"/>
    <w:rsid w:val="3FA7B7D0"/>
    <w:rsid w:val="3FA92BC2"/>
    <w:rsid w:val="3FADB6A5"/>
    <w:rsid w:val="3FB68F14"/>
    <w:rsid w:val="3FB7A232"/>
    <w:rsid w:val="3FBAADBF"/>
    <w:rsid w:val="3FBD60F8"/>
    <w:rsid w:val="3FBE1C32"/>
    <w:rsid w:val="3FBE67A4"/>
    <w:rsid w:val="3FBED5F8"/>
    <w:rsid w:val="3FBF5C0D"/>
    <w:rsid w:val="3FBF6A78"/>
    <w:rsid w:val="3FBFD669"/>
    <w:rsid w:val="3FCB1F31"/>
    <w:rsid w:val="3FD7223F"/>
    <w:rsid w:val="3FD7A762"/>
    <w:rsid w:val="3FDE971F"/>
    <w:rsid w:val="3FDED075"/>
    <w:rsid w:val="3FDF15EB"/>
    <w:rsid w:val="3FE3E8FF"/>
    <w:rsid w:val="3FE5F23D"/>
    <w:rsid w:val="3FE72196"/>
    <w:rsid w:val="3FEB9EB6"/>
    <w:rsid w:val="3FED84BE"/>
    <w:rsid w:val="3FEF6A0D"/>
    <w:rsid w:val="3FF4C9AE"/>
    <w:rsid w:val="3FF51A68"/>
    <w:rsid w:val="3FF5D3A4"/>
    <w:rsid w:val="3FF70CE3"/>
    <w:rsid w:val="3FF78D92"/>
    <w:rsid w:val="3FF79402"/>
    <w:rsid w:val="3FF7AB96"/>
    <w:rsid w:val="3FF7CBBA"/>
    <w:rsid w:val="3FFB1872"/>
    <w:rsid w:val="3FFB62D6"/>
    <w:rsid w:val="3FFD023D"/>
    <w:rsid w:val="3FFD0F73"/>
    <w:rsid w:val="3FFDA89F"/>
    <w:rsid w:val="3FFE2777"/>
    <w:rsid w:val="3FFE3E26"/>
    <w:rsid w:val="3FFEE9C1"/>
    <w:rsid w:val="3FFF141B"/>
    <w:rsid w:val="3FFF8309"/>
    <w:rsid w:val="3FFF8953"/>
    <w:rsid w:val="3FFFAF81"/>
    <w:rsid w:val="40006D47"/>
    <w:rsid w:val="4014464D"/>
    <w:rsid w:val="40232352"/>
    <w:rsid w:val="40246906"/>
    <w:rsid w:val="40437713"/>
    <w:rsid w:val="40866E8D"/>
    <w:rsid w:val="409911D4"/>
    <w:rsid w:val="40AB047D"/>
    <w:rsid w:val="40B33D86"/>
    <w:rsid w:val="40C7036B"/>
    <w:rsid w:val="40ED2B42"/>
    <w:rsid w:val="40F326F6"/>
    <w:rsid w:val="410C6223"/>
    <w:rsid w:val="4142095B"/>
    <w:rsid w:val="4159301B"/>
    <w:rsid w:val="41B272EF"/>
    <w:rsid w:val="41B70763"/>
    <w:rsid w:val="41B77B83"/>
    <w:rsid w:val="41B95EC5"/>
    <w:rsid w:val="41BE0267"/>
    <w:rsid w:val="41CF6851"/>
    <w:rsid w:val="41D80042"/>
    <w:rsid w:val="41E23329"/>
    <w:rsid w:val="41E738F4"/>
    <w:rsid w:val="41E97D56"/>
    <w:rsid w:val="41EE220E"/>
    <w:rsid w:val="41F94353"/>
    <w:rsid w:val="420A4D58"/>
    <w:rsid w:val="421214F5"/>
    <w:rsid w:val="4230065E"/>
    <w:rsid w:val="42585E92"/>
    <w:rsid w:val="425B25E2"/>
    <w:rsid w:val="425E2C12"/>
    <w:rsid w:val="42763CB5"/>
    <w:rsid w:val="42905311"/>
    <w:rsid w:val="42921452"/>
    <w:rsid w:val="42CE7482"/>
    <w:rsid w:val="42EF6197"/>
    <w:rsid w:val="42F7625F"/>
    <w:rsid w:val="42F87F21"/>
    <w:rsid w:val="42FE104A"/>
    <w:rsid w:val="431B375E"/>
    <w:rsid w:val="43845A93"/>
    <w:rsid w:val="43B6794E"/>
    <w:rsid w:val="43B973C8"/>
    <w:rsid w:val="43CB260E"/>
    <w:rsid w:val="43D85282"/>
    <w:rsid w:val="43DF1D58"/>
    <w:rsid w:val="43F71012"/>
    <w:rsid w:val="43FE59B4"/>
    <w:rsid w:val="44070121"/>
    <w:rsid w:val="44327EB2"/>
    <w:rsid w:val="44451010"/>
    <w:rsid w:val="44477D23"/>
    <w:rsid w:val="444B6548"/>
    <w:rsid w:val="445F0733"/>
    <w:rsid w:val="446168C0"/>
    <w:rsid w:val="449A3C17"/>
    <w:rsid w:val="44CB5A59"/>
    <w:rsid w:val="44CE4878"/>
    <w:rsid w:val="44DA462C"/>
    <w:rsid w:val="44DE600B"/>
    <w:rsid w:val="44E26EDB"/>
    <w:rsid w:val="44E53730"/>
    <w:rsid w:val="44FC457A"/>
    <w:rsid w:val="44FE3D0C"/>
    <w:rsid w:val="4532002D"/>
    <w:rsid w:val="454E3BA6"/>
    <w:rsid w:val="45807E34"/>
    <w:rsid w:val="45A67C8C"/>
    <w:rsid w:val="45B9213C"/>
    <w:rsid w:val="45C057B3"/>
    <w:rsid w:val="45D15F8A"/>
    <w:rsid w:val="46071D3B"/>
    <w:rsid w:val="46264775"/>
    <w:rsid w:val="463F5E6A"/>
    <w:rsid w:val="464C5B74"/>
    <w:rsid w:val="46622362"/>
    <w:rsid w:val="46797568"/>
    <w:rsid w:val="467BF66E"/>
    <w:rsid w:val="46853BD0"/>
    <w:rsid w:val="46D05A1F"/>
    <w:rsid w:val="46E519DA"/>
    <w:rsid w:val="46E7FCE1"/>
    <w:rsid w:val="46F01EEC"/>
    <w:rsid w:val="470E0D08"/>
    <w:rsid w:val="47103B78"/>
    <w:rsid w:val="471314B6"/>
    <w:rsid w:val="471639B1"/>
    <w:rsid w:val="47195A3D"/>
    <w:rsid w:val="47475643"/>
    <w:rsid w:val="475B3870"/>
    <w:rsid w:val="4775558E"/>
    <w:rsid w:val="477B17B8"/>
    <w:rsid w:val="47870790"/>
    <w:rsid w:val="479F516D"/>
    <w:rsid w:val="47A77DEB"/>
    <w:rsid w:val="47B70132"/>
    <w:rsid w:val="47B901C2"/>
    <w:rsid w:val="47B96F05"/>
    <w:rsid w:val="47D17D39"/>
    <w:rsid w:val="47D9322C"/>
    <w:rsid w:val="47DE7183"/>
    <w:rsid w:val="47DE99B5"/>
    <w:rsid w:val="47E01C1D"/>
    <w:rsid w:val="47FC2272"/>
    <w:rsid w:val="47FF305E"/>
    <w:rsid w:val="480D04B6"/>
    <w:rsid w:val="480F3CA0"/>
    <w:rsid w:val="484032EC"/>
    <w:rsid w:val="484F47D0"/>
    <w:rsid w:val="48530CE5"/>
    <w:rsid w:val="48564B91"/>
    <w:rsid w:val="48765825"/>
    <w:rsid w:val="48AC295F"/>
    <w:rsid w:val="48F14633"/>
    <w:rsid w:val="48FF341C"/>
    <w:rsid w:val="490A1D84"/>
    <w:rsid w:val="49262DB0"/>
    <w:rsid w:val="492A2397"/>
    <w:rsid w:val="4963635C"/>
    <w:rsid w:val="499565DF"/>
    <w:rsid w:val="49A04BB2"/>
    <w:rsid w:val="49C52AAF"/>
    <w:rsid w:val="49D11685"/>
    <w:rsid w:val="49EF598B"/>
    <w:rsid w:val="49FC4759"/>
    <w:rsid w:val="4A0563B5"/>
    <w:rsid w:val="4A272DD5"/>
    <w:rsid w:val="4A2C237D"/>
    <w:rsid w:val="4A4378A4"/>
    <w:rsid w:val="4A530DAF"/>
    <w:rsid w:val="4A80390A"/>
    <w:rsid w:val="4AA2391F"/>
    <w:rsid w:val="4AB079AB"/>
    <w:rsid w:val="4AB74C48"/>
    <w:rsid w:val="4AC0016D"/>
    <w:rsid w:val="4AEF9F9A"/>
    <w:rsid w:val="4AF75BAD"/>
    <w:rsid w:val="4AF7DB98"/>
    <w:rsid w:val="4B00463C"/>
    <w:rsid w:val="4B254F51"/>
    <w:rsid w:val="4B39416C"/>
    <w:rsid w:val="4B397C76"/>
    <w:rsid w:val="4B3E8A44"/>
    <w:rsid w:val="4B40108B"/>
    <w:rsid w:val="4B4B28DB"/>
    <w:rsid w:val="4B567E9B"/>
    <w:rsid w:val="4B586D45"/>
    <w:rsid w:val="4B6F732E"/>
    <w:rsid w:val="4B735F20"/>
    <w:rsid w:val="4B7F50F8"/>
    <w:rsid w:val="4B9F000F"/>
    <w:rsid w:val="4BB05793"/>
    <w:rsid w:val="4BC37947"/>
    <w:rsid w:val="4BC66DE3"/>
    <w:rsid w:val="4BCF4954"/>
    <w:rsid w:val="4BD76836"/>
    <w:rsid w:val="4BDA78E9"/>
    <w:rsid w:val="4BE422C8"/>
    <w:rsid w:val="4BEC4EC9"/>
    <w:rsid w:val="4C003B54"/>
    <w:rsid w:val="4C256A38"/>
    <w:rsid w:val="4C3F6E04"/>
    <w:rsid w:val="4C4101B8"/>
    <w:rsid w:val="4C492292"/>
    <w:rsid w:val="4C522CCC"/>
    <w:rsid w:val="4C64627B"/>
    <w:rsid w:val="4C6C2A5F"/>
    <w:rsid w:val="4C78678C"/>
    <w:rsid w:val="4C791972"/>
    <w:rsid w:val="4C7B5965"/>
    <w:rsid w:val="4C972515"/>
    <w:rsid w:val="4CA6759E"/>
    <w:rsid w:val="4CE5C714"/>
    <w:rsid w:val="4CFE4141"/>
    <w:rsid w:val="4CFF5DF7"/>
    <w:rsid w:val="4D040803"/>
    <w:rsid w:val="4D193882"/>
    <w:rsid w:val="4D2A0CF9"/>
    <w:rsid w:val="4D2D2E58"/>
    <w:rsid w:val="4D350800"/>
    <w:rsid w:val="4D3D56D7"/>
    <w:rsid w:val="4D4C426A"/>
    <w:rsid w:val="4D4F4AD1"/>
    <w:rsid w:val="4D52579B"/>
    <w:rsid w:val="4D620ED7"/>
    <w:rsid w:val="4D772EA0"/>
    <w:rsid w:val="4D8817D4"/>
    <w:rsid w:val="4DBE4C01"/>
    <w:rsid w:val="4DCE5E74"/>
    <w:rsid w:val="4DCF06F4"/>
    <w:rsid w:val="4DCF0CEE"/>
    <w:rsid w:val="4DDB394C"/>
    <w:rsid w:val="4DE3D1E5"/>
    <w:rsid w:val="4DEEE57D"/>
    <w:rsid w:val="4DF43831"/>
    <w:rsid w:val="4DF74080"/>
    <w:rsid w:val="4DFF681C"/>
    <w:rsid w:val="4E1C5E3C"/>
    <w:rsid w:val="4E2B7947"/>
    <w:rsid w:val="4E462E63"/>
    <w:rsid w:val="4E5045CB"/>
    <w:rsid w:val="4E681438"/>
    <w:rsid w:val="4E8FD30D"/>
    <w:rsid w:val="4EB2722C"/>
    <w:rsid w:val="4ECA5A68"/>
    <w:rsid w:val="4EDF3D81"/>
    <w:rsid w:val="4EF50A2B"/>
    <w:rsid w:val="4F067B6B"/>
    <w:rsid w:val="4F1BC89E"/>
    <w:rsid w:val="4F1ECAA2"/>
    <w:rsid w:val="4F286579"/>
    <w:rsid w:val="4F3E15AD"/>
    <w:rsid w:val="4F4BE283"/>
    <w:rsid w:val="4F5F0D16"/>
    <w:rsid w:val="4F5F1BA9"/>
    <w:rsid w:val="4F65BF73"/>
    <w:rsid w:val="4F670E54"/>
    <w:rsid w:val="4F67DBB8"/>
    <w:rsid w:val="4F6F7C73"/>
    <w:rsid w:val="4F7A3174"/>
    <w:rsid w:val="4F7B615F"/>
    <w:rsid w:val="4F802B28"/>
    <w:rsid w:val="4F950E85"/>
    <w:rsid w:val="4F9B793A"/>
    <w:rsid w:val="4FB77BDE"/>
    <w:rsid w:val="4FBB7B3F"/>
    <w:rsid w:val="4FBBFFFF"/>
    <w:rsid w:val="4FBEF23D"/>
    <w:rsid w:val="4FBF3BB3"/>
    <w:rsid w:val="4FC4FDA2"/>
    <w:rsid w:val="4FCF22C5"/>
    <w:rsid w:val="4FDD4304"/>
    <w:rsid w:val="4FE0412D"/>
    <w:rsid w:val="4FE7336A"/>
    <w:rsid w:val="4FEF64F1"/>
    <w:rsid w:val="4FF250DF"/>
    <w:rsid w:val="4FF754EB"/>
    <w:rsid w:val="4FF7900C"/>
    <w:rsid w:val="4FFD0008"/>
    <w:rsid w:val="4FFD403B"/>
    <w:rsid w:val="4FFD8ACC"/>
    <w:rsid w:val="4FFF014C"/>
    <w:rsid w:val="4FFF3B51"/>
    <w:rsid w:val="4FFF5AB7"/>
    <w:rsid w:val="4FFFA315"/>
    <w:rsid w:val="501739B9"/>
    <w:rsid w:val="5017A2D6"/>
    <w:rsid w:val="5025471F"/>
    <w:rsid w:val="504C7118"/>
    <w:rsid w:val="50797D55"/>
    <w:rsid w:val="509070AA"/>
    <w:rsid w:val="509A06BB"/>
    <w:rsid w:val="50A53AC1"/>
    <w:rsid w:val="50AB24B6"/>
    <w:rsid w:val="50F402F5"/>
    <w:rsid w:val="51126074"/>
    <w:rsid w:val="51282891"/>
    <w:rsid w:val="51384C75"/>
    <w:rsid w:val="513B4C74"/>
    <w:rsid w:val="513DD22D"/>
    <w:rsid w:val="515171E7"/>
    <w:rsid w:val="51592370"/>
    <w:rsid w:val="515B3242"/>
    <w:rsid w:val="51752390"/>
    <w:rsid w:val="51810BBA"/>
    <w:rsid w:val="51871469"/>
    <w:rsid w:val="519A5C0F"/>
    <w:rsid w:val="51DA0210"/>
    <w:rsid w:val="51DB1421"/>
    <w:rsid w:val="51DC09BD"/>
    <w:rsid w:val="52002910"/>
    <w:rsid w:val="52163A75"/>
    <w:rsid w:val="5250612D"/>
    <w:rsid w:val="5267D6EE"/>
    <w:rsid w:val="528F6A26"/>
    <w:rsid w:val="52943C30"/>
    <w:rsid w:val="52954479"/>
    <w:rsid w:val="52A47C75"/>
    <w:rsid w:val="52C401BB"/>
    <w:rsid w:val="52CD774A"/>
    <w:rsid w:val="52DF56BC"/>
    <w:rsid w:val="52E66AC8"/>
    <w:rsid w:val="52F3513B"/>
    <w:rsid w:val="52FE2C59"/>
    <w:rsid w:val="52FFA6A1"/>
    <w:rsid w:val="530124F0"/>
    <w:rsid w:val="530C74D3"/>
    <w:rsid w:val="533643C2"/>
    <w:rsid w:val="53485D2A"/>
    <w:rsid w:val="534962AE"/>
    <w:rsid w:val="53716CF1"/>
    <w:rsid w:val="53794B91"/>
    <w:rsid w:val="5385B4F6"/>
    <w:rsid w:val="539F507C"/>
    <w:rsid w:val="53A08514"/>
    <w:rsid w:val="53A1986A"/>
    <w:rsid w:val="53BE0205"/>
    <w:rsid w:val="53C6628E"/>
    <w:rsid w:val="53CA9A6F"/>
    <w:rsid w:val="53F73D8B"/>
    <w:rsid w:val="53FBCBB7"/>
    <w:rsid w:val="53FCECED"/>
    <w:rsid w:val="53FD3B4E"/>
    <w:rsid w:val="53FDC347"/>
    <w:rsid w:val="54352EA3"/>
    <w:rsid w:val="543C2BBC"/>
    <w:rsid w:val="544015B7"/>
    <w:rsid w:val="546B3678"/>
    <w:rsid w:val="547267B4"/>
    <w:rsid w:val="54783E5F"/>
    <w:rsid w:val="547D53E3"/>
    <w:rsid w:val="54856268"/>
    <w:rsid w:val="548A2F5B"/>
    <w:rsid w:val="54986B35"/>
    <w:rsid w:val="54A65D48"/>
    <w:rsid w:val="54A95AD0"/>
    <w:rsid w:val="54C4536D"/>
    <w:rsid w:val="551F1A20"/>
    <w:rsid w:val="55401A06"/>
    <w:rsid w:val="555D1BF4"/>
    <w:rsid w:val="55635CAA"/>
    <w:rsid w:val="556C0474"/>
    <w:rsid w:val="5573743A"/>
    <w:rsid w:val="5573B32D"/>
    <w:rsid w:val="55954B5D"/>
    <w:rsid w:val="55960432"/>
    <w:rsid w:val="55A15B1B"/>
    <w:rsid w:val="55B77AE1"/>
    <w:rsid w:val="55B7E9ED"/>
    <w:rsid w:val="55D44B87"/>
    <w:rsid w:val="55EE27CE"/>
    <w:rsid w:val="55FE61F2"/>
    <w:rsid w:val="55FF597D"/>
    <w:rsid w:val="55FF6743"/>
    <w:rsid w:val="56380630"/>
    <w:rsid w:val="56490940"/>
    <w:rsid w:val="566F5491"/>
    <w:rsid w:val="56765D6A"/>
    <w:rsid w:val="56777EDD"/>
    <w:rsid w:val="567D466D"/>
    <w:rsid w:val="567E6A2C"/>
    <w:rsid w:val="56A5AA97"/>
    <w:rsid w:val="56D32D2C"/>
    <w:rsid w:val="56DE352B"/>
    <w:rsid w:val="56E80C4B"/>
    <w:rsid w:val="56F32C5F"/>
    <w:rsid w:val="56F7E374"/>
    <w:rsid w:val="56F94157"/>
    <w:rsid w:val="57021B14"/>
    <w:rsid w:val="570339C5"/>
    <w:rsid w:val="5708E69D"/>
    <w:rsid w:val="570D1BD5"/>
    <w:rsid w:val="572AACC5"/>
    <w:rsid w:val="57383329"/>
    <w:rsid w:val="57415662"/>
    <w:rsid w:val="57430414"/>
    <w:rsid w:val="574FFF68"/>
    <w:rsid w:val="57527C54"/>
    <w:rsid w:val="57560D8B"/>
    <w:rsid w:val="575A75C3"/>
    <w:rsid w:val="57696BD0"/>
    <w:rsid w:val="577F14B4"/>
    <w:rsid w:val="577F8BB4"/>
    <w:rsid w:val="57896366"/>
    <w:rsid w:val="578EAAC9"/>
    <w:rsid w:val="579FA7D3"/>
    <w:rsid w:val="57BF153B"/>
    <w:rsid w:val="57C38019"/>
    <w:rsid w:val="57D5E868"/>
    <w:rsid w:val="57D74A71"/>
    <w:rsid w:val="57E7B097"/>
    <w:rsid w:val="57EA8F71"/>
    <w:rsid w:val="57EEA0A8"/>
    <w:rsid w:val="57EFC992"/>
    <w:rsid w:val="57F00403"/>
    <w:rsid w:val="57F4FF10"/>
    <w:rsid w:val="57F637D7"/>
    <w:rsid w:val="57FAC2AB"/>
    <w:rsid w:val="57FB7805"/>
    <w:rsid w:val="57FF0C6F"/>
    <w:rsid w:val="57FF7493"/>
    <w:rsid w:val="57FFD0B8"/>
    <w:rsid w:val="57FFD724"/>
    <w:rsid w:val="580869E0"/>
    <w:rsid w:val="580A2044"/>
    <w:rsid w:val="58614D1B"/>
    <w:rsid w:val="5865252D"/>
    <w:rsid w:val="58774DC8"/>
    <w:rsid w:val="587D3E32"/>
    <w:rsid w:val="58811FAA"/>
    <w:rsid w:val="58900D5F"/>
    <w:rsid w:val="58A00F69"/>
    <w:rsid w:val="58C02759"/>
    <w:rsid w:val="58DB3A23"/>
    <w:rsid w:val="58E75ABC"/>
    <w:rsid w:val="58E836CC"/>
    <w:rsid w:val="58FB14C4"/>
    <w:rsid w:val="58FF4AD1"/>
    <w:rsid w:val="591164EE"/>
    <w:rsid w:val="59125192"/>
    <w:rsid w:val="59185831"/>
    <w:rsid w:val="59186229"/>
    <w:rsid w:val="591D096D"/>
    <w:rsid w:val="592D10B6"/>
    <w:rsid w:val="59497965"/>
    <w:rsid w:val="596A2704"/>
    <w:rsid w:val="598A5A70"/>
    <w:rsid w:val="598B235C"/>
    <w:rsid w:val="59910FC2"/>
    <w:rsid w:val="59AE5666"/>
    <w:rsid w:val="59AF0DA2"/>
    <w:rsid w:val="59AF64B1"/>
    <w:rsid w:val="59BF6BF8"/>
    <w:rsid w:val="59CA010B"/>
    <w:rsid w:val="59CABE31"/>
    <w:rsid w:val="59E5EEC5"/>
    <w:rsid w:val="59EC5E67"/>
    <w:rsid w:val="59EFBAA1"/>
    <w:rsid w:val="59F06276"/>
    <w:rsid w:val="59FFE171"/>
    <w:rsid w:val="5A363880"/>
    <w:rsid w:val="5A3BC165"/>
    <w:rsid w:val="5A7F17E5"/>
    <w:rsid w:val="5A9132BD"/>
    <w:rsid w:val="5AA84C65"/>
    <w:rsid w:val="5AAB50CA"/>
    <w:rsid w:val="5ABB46A4"/>
    <w:rsid w:val="5AFBFE54"/>
    <w:rsid w:val="5AFF210A"/>
    <w:rsid w:val="5B0567EC"/>
    <w:rsid w:val="5B0D65C3"/>
    <w:rsid w:val="5B3927B0"/>
    <w:rsid w:val="5B4D17B1"/>
    <w:rsid w:val="5B4E4E87"/>
    <w:rsid w:val="5B6D4DA2"/>
    <w:rsid w:val="5B777EB6"/>
    <w:rsid w:val="5B9FBFD5"/>
    <w:rsid w:val="5BAD1710"/>
    <w:rsid w:val="5BB731F2"/>
    <w:rsid w:val="5BBE1EDD"/>
    <w:rsid w:val="5BC94020"/>
    <w:rsid w:val="5BD7668C"/>
    <w:rsid w:val="5BD8101D"/>
    <w:rsid w:val="5BD925F1"/>
    <w:rsid w:val="5BE38DFB"/>
    <w:rsid w:val="5BE43A10"/>
    <w:rsid w:val="5BF32DA9"/>
    <w:rsid w:val="5BF623E1"/>
    <w:rsid w:val="5BF7D375"/>
    <w:rsid w:val="5BFC06BB"/>
    <w:rsid w:val="5BFE3F6B"/>
    <w:rsid w:val="5BFF779F"/>
    <w:rsid w:val="5BFF859E"/>
    <w:rsid w:val="5C176B01"/>
    <w:rsid w:val="5C32571A"/>
    <w:rsid w:val="5C3F24AC"/>
    <w:rsid w:val="5C4F6936"/>
    <w:rsid w:val="5C56F352"/>
    <w:rsid w:val="5C6ED8F0"/>
    <w:rsid w:val="5C80625F"/>
    <w:rsid w:val="5C915CE1"/>
    <w:rsid w:val="5CBD0E1B"/>
    <w:rsid w:val="5CC72BBE"/>
    <w:rsid w:val="5CCFBA45"/>
    <w:rsid w:val="5CDD469A"/>
    <w:rsid w:val="5CFF1419"/>
    <w:rsid w:val="5CFF5AFE"/>
    <w:rsid w:val="5CFFCCF7"/>
    <w:rsid w:val="5D002B56"/>
    <w:rsid w:val="5D1426C8"/>
    <w:rsid w:val="5D1430A8"/>
    <w:rsid w:val="5D321E46"/>
    <w:rsid w:val="5D326258"/>
    <w:rsid w:val="5D3D3FF9"/>
    <w:rsid w:val="5D4F6922"/>
    <w:rsid w:val="5D536630"/>
    <w:rsid w:val="5D621F4C"/>
    <w:rsid w:val="5D69D5DA"/>
    <w:rsid w:val="5D6EC321"/>
    <w:rsid w:val="5D7C012D"/>
    <w:rsid w:val="5D8C1F55"/>
    <w:rsid w:val="5D9A0233"/>
    <w:rsid w:val="5D9B2BA9"/>
    <w:rsid w:val="5D9FB54C"/>
    <w:rsid w:val="5DAB7571"/>
    <w:rsid w:val="5DB51137"/>
    <w:rsid w:val="5DBCC857"/>
    <w:rsid w:val="5DBD4FDF"/>
    <w:rsid w:val="5DBE46E9"/>
    <w:rsid w:val="5DBE5A49"/>
    <w:rsid w:val="5DBE7D93"/>
    <w:rsid w:val="5DCF7A48"/>
    <w:rsid w:val="5DD33940"/>
    <w:rsid w:val="5DD3FD94"/>
    <w:rsid w:val="5DDAC841"/>
    <w:rsid w:val="5DDB4EB0"/>
    <w:rsid w:val="5DDF0F2C"/>
    <w:rsid w:val="5DDFA3EC"/>
    <w:rsid w:val="5DE6B92E"/>
    <w:rsid w:val="5DECCBB0"/>
    <w:rsid w:val="5DED8A81"/>
    <w:rsid w:val="5DEF8D55"/>
    <w:rsid w:val="5DF5244E"/>
    <w:rsid w:val="5DF91DD1"/>
    <w:rsid w:val="5DFD1A0D"/>
    <w:rsid w:val="5DFD2F63"/>
    <w:rsid w:val="5DFFB0A8"/>
    <w:rsid w:val="5DFFD947"/>
    <w:rsid w:val="5E1DA01E"/>
    <w:rsid w:val="5E2AAAC2"/>
    <w:rsid w:val="5E440009"/>
    <w:rsid w:val="5E4470C1"/>
    <w:rsid w:val="5E564465"/>
    <w:rsid w:val="5E6B1A10"/>
    <w:rsid w:val="5E7F46CF"/>
    <w:rsid w:val="5E7F7358"/>
    <w:rsid w:val="5E832C7B"/>
    <w:rsid w:val="5E867323"/>
    <w:rsid w:val="5E8872BC"/>
    <w:rsid w:val="5E8D5895"/>
    <w:rsid w:val="5EA29B38"/>
    <w:rsid w:val="5EAD0AB5"/>
    <w:rsid w:val="5EAE5E22"/>
    <w:rsid w:val="5EBBDB9D"/>
    <w:rsid w:val="5EC277D1"/>
    <w:rsid w:val="5ED85B7D"/>
    <w:rsid w:val="5EDF1EB2"/>
    <w:rsid w:val="5EDF3E34"/>
    <w:rsid w:val="5EE43421"/>
    <w:rsid w:val="5EEDF878"/>
    <w:rsid w:val="5EEFFD87"/>
    <w:rsid w:val="5EF47F5A"/>
    <w:rsid w:val="5EF504E5"/>
    <w:rsid w:val="5EFB3386"/>
    <w:rsid w:val="5EFC0AC7"/>
    <w:rsid w:val="5EFDC70C"/>
    <w:rsid w:val="5EFE9AFB"/>
    <w:rsid w:val="5EFF332D"/>
    <w:rsid w:val="5EFFE0F7"/>
    <w:rsid w:val="5F1779BD"/>
    <w:rsid w:val="5F1D7043"/>
    <w:rsid w:val="5F262D3F"/>
    <w:rsid w:val="5F3400E7"/>
    <w:rsid w:val="5F397460"/>
    <w:rsid w:val="5F3B484E"/>
    <w:rsid w:val="5F3CAF4E"/>
    <w:rsid w:val="5F3F1D93"/>
    <w:rsid w:val="5F3FFA72"/>
    <w:rsid w:val="5F57229E"/>
    <w:rsid w:val="5F5B4B03"/>
    <w:rsid w:val="5F5B55FC"/>
    <w:rsid w:val="5F5E450D"/>
    <w:rsid w:val="5F5EA6CC"/>
    <w:rsid w:val="5F5F5B20"/>
    <w:rsid w:val="5F65E3B3"/>
    <w:rsid w:val="5F6C2357"/>
    <w:rsid w:val="5F6F1624"/>
    <w:rsid w:val="5F6F4600"/>
    <w:rsid w:val="5F6FC477"/>
    <w:rsid w:val="5F7304C4"/>
    <w:rsid w:val="5F7F92B7"/>
    <w:rsid w:val="5F7FA85A"/>
    <w:rsid w:val="5F7FC177"/>
    <w:rsid w:val="5F8D5CB5"/>
    <w:rsid w:val="5F8F195C"/>
    <w:rsid w:val="5F964CBB"/>
    <w:rsid w:val="5F9D8EA0"/>
    <w:rsid w:val="5F9DED46"/>
    <w:rsid w:val="5FA30DE0"/>
    <w:rsid w:val="5FAB8342"/>
    <w:rsid w:val="5FABB64C"/>
    <w:rsid w:val="5FAE2087"/>
    <w:rsid w:val="5FAF7B49"/>
    <w:rsid w:val="5FAF8418"/>
    <w:rsid w:val="5FB4F1BB"/>
    <w:rsid w:val="5FBC271F"/>
    <w:rsid w:val="5FBDAE29"/>
    <w:rsid w:val="5FBDD4EE"/>
    <w:rsid w:val="5FBDEA4E"/>
    <w:rsid w:val="5FBF4B68"/>
    <w:rsid w:val="5FBFA122"/>
    <w:rsid w:val="5FD13E26"/>
    <w:rsid w:val="5FD786B8"/>
    <w:rsid w:val="5FD7B98C"/>
    <w:rsid w:val="5FDA9A9B"/>
    <w:rsid w:val="5FDB9CA8"/>
    <w:rsid w:val="5FDBBDF8"/>
    <w:rsid w:val="5FDD23AA"/>
    <w:rsid w:val="5FE51100"/>
    <w:rsid w:val="5FE91578"/>
    <w:rsid w:val="5FEF57ED"/>
    <w:rsid w:val="5FEFE0CA"/>
    <w:rsid w:val="5FF39781"/>
    <w:rsid w:val="5FF6895D"/>
    <w:rsid w:val="5FF746CC"/>
    <w:rsid w:val="5FF7C484"/>
    <w:rsid w:val="5FFB654C"/>
    <w:rsid w:val="5FFD6A62"/>
    <w:rsid w:val="5FFDA756"/>
    <w:rsid w:val="5FFE59AD"/>
    <w:rsid w:val="5FFE6A72"/>
    <w:rsid w:val="5FFEAAFD"/>
    <w:rsid w:val="5FFEE377"/>
    <w:rsid w:val="5FFEE575"/>
    <w:rsid w:val="5FFF0770"/>
    <w:rsid w:val="5FFF1193"/>
    <w:rsid w:val="5FFF4FD0"/>
    <w:rsid w:val="5FFF8538"/>
    <w:rsid w:val="5FFF9DB8"/>
    <w:rsid w:val="5FFFAADF"/>
    <w:rsid w:val="5FFFACFD"/>
    <w:rsid w:val="5FFFBF43"/>
    <w:rsid w:val="5FFFC141"/>
    <w:rsid w:val="5FFFFAB2"/>
    <w:rsid w:val="60094BC3"/>
    <w:rsid w:val="602B1B68"/>
    <w:rsid w:val="60314288"/>
    <w:rsid w:val="603D335A"/>
    <w:rsid w:val="604A1C18"/>
    <w:rsid w:val="6085261D"/>
    <w:rsid w:val="608A369A"/>
    <w:rsid w:val="60984801"/>
    <w:rsid w:val="60A52DE5"/>
    <w:rsid w:val="60B7093B"/>
    <w:rsid w:val="611D5EF2"/>
    <w:rsid w:val="618509F9"/>
    <w:rsid w:val="618601D7"/>
    <w:rsid w:val="61985036"/>
    <w:rsid w:val="61B56411"/>
    <w:rsid w:val="61CB763F"/>
    <w:rsid w:val="61E47040"/>
    <w:rsid w:val="61E70014"/>
    <w:rsid w:val="61F84649"/>
    <w:rsid w:val="61FF9A83"/>
    <w:rsid w:val="620A1F25"/>
    <w:rsid w:val="622A2B85"/>
    <w:rsid w:val="624D408D"/>
    <w:rsid w:val="625252B0"/>
    <w:rsid w:val="62680498"/>
    <w:rsid w:val="629C2FB5"/>
    <w:rsid w:val="62DC974C"/>
    <w:rsid w:val="62DE7CE3"/>
    <w:rsid w:val="62F56BA6"/>
    <w:rsid w:val="62FFA489"/>
    <w:rsid w:val="630EE880"/>
    <w:rsid w:val="632153CC"/>
    <w:rsid w:val="633E2C27"/>
    <w:rsid w:val="636D2B43"/>
    <w:rsid w:val="63701985"/>
    <w:rsid w:val="63702BBA"/>
    <w:rsid w:val="63744F7C"/>
    <w:rsid w:val="6377EC2B"/>
    <w:rsid w:val="63796946"/>
    <w:rsid w:val="638FC87A"/>
    <w:rsid w:val="63920FDA"/>
    <w:rsid w:val="639BBE49"/>
    <w:rsid w:val="63A996DF"/>
    <w:rsid w:val="63B102E3"/>
    <w:rsid w:val="63CD36E1"/>
    <w:rsid w:val="63CF86E2"/>
    <w:rsid w:val="63DDB8E4"/>
    <w:rsid w:val="63E21E40"/>
    <w:rsid w:val="640F09B5"/>
    <w:rsid w:val="641062E0"/>
    <w:rsid w:val="642A5AA5"/>
    <w:rsid w:val="642E509D"/>
    <w:rsid w:val="644B44A2"/>
    <w:rsid w:val="64507F99"/>
    <w:rsid w:val="648655CD"/>
    <w:rsid w:val="649326A8"/>
    <w:rsid w:val="64A15407"/>
    <w:rsid w:val="64AE45AB"/>
    <w:rsid w:val="64ED4C69"/>
    <w:rsid w:val="64F00B42"/>
    <w:rsid w:val="64FB8A66"/>
    <w:rsid w:val="64FFE14A"/>
    <w:rsid w:val="650401E6"/>
    <w:rsid w:val="65245852"/>
    <w:rsid w:val="65254DA4"/>
    <w:rsid w:val="652C4B33"/>
    <w:rsid w:val="653B1512"/>
    <w:rsid w:val="65425B70"/>
    <w:rsid w:val="656F1A32"/>
    <w:rsid w:val="656F7D3F"/>
    <w:rsid w:val="657F3C0E"/>
    <w:rsid w:val="65850382"/>
    <w:rsid w:val="65967419"/>
    <w:rsid w:val="659FB897"/>
    <w:rsid w:val="65C5456C"/>
    <w:rsid w:val="65E26823"/>
    <w:rsid w:val="65ED5A3C"/>
    <w:rsid w:val="65F608C0"/>
    <w:rsid w:val="65F76E5A"/>
    <w:rsid w:val="65FAD74B"/>
    <w:rsid w:val="65FC6706"/>
    <w:rsid w:val="66146945"/>
    <w:rsid w:val="6615219B"/>
    <w:rsid w:val="661F18D7"/>
    <w:rsid w:val="667610D2"/>
    <w:rsid w:val="6682474A"/>
    <w:rsid w:val="66871F70"/>
    <w:rsid w:val="668FCDAB"/>
    <w:rsid w:val="6691132F"/>
    <w:rsid w:val="669E5DD6"/>
    <w:rsid w:val="66BE01BD"/>
    <w:rsid w:val="66BF2A6F"/>
    <w:rsid w:val="66C413EE"/>
    <w:rsid w:val="66CC4BCB"/>
    <w:rsid w:val="66CD2099"/>
    <w:rsid w:val="66D534B2"/>
    <w:rsid w:val="66E30DA0"/>
    <w:rsid w:val="66E8B933"/>
    <w:rsid w:val="66EF43A4"/>
    <w:rsid w:val="670E3E35"/>
    <w:rsid w:val="67205350"/>
    <w:rsid w:val="6739DDE2"/>
    <w:rsid w:val="674BA882"/>
    <w:rsid w:val="674D1D94"/>
    <w:rsid w:val="67566C3E"/>
    <w:rsid w:val="67708CB0"/>
    <w:rsid w:val="67711803"/>
    <w:rsid w:val="677538CC"/>
    <w:rsid w:val="677E5C3D"/>
    <w:rsid w:val="677F3E39"/>
    <w:rsid w:val="67864F9D"/>
    <w:rsid w:val="678A758C"/>
    <w:rsid w:val="67927C7F"/>
    <w:rsid w:val="67A7482B"/>
    <w:rsid w:val="67A944A9"/>
    <w:rsid w:val="67BD250D"/>
    <w:rsid w:val="67BF5452"/>
    <w:rsid w:val="67BF9F31"/>
    <w:rsid w:val="67BFFB40"/>
    <w:rsid w:val="67C61C6E"/>
    <w:rsid w:val="67C7489F"/>
    <w:rsid w:val="67DFD9CB"/>
    <w:rsid w:val="67E20055"/>
    <w:rsid w:val="67E27AAA"/>
    <w:rsid w:val="67E731CD"/>
    <w:rsid w:val="67F3A919"/>
    <w:rsid w:val="67F70DDF"/>
    <w:rsid w:val="67F83C72"/>
    <w:rsid w:val="67FAAB85"/>
    <w:rsid w:val="67FBCBAA"/>
    <w:rsid w:val="67FCEF2F"/>
    <w:rsid w:val="67FCF646"/>
    <w:rsid w:val="67FE5D31"/>
    <w:rsid w:val="67FE8571"/>
    <w:rsid w:val="67FF170F"/>
    <w:rsid w:val="680E69F0"/>
    <w:rsid w:val="681520AC"/>
    <w:rsid w:val="681E76FB"/>
    <w:rsid w:val="682B6E37"/>
    <w:rsid w:val="68362331"/>
    <w:rsid w:val="685D2038"/>
    <w:rsid w:val="68746D72"/>
    <w:rsid w:val="689128EA"/>
    <w:rsid w:val="68AF3504"/>
    <w:rsid w:val="68C24652"/>
    <w:rsid w:val="68DD2879"/>
    <w:rsid w:val="68DD3EE0"/>
    <w:rsid w:val="68E05A51"/>
    <w:rsid w:val="68E75A7B"/>
    <w:rsid w:val="68FDD38C"/>
    <w:rsid w:val="68FE24D6"/>
    <w:rsid w:val="6908436D"/>
    <w:rsid w:val="692B1BCE"/>
    <w:rsid w:val="692FB4BE"/>
    <w:rsid w:val="69691FFB"/>
    <w:rsid w:val="69775188"/>
    <w:rsid w:val="69791AE8"/>
    <w:rsid w:val="697C7564"/>
    <w:rsid w:val="69841D4C"/>
    <w:rsid w:val="69979367"/>
    <w:rsid w:val="69AC4D8F"/>
    <w:rsid w:val="69B5607B"/>
    <w:rsid w:val="69B7E86A"/>
    <w:rsid w:val="69BF0EC0"/>
    <w:rsid w:val="69BF7689"/>
    <w:rsid w:val="69C6488A"/>
    <w:rsid w:val="69D61F42"/>
    <w:rsid w:val="69E64B6F"/>
    <w:rsid w:val="69ED68B2"/>
    <w:rsid w:val="69F27D15"/>
    <w:rsid w:val="69F621A1"/>
    <w:rsid w:val="69FC01D4"/>
    <w:rsid w:val="69FDA82F"/>
    <w:rsid w:val="69FF25BE"/>
    <w:rsid w:val="6A1407B8"/>
    <w:rsid w:val="6A1C35D3"/>
    <w:rsid w:val="6A1F2448"/>
    <w:rsid w:val="6A2060E2"/>
    <w:rsid w:val="6A7D1B1D"/>
    <w:rsid w:val="6A887760"/>
    <w:rsid w:val="6AB7EC0B"/>
    <w:rsid w:val="6ABF63D8"/>
    <w:rsid w:val="6ADC439E"/>
    <w:rsid w:val="6ADF4070"/>
    <w:rsid w:val="6AEF079B"/>
    <w:rsid w:val="6AFD9CB6"/>
    <w:rsid w:val="6B08305F"/>
    <w:rsid w:val="6B1E0E70"/>
    <w:rsid w:val="6B2BFC28"/>
    <w:rsid w:val="6B36AA57"/>
    <w:rsid w:val="6B3E02F5"/>
    <w:rsid w:val="6B3E54E1"/>
    <w:rsid w:val="6B3E6703"/>
    <w:rsid w:val="6B3E6D7F"/>
    <w:rsid w:val="6B4C25E2"/>
    <w:rsid w:val="6B6B9232"/>
    <w:rsid w:val="6B707287"/>
    <w:rsid w:val="6B71BED4"/>
    <w:rsid w:val="6B74043C"/>
    <w:rsid w:val="6B8A7574"/>
    <w:rsid w:val="6B9B08C2"/>
    <w:rsid w:val="6BA204F5"/>
    <w:rsid w:val="6BB267D6"/>
    <w:rsid w:val="6BBA2957"/>
    <w:rsid w:val="6BBFE234"/>
    <w:rsid w:val="6BC01D9B"/>
    <w:rsid w:val="6BCF36AA"/>
    <w:rsid w:val="6BCF53F9"/>
    <w:rsid w:val="6BCF685D"/>
    <w:rsid w:val="6BD49FA4"/>
    <w:rsid w:val="6BDD2710"/>
    <w:rsid w:val="6BDF8A9F"/>
    <w:rsid w:val="6BE16C98"/>
    <w:rsid w:val="6BEB2839"/>
    <w:rsid w:val="6BEB3354"/>
    <w:rsid w:val="6BFBA4D4"/>
    <w:rsid w:val="6BFBEC45"/>
    <w:rsid w:val="6BFD1226"/>
    <w:rsid w:val="6BFD23C8"/>
    <w:rsid w:val="6BFE4F1D"/>
    <w:rsid w:val="6BFF8C4D"/>
    <w:rsid w:val="6BFFAEA6"/>
    <w:rsid w:val="6BFFB919"/>
    <w:rsid w:val="6BFFEEA6"/>
    <w:rsid w:val="6C3A6095"/>
    <w:rsid w:val="6C58371A"/>
    <w:rsid w:val="6C940764"/>
    <w:rsid w:val="6CA525C4"/>
    <w:rsid w:val="6CC013E9"/>
    <w:rsid w:val="6CC543EF"/>
    <w:rsid w:val="6CC779D3"/>
    <w:rsid w:val="6CD63DC0"/>
    <w:rsid w:val="6CF720B9"/>
    <w:rsid w:val="6CF9110F"/>
    <w:rsid w:val="6CFB6552"/>
    <w:rsid w:val="6CFD7A83"/>
    <w:rsid w:val="6CFE27B3"/>
    <w:rsid w:val="6D096CC5"/>
    <w:rsid w:val="6D173AA8"/>
    <w:rsid w:val="6D207219"/>
    <w:rsid w:val="6D2A2AC5"/>
    <w:rsid w:val="6D2E1061"/>
    <w:rsid w:val="6D510041"/>
    <w:rsid w:val="6D576402"/>
    <w:rsid w:val="6D5F2C0B"/>
    <w:rsid w:val="6D65008E"/>
    <w:rsid w:val="6D6E65AA"/>
    <w:rsid w:val="6D7CEFB3"/>
    <w:rsid w:val="6D7E50A1"/>
    <w:rsid w:val="6D8D4394"/>
    <w:rsid w:val="6D8E475B"/>
    <w:rsid w:val="6D8F27B5"/>
    <w:rsid w:val="6D9F208E"/>
    <w:rsid w:val="6DAB34F7"/>
    <w:rsid w:val="6DB270E7"/>
    <w:rsid w:val="6DBDA9D8"/>
    <w:rsid w:val="6DBFDAFC"/>
    <w:rsid w:val="6DC60CE8"/>
    <w:rsid w:val="6DCA584E"/>
    <w:rsid w:val="6DD6AAEB"/>
    <w:rsid w:val="6DD84315"/>
    <w:rsid w:val="6DDC6039"/>
    <w:rsid w:val="6DEBF89E"/>
    <w:rsid w:val="6DEF4351"/>
    <w:rsid w:val="6DEF9D4D"/>
    <w:rsid w:val="6DF3048B"/>
    <w:rsid w:val="6DF772C0"/>
    <w:rsid w:val="6DFC31A6"/>
    <w:rsid w:val="6DFDB985"/>
    <w:rsid w:val="6E0C33F9"/>
    <w:rsid w:val="6E183459"/>
    <w:rsid w:val="6E247186"/>
    <w:rsid w:val="6E276FC2"/>
    <w:rsid w:val="6E3C45CD"/>
    <w:rsid w:val="6E3F4AD6"/>
    <w:rsid w:val="6E3F4CB3"/>
    <w:rsid w:val="6E660105"/>
    <w:rsid w:val="6E7FE4FF"/>
    <w:rsid w:val="6E95AF05"/>
    <w:rsid w:val="6E9B73C3"/>
    <w:rsid w:val="6E9D4000"/>
    <w:rsid w:val="6EB70BD3"/>
    <w:rsid w:val="6EC7FA3B"/>
    <w:rsid w:val="6ECB07CB"/>
    <w:rsid w:val="6ECD7921"/>
    <w:rsid w:val="6ED01A0B"/>
    <w:rsid w:val="6EDF2622"/>
    <w:rsid w:val="6EDFF272"/>
    <w:rsid w:val="6EED4959"/>
    <w:rsid w:val="6EF38C79"/>
    <w:rsid w:val="6EFA11CE"/>
    <w:rsid w:val="6EFB2BCE"/>
    <w:rsid w:val="6EFB335C"/>
    <w:rsid w:val="6EFD3142"/>
    <w:rsid w:val="6EFE8914"/>
    <w:rsid w:val="6EFF100F"/>
    <w:rsid w:val="6EFF2D7C"/>
    <w:rsid w:val="6EFF401C"/>
    <w:rsid w:val="6EFFDA90"/>
    <w:rsid w:val="6EFFEE70"/>
    <w:rsid w:val="6F272A40"/>
    <w:rsid w:val="6F279207"/>
    <w:rsid w:val="6F373A21"/>
    <w:rsid w:val="6F3A0407"/>
    <w:rsid w:val="6F3B5F5F"/>
    <w:rsid w:val="6F3D587B"/>
    <w:rsid w:val="6F400DC2"/>
    <w:rsid w:val="6F440C9B"/>
    <w:rsid w:val="6F4AC086"/>
    <w:rsid w:val="6F543576"/>
    <w:rsid w:val="6F5A30CA"/>
    <w:rsid w:val="6F5B8EE5"/>
    <w:rsid w:val="6F5FE83F"/>
    <w:rsid w:val="6F5FEB1D"/>
    <w:rsid w:val="6F65D390"/>
    <w:rsid w:val="6F67789C"/>
    <w:rsid w:val="6F6F2E74"/>
    <w:rsid w:val="6F6F671E"/>
    <w:rsid w:val="6F7DA893"/>
    <w:rsid w:val="6F7EA579"/>
    <w:rsid w:val="6F7F00AE"/>
    <w:rsid w:val="6F7FB0F0"/>
    <w:rsid w:val="6F7FF5B8"/>
    <w:rsid w:val="6F8557C5"/>
    <w:rsid w:val="6F868BB6"/>
    <w:rsid w:val="6F87FD91"/>
    <w:rsid w:val="6F9297D4"/>
    <w:rsid w:val="6F95F8EC"/>
    <w:rsid w:val="6F99644F"/>
    <w:rsid w:val="6F9EEC54"/>
    <w:rsid w:val="6FA31209"/>
    <w:rsid w:val="6FB66EF1"/>
    <w:rsid w:val="6FB6704B"/>
    <w:rsid w:val="6FB9802E"/>
    <w:rsid w:val="6FBB274C"/>
    <w:rsid w:val="6FBB28EC"/>
    <w:rsid w:val="6FBB376A"/>
    <w:rsid w:val="6FBBB734"/>
    <w:rsid w:val="6FBF7FA4"/>
    <w:rsid w:val="6FBF89B3"/>
    <w:rsid w:val="6FC04809"/>
    <w:rsid w:val="6FC58265"/>
    <w:rsid w:val="6FD17D84"/>
    <w:rsid w:val="6FD6DDCB"/>
    <w:rsid w:val="6FD8C26B"/>
    <w:rsid w:val="6FD9FB8C"/>
    <w:rsid w:val="6FDEBBDF"/>
    <w:rsid w:val="6FDFFCDE"/>
    <w:rsid w:val="6FE02A59"/>
    <w:rsid w:val="6FE7836E"/>
    <w:rsid w:val="6FEB84D8"/>
    <w:rsid w:val="6FEDF0C3"/>
    <w:rsid w:val="6FEECDDB"/>
    <w:rsid w:val="6FEFBD48"/>
    <w:rsid w:val="6FF06F9B"/>
    <w:rsid w:val="6FF35FB4"/>
    <w:rsid w:val="6FF566AD"/>
    <w:rsid w:val="6FF75158"/>
    <w:rsid w:val="6FF75F83"/>
    <w:rsid w:val="6FF8EB09"/>
    <w:rsid w:val="6FFC03D2"/>
    <w:rsid w:val="6FFD8A3D"/>
    <w:rsid w:val="6FFDD3EA"/>
    <w:rsid w:val="6FFDD7A1"/>
    <w:rsid w:val="6FFEBBA3"/>
    <w:rsid w:val="6FFF3342"/>
    <w:rsid w:val="6FFF98CF"/>
    <w:rsid w:val="6FFFACE2"/>
    <w:rsid w:val="6FFFC86D"/>
    <w:rsid w:val="6FFFD0B1"/>
    <w:rsid w:val="6FFFD96C"/>
    <w:rsid w:val="6FFFF6D0"/>
    <w:rsid w:val="70186294"/>
    <w:rsid w:val="70197FD4"/>
    <w:rsid w:val="701A8F07"/>
    <w:rsid w:val="702D0AE1"/>
    <w:rsid w:val="703F6C3B"/>
    <w:rsid w:val="704B4A30"/>
    <w:rsid w:val="704F668C"/>
    <w:rsid w:val="705A3A12"/>
    <w:rsid w:val="70684EAC"/>
    <w:rsid w:val="706E1379"/>
    <w:rsid w:val="707563A5"/>
    <w:rsid w:val="707A0101"/>
    <w:rsid w:val="707D36D6"/>
    <w:rsid w:val="70A53837"/>
    <w:rsid w:val="70B75D7F"/>
    <w:rsid w:val="70B932BD"/>
    <w:rsid w:val="70B9B444"/>
    <w:rsid w:val="70BBA342"/>
    <w:rsid w:val="70BF4734"/>
    <w:rsid w:val="70C36FC5"/>
    <w:rsid w:val="70CF4488"/>
    <w:rsid w:val="70D70BE6"/>
    <w:rsid w:val="70EB7EB4"/>
    <w:rsid w:val="70FE2509"/>
    <w:rsid w:val="713F3528"/>
    <w:rsid w:val="715F6265"/>
    <w:rsid w:val="71772887"/>
    <w:rsid w:val="719F1653"/>
    <w:rsid w:val="71A64788"/>
    <w:rsid w:val="71BF5D9A"/>
    <w:rsid w:val="71CD60EB"/>
    <w:rsid w:val="71CF2646"/>
    <w:rsid w:val="71E15AFA"/>
    <w:rsid w:val="71E24579"/>
    <w:rsid w:val="72043F46"/>
    <w:rsid w:val="724B0D65"/>
    <w:rsid w:val="725E1422"/>
    <w:rsid w:val="7277615F"/>
    <w:rsid w:val="727BCC4F"/>
    <w:rsid w:val="728F59B0"/>
    <w:rsid w:val="72976907"/>
    <w:rsid w:val="72BE7236"/>
    <w:rsid w:val="72C91810"/>
    <w:rsid w:val="72D72D30"/>
    <w:rsid w:val="72EDD69E"/>
    <w:rsid w:val="72F746AB"/>
    <w:rsid w:val="72FD0EE2"/>
    <w:rsid w:val="72FF7409"/>
    <w:rsid w:val="730E52D4"/>
    <w:rsid w:val="73111E83"/>
    <w:rsid w:val="731267EF"/>
    <w:rsid w:val="732A3338"/>
    <w:rsid w:val="732F6D41"/>
    <w:rsid w:val="7338386C"/>
    <w:rsid w:val="733C0072"/>
    <w:rsid w:val="734657A0"/>
    <w:rsid w:val="734F2BC2"/>
    <w:rsid w:val="73584F6A"/>
    <w:rsid w:val="735F969B"/>
    <w:rsid w:val="736B073D"/>
    <w:rsid w:val="737029B1"/>
    <w:rsid w:val="737636E0"/>
    <w:rsid w:val="737F6F41"/>
    <w:rsid w:val="737F7B4D"/>
    <w:rsid w:val="7387175A"/>
    <w:rsid w:val="73A73BD1"/>
    <w:rsid w:val="73B020E4"/>
    <w:rsid w:val="73B427DA"/>
    <w:rsid w:val="73C628EE"/>
    <w:rsid w:val="73CF3DBC"/>
    <w:rsid w:val="73CFD0E5"/>
    <w:rsid w:val="73DECC0D"/>
    <w:rsid w:val="73DF058F"/>
    <w:rsid w:val="73DF3508"/>
    <w:rsid w:val="73F6B083"/>
    <w:rsid w:val="73F6BC58"/>
    <w:rsid w:val="73F7197F"/>
    <w:rsid w:val="73FA44F0"/>
    <w:rsid w:val="73FD4290"/>
    <w:rsid w:val="73FD8CFF"/>
    <w:rsid w:val="73FDF765"/>
    <w:rsid w:val="740C4DDE"/>
    <w:rsid w:val="741D0B17"/>
    <w:rsid w:val="745843BE"/>
    <w:rsid w:val="745B68C4"/>
    <w:rsid w:val="7469627C"/>
    <w:rsid w:val="747118A7"/>
    <w:rsid w:val="747E5E0D"/>
    <w:rsid w:val="74885BE9"/>
    <w:rsid w:val="748B1B7E"/>
    <w:rsid w:val="74BA2377"/>
    <w:rsid w:val="74BF6691"/>
    <w:rsid w:val="74CEA5BA"/>
    <w:rsid w:val="74D0173D"/>
    <w:rsid w:val="74D05F68"/>
    <w:rsid w:val="74E648B4"/>
    <w:rsid w:val="74ED2F15"/>
    <w:rsid w:val="74EE4426"/>
    <w:rsid w:val="74F569E0"/>
    <w:rsid w:val="74FB59D5"/>
    <w:rsid w:val="74FBA61A"/>
    <w:rsid w:val="74FF7209"/>
    <w:rsid w:val="74FF9E7C"/>
    <w:rsid w:val="750C433D"/>
    <w:rsid w:val="751B772C"/>
    <w:rsid w:val="752B4A0A"/>
    <w:rsid w:val="7539057D"/>
    <w:rsid w:val="753DC93B"/>
    <w:rsid w:val="7559EC22"/>
    <w:rsid w:val="755FF277"/>
    <w:rsid w:val="756B6D88"/>
    <w:rsid w:val="756E042D"/>
    <w:rsid w:val="75717369"/>
    <w:rsid w:val="75792207"/>
    <w:rsid w:val="75798EA1"/>
    <w:rsid w:val="757B02FC"/>
    <w:rsid w:val="757DF9D8"/>
    <w:rsid w:val="757FB243"/>
    <w:rsid w:val="7581408D"/>
    <w:rsid w:val="75837E4B"/>
    <w:rsid w:val="7588050E"/>
    <w:rsid w:val="75ADD8A4"/>
    <w:rsid w:val="75BF14A3"/>
    <w:rsid w:val="75C55BE3"/>
    <w:rsid w:val="75C6B34D"/>
    <w:rsid w:val="75CFC2FF"/>
    <w:rsid w:val="75D95228"/>
    <w:rsid w:val="75DF6218"/>
    <w:rsid w:val="75F741BA"/>
    <w:rsid w:val="75F879D2"/>
    <w:rsid w:val="75FDD30A"/>
    <w:rsid w:val="75FF24A3"/>
    <w:rsid w:val="75FF66FB"/>
    <w:rsid w:val="75FF93FC"/>
    <w:rsid w:val="760D2319"/>
    <w:rsid w:val="761E74C2"/>
    <w:rsid w:val="762713EF"/>
    <w:rsid w:val="762E5E41"/>
    <w:rsid w:val="762EFEEB"/>
    <w:rsid w:val="76323D0E"/>
    <w:rsid w:val="763396CF"/>
    <w:rsid w:val="76391302"/>
    <w:rsid w:val="763BCDD8"/>
    <w:rsid w:val="763F6EDC"/>
    <w:rsid w:val="765E7875"/>
    <w:rsid w:val="766FF575"/>
    <w:rsid w:val="767F1A82"/>
    <w:rsid w:val="768A7016"/>
    <w:rsid w:val="768D656D"/>
    <w:rsid w:val="769CA411"/>
    <w:rsid w:val="769FBB0C"/>
    <w:rsid w:val="76B59AB2"/>
    <w:rsid w:val="76B64E79"/>
    <w:rsid w:val="76BDC468"/>
    <w:rsid w:val="76BED6F8"/>
    <w:rsid w:val="76BEEFE5"/>
    <w:rsid w:val="76BF9D5E"/>
    <w:rsid w:val="76CA3EF8"/>
    <w:rsid w:val="76CD18E8"/>
    <w:rsid w:val="76D601B1"/>
    <w:rsid w:val="76DFDBBD"/>
    <w:rsid w:val="76E4627F"/>
    <w:rsid w:val="76EAD644"/>
    <w:rsid w:val="76FB62F5"/>
    <w:rsid w:val="76FB8524"/>
    <w:rsid w:val="76FC2D26"/>
    <w:rsid w:val="76FD2FBE"/>
    <w:rsid w:val="76FF1C90"/>
    <w:rsid w:val="76FF515F"/>
    <w:rsid w:val="76FF5E6C"/>
    <w:rsid w:val="77151BFC"/>
    <w:rsid w:val="771B4A54"/>
    <w:rsid w:val="771F8F42"/>
    <w:rsid w:val="771FDFA8"/>
    <w:rsid w:val="7733A2CF"/>
    <w:rsid w:val="773BEEA2"/>
    <w:rsid w:val="774366A7"/>
    <w:rsid w:val="774651A1"/>
    <w:rsid w:val="774F912A"/>
    <w:rsid w:val="77586F89"/>
    <w:rsid w:val="775D0788"/>
    <w:rsid w:val="7762A746"/>
    <w:rsid w:val="776C9470"/>
    <w:rsid w:val="776F2738"/>
    <w:rsid w:val="776F5D88"/>
    <w:rsid w:val="777D7604"/>
    <w:rsid w:val="777EE985"/>
    <w:rsid w:val="777F0A31"/>
    <w:rsid w:val="777FD4BE"/>
    <w:rsid w:val="778626B7"/>
    <w:rsid w:val="778B95FE"/>
    <w:rsid w:val="778B9B01"/>
    <w:rsid w:val="778C0522"/>
    <w:rsid w:val="778C3B35"/>
    <w:rsid w:val="779A28CB"/>
    <w:rsid w:val="779B3204"/>
    <w:rsid w:val="779E58DA"/>
    <w:rsid w:val="779EC8E3"/>
    <w:rsid w:val="77AD9F9F"/>
    <w:rsid w:val="77AF8087"/>
    <w:rsid w:val="77B21619"/>
    <w:rsid w:val="77B57672"/>
    <w:rsid w:val="77B838C3"/>
    <w:rsid w:val="77BADAE7"/>
    <w:rsid w:val="77BB7401"/>
    <w:rsid w:val="77BCEDD7"/>
    <w:rsid w:val="77BDF8AC"/>
    <w:rsid w:val="77BF5237"/>
    <w:rsid w:val="77C1E2D4"/>
    <w:rsid w:val="77C70A92"/>
    <w:rsid w:val="77CF3604"/>
    <w:rsid w:val="77D84B39"/>
    <w:rsid w:val="77D8ECDA"/>
    <w:rsid w:val="77DB0872"/>
    <w:rsid w:val="77DD0AE6"/>
    <w:rsid w:val="77DF80F1"/>
    <w:rsid w:val="77DF9D5F"/>
    <w:rsid w:val="77E10D16"/>
    <w:rsid w:val="77E3C8C1"/>
    <w:rsid w:val="77E50EE2"/>
    <w:rsid w:val="77E5878C"/>
    <w:rsid w:val="77E78480"/>
    <w:rsid w:val="77E91B96"/>
    <w:rsid w:val="77EA11DA"/>
    <w:rsid w:val="77EAF489"/>
    <w:rsid w:val="77EB7B5D"/>
    <w:rsid w:val="77EC1AC9"/>
    <w:rsid w:val="77EE2F43"/>
    <w:rsid w:val="77EF1961"/>
    <w:rsid w:val="77EF703E"/>
    <w:rsid w:val="77EF93B6"/>
    <w:rsid w:val="77EF9A4F"/>
    <w:rsid w:val="77EFC6E8"/>
    <w:rsid w:val="77EFCA33"/>
    <w:rsid w:val="77EFD1DB"/>
    <w:rsid w:val="77F58F7B"/>
    <w:rsid w:val="77F90384"/>
    <w:rsid w:val="77F913DF"/>
    <w:rsid w:val="77FA2836"/>
    <w:rsid w:val="77FB136A"/>
    <w:rsid w:val="77FBD369"/>
    <w:rsid w:val="77FBEC38"/>
    <w:rsid w:val="77FC77AD"/>
    <w:rsid w:val="77FD3167"/>
    <w:rsid w:val="77FD7D49"/>
    <w:rsid w:val="77FDB6B6"/>
    <w:rsid w:val="77FDECA6"/>
    <w:rsid w:val="77FE216A"/>
    <w:rsid w:val="77FE21AE"/>
    <w:rsid w:val="77FEFF93"/>
    <w:rsid w:val="77FF40C7"/>
    <w:rsid w:val="77FF8D59"/>
    <w:rsid w:val="77FFBF3B"/>
    <w:rsid w:val="77FFC705"/>
    <w:rsid w:val="77FFD773"/>
    <w:rsid w:val="77FFDF5F"/>
    <w:rsid w:val="77FFEA6F"/>
    <w:rsid w:val="783B3A68"/>
    <w:rsid w:val="785F52C9"/>
    <w:rsid w:val="786B73D7"/>
    <w:rsid w:val="78716060"/>
    <w:rsid w:val="787CF73C"/>
    <w:rsid w:val="787F5FD5"/>
    <w:rsid w:val="788C6AB5"/>
    <w:rsid w:val="78AC079E"/>
    <w:rsid w:val="78B64309"/>
    <w:rsid w:val="78BC25D4"/>
    <w:rsid w:val="78ED527F"/>
    <w:rsid w:val="78EE5323"/>
    <w:rsid w:val="78F01357"/>
    <w:rsid w:val="78FAB46E"/>
    <w:rsid w:val="78FB7AC1"/>
    <w:rsid w:val="78FBF7B8"/>
    <w:rsid w:val="78FEEFF9"/>
    <w:rsid w:val="78FF8C3B"/>
    <w:rsid w:val="78FFA6D9"/>
    <w:rsid w:val="78FFDCEA"/>
    <w:rsid w:val="78FFF9E4"/>
    <w:rsid w:val="7902232A"/>
    <w:rsid w:val="791916C9"/>
    <w:rsid w:val="792625C5"/>
    <w:rsid w:val="79590E7A"/>
    <w:rsid w:val="795C6B07"/>
    <w:rsid w:val="7964645C"/>
    <w:rsid w:val="79654CCB"/>
    <w:rsid w:val="796B3B42"/>
    <w:rsid w:val="79730554"/>
    <w:rsid w:val="79766E68"/>
    <w:rsid w:val="797B2129"/>
    <w:rsid w:val="797BD851"/>
    <w:rsid w:val="797D7995"/>
    <w:rsid w:val="797F1BCA"/>
    <w:rsid w:val="79A008D9"/>
    <w:rsid w:val="79AC38A1"/>
    <w:rsid w:val="79AF8CE7"/>
    <w:rsid w:val="79B749B7"/>
    <w:rsid w:val="79DF6605"/>
    <w:rsid w:val="79E61FD9"/>
    <w:rsid w:val="79E7B9CB"/>
    <w:rsid w:val="79EA22F1"/>
    <w:rsid w:val="79EE6945"/>
    <w:rsid w:val="79EF1961"/>
    <w:rsid w:val="79EF532F"/>
    <w:rsid w:val="79F0B079"/>
    <w:rsid w:val="79F75AF8"/>
    <w:rsid w:val="79FB4AE9"/>
    <w:rsid w:val="79FF3D52"/>
    <w:rsid w:val="79FF873F"/>
    <w:rsid w:val="79FFA76F"/>
    <w:rsid w:val="79FFF632"/>
    <w:rsid w:val="7A080FC5"/>
    <w:rsid w:val="7A0B703D"/>
    <w:rsid w:val="7A200CD3"/>
    <w:rsid w:val="7A320079"/>
    <w:rsid w:val="7A41F17F"/>
    <w:rsid w:val="7A4466FC"/>
    <w:rsid w:val="7A573675"/>
    <w:rsid w:val="7A5F6045"/>
    <w:rsid w:val="7A6344B7"/>
    <w:rsid w:val="7A636E92"/>
    <w:rsid w:val="7A68639D"/>
    <w:rsid w:val="7A6FD6AD"/>
    <w:rsid w:val="7A72953D"/>
    <w:rsid w:val="7A7511ED"/>
    <w:rsid w:val="7A753E9B"/>
    <w:rsid w:val="7A7870AE"/>
    <w:rsid w:val="7A7D5F43"/>
    <w:rsid w:val="7A9E1A51"/>
    <w:rsid w:val="7AA74F54"/>
    <w:rsid w:val="7AC718A6"/>
    <w:rsid w:val="7ACC740A"/>
    <w:rsid w:val="7ADF2F49"/>
    <w:rsid w:val="7ADF42C4"/>
    <w:rsid w:val="7ADF4755"/>
    <w:rsid w:val="7AE3CEA0"/>
    <w:rsid w:val="7AE962C0"/>
    <w:rsid w:val="7AEF5A21"/>
    <w:rsid w:val="7AF3E97E"/>
    <w:rsid w:val="7AF75A95"/>
    <w:rsid w:val="7AFD663C"/>
    <w:rsid w:val="7AFE2372"/>
    <w:rsid w:val="7AFEDD02"/>
    <w:rsid w:val="7AFFE15B"/>
    <w:rsid w:val="7B1F58E9"/>
    <w:rsid w:val="7B2F175D"/>
    <w:rsid w:val="7B36536A"/>
    <w:rsid w:val="7B3F4AD3"/>
    <w:rsid w:val="7B6BC758"/>
    <w:rsid w:val="7B7739D4"/>
    <w:rsid w:val="7B779FCD"/>
    <w:rsid w:val="7B77D31C"/>
    <w:rsid w:val="7B7A8017"/>
    <w:rsid w:val="7B7E1B65"/>
    <w:rsid w:val="7B7E1CE7"/>
    <w:rsid w:val="7B7FE759"/>
    <w:rsid w:val="7B7FEE2D"/>
    <w:rsid w:val="7B8F5B7B"/>
    <w:rsid w:val="7B9F3B99"/>
    <w:rsid w:val="7B9F4CA9"/>
    <w:rsid w:val="7B9F6948"/>
    <w:rsid w:val="7BAEF09E"/>
    <w:rsid w:val="7BB041F9"/>
    <w:rsid w:val="7BBAD549"/>
    <w:rsid w:val="7BBD6C13"/>
    <w:rsid w:val="7BBEB7C8"/>
    <w:rsid w:val="7BBEFE3A"/>
    <w:rsid w:val="7BBFC796"/>
    <w:rsid w:val="7BC77EA6"/>
    <w:rsid w:val="7BCF2095"/>
    <w:rsid w:val="7BD1C7B9"/>
    <w:rsid w:val="7BD5701E"/>
    <w:rsid w:val="7BD726FC"/>
    <w:rsid w:val="7BDB4B70"/>
    <w:rsid w:val="7BDBA764"/>
    <w:rsid w:val="7BDBB9F4"/>
    <w:rsid w:val="7BDD6427"/>
    <w:rsid w:val="7BDDEAFC"/>
    <w:rsid w:val="7BDDFCB5"/>
    <w:rsid w:val="7BDF4313"/>
    <w:rsid w:val="7BE2889D"/>
    <w:rsid w:val="7BE372AA"/>
    <w:rsid w:val="7BE56B42"/>
    <w:rsid w:val="7BE62501"/>
    <w:rsid w:val="7BE70452"/>
    <w:rsid w:val="7BEE0E86"/>
    <w:rsid w:val="7BEE873C"/>
    <w:rsid w:val="7BEF38A0"/>
    <w:rsid w:val="7BEF9744"/>
    <w:rsid w:val="7BEFB3DF"/>
    <w:rsid w:val="7BEFD95A"/>
    <w:rsid w:val="7BEFEB59"/>
    <w:rsid w:val="7BF1448E"/>
    <w:rsid w:val="7BF233EB"/>
    <w:rsid w:val="7BF4A0FA"/>
    <w:rsid w:val="7BF57A9D"/>
    <w:rsid w:val="7BF5ABBE"/>
    <w:rsid w:val="7BF5C43A"/>
    <w:rsid w:val="7BF5D039"/>
    <w:rsid w:val="7BF6F7C4"/>
    <w:rsid w:val="7BF763D3"/>
    <w:rsid w:val="7BF96E85"/>
    <w:rsid w:val="7BFB5B5E"/>
    <w:rsid w:val="7BFBB549"/>
    <w:rsid w:val="7BFD9FD0"/>
    <w:rsid w:val="7BFDD6F6"/>
    <w:rsid w:val="7BFE6F53"/>
    <w:rsid w:val="7BFE9AD1"/>
    <w:rsid w:val="7BFEDC5B"/>
    <w:rsid w:val="7BFEE026"/>
    <w:rsid w:val="7BFF5918"/>
    <w:rsid w:val="7BFF7D49"/>
    <w:rsid w:val="7BFFABBC"/>
    <w:rsid w:val="7BFFCE0E"/>
    <w:rsid w:val="7BFFDCEA"/>
    <w:rsid w:val="7BFFE4FD"/>
    <w:rsid w:val="7C01088C"/>
    <w:rsid w:val="7C386B82"/>
    <w:rsid w:val="7C5975C1"/>
    <w:rsid w:val="7C5B2FBA"/>
    <w:rsid w:val="7C5F3B5E"/>
    <w:rsid w:val="7C6D8E58"/>
    <w:rsid w:val="7C7B472C"/>
    <w:rsid w:val="7C7BE87B"/>
    <w:rsid w:val="7C7E6CDB"/>
    <w:rsid w:val="7C7F02C2"/>
    <w:rsid w:val="7C8534AC"/>
    <w:rsid w:val="7C8E28B7"/>
    <w:rsid w:val="7C9F6868"/>
    <w:rsid w:val="7C9FC629"/>
    <w:rsid w:val="7CA72D5A"/>
    <w:rsid w:val="7CB709C7"/>
    <w:rsid w:val="7CB73274"/>
    <w:rsid w:val="7CBCCD51"/>
    <w:rsid w:val="7CBF8ABA"/>
    <w:rsid w:val="7CC36AE8"/>
    <w:rsid w:val="7CD2EB3C"/>
    <w:rsid w:val="7CE37871"/>
    <w:rsid w:val="7CE9A5A0"/>
    <w:rsid w:val="7CF3C8C2"/>
    <w:rsid w:val="7CFCC4DA"/>
    <w:rsid w:val="7CFF6E88"/>
    <w:rsid w:val="7CFF8188"/>
    <w:rsid w:val="7CFFE70C"/>
    <w:rsid w:val="7D0C4A36"/>
    <w:rsid w:val="7D0F0A95"/>
    <w:rsid w:val="7D1F441E"/>
    <w:rsid w:val="7D257D4B"/>
    <w:rsid w:val="7D372E04"/>
    <w:rsid w:val="7D3B6D18"/>
    <w:rsid w:val="7D3D6ACD"/>
    <w:rsid w:val="7D3D702E"/>
    <w:rsid w:val="7D470F6C"/>
    <w:rsid w:val="7D502D21"/>
    <w:rsid w:val="7D5A9542"/>
    <w:rsid w:val="7D686A72"/>
    <w:rsid w:val="7D6F4237"/>
    <w:rsid w:val="7D704DE7"/>
    <w:rsid w:val="7D725D0F"/>
    <w:rsid w:val="7D773A5F"/>
    <w:rsid w:val="7D7A7958"/>
    <w:rsid w:val="7D7F5291"/>
    <w:rsid w:val="7D7FD055"/>
    <w:rsid w:val="7D7FE1EF"/>
    <w:rsid w:val="7D822794"/>
    <w:rsid w:val="7D8650EE"/>
    <w:rsid w:val="7D8934B1"/>
    <w:rsid w:val="7D9224FC"/>
    <w:rsid w:val="7D93023D"/>
    <w:rsid w:val="7D9D001F"/>
    <w:rsid w:val="7D9F4D1A"/>
    <w:rsid w:val="7DAD5F19"/>
    <w:rsid w:val="7DAD86B8"/>
    <w:rsid w:val="7DAD894E"/>
    <w:rsid w:val="7DB73694"/>
    <w:rsid w:val="7DB7A691"/>
    <w:rsid w:val="7DBB2FCA"/>
    <w:rsid w:val="7DBD1ABF"/>
    <w:rsid w:val="7DBE8A3A"/>
    <w:rsid w:val="7DBF2A9D"/>
    <w:rsid w:val="7DBF8940"/>
    <w:rsid w:val="7DBF9122"/>
    <w:rsid w:val="7DBFAF93"/>
    <w:rsid w:val="7DBFCCB5"/>
    <w:rsid w:val="7DC7480B"/>
    <w:rsid w:val="7DCB2A6F"/>
    <w:rsid w:val="7DCD9795"/>
    <w:rsid w:val="7DCFDA28"/>
    <w:rsid w:val="7DCFE9C7"/>
    <w:rsid w:val="7DD30B9A"/>
    <w:rsid w:val="7DD68C0D"/>
    <w:rsid w:val="7DD75189"/>
    <w:rsid w:val="7DD87DEE"/>
    <w:rsid w:val="7DD98AA6"/>
    <w:rsid w:val="7DDD0EA2"/>
    <w:rsid w:val="7DDE2960"/>
    <w:rsid w:val="7DDF16B3"/>
    <w:rsid w:val="7DDF7AF9"/>
    <w:rsid w:val="7DE1C3A4"/>
    <w:rsid w:val="7DE93509"/>
    <w:rsid w:val="7DEB3BA1"/>
    <w:rsid w:val="7DEC28DF"/>
    <w:rsid w:val="7DEDA74D"/>
    <w:rsid w:val="7DEE64EB"/>
    <w:rsid w:val="7DEFFCBD"/>
    <w:rsid w:val="7DF3794B"/>
    <w:rsid w:val="7DF5862B"/>
    <w:rsid w:val="7DF5A0A1"/>
    <w:rsid w:val="7DF74920"/>
    <w:rsid w:val="7DF76B7E"/>
    <w:rsid w:val="7DF7FFCE"/>
    <w:rsid w:val="7DF97466"/>
    <w:rsid w:val="7DFD04B2"/>
    <w:rsid w:val="7DFE061E"/>
    <w:rsid w:val="7DFF6D31"/>
    <w:rsid w:val="7DFF9088"/>
    <w:rsid w:val="7DFFA6F9"/>
    <w:rsid w:val="7DFFBB5A"/>
    <w:rsid w:val="7E03733E"/>
    <w:rsid w:val="7E18246B"/>
    <w:rsid w:val="7E233307"/>
    <w:rsid w:val="7E319DB2"/>
    <w:rsid w:val="7E331B3A"/>
    <w:rsid w:val="7E391CC6"/>
    <w:rsid w:val="7E3ABB96"/>
    <w:rsid w:val="7E3B493B"/>
    <w:rsid w:val="7E4F6016"/>
    <w:rsid w:val="7E4F72BE"/>
    <w:rsid w:val="7E55A7A4"/>
    <w:rsid w:val="7E564C7E"/>
    <w:rsid w:val="7E591020"/>
    <w:rsid w:val="7E601A04"/>
    <w:rsid w:val="7E6FE830"/>
    <w:rsid w:val="7E7F4722"/>
    <w:rsid w:val="7E7FC82E"/>
    <w:rsid w:val="7E8C7F45"/>
    <w:rsid w:val="7E9101AC"/>
    <w:rsid w:val="7E977A43"/>
    <w:rsid w:val="7E9A4905"/>
    <w:rsid w:val="7EA70B2B"/>
    <w:rsid w:val="7EAA2CD7"/>
    <w:rsid w:val="7EAB5849"/>
    <w:rsid w:val="7EB3E3DD"/>
    <w:rsid w:val="7EB3FFA1"/>
    <w:rsid w:val="7EB75AE8"/>
    <w:rsid w:val="7EB770E6"/>
    <w:rsid w:val="7EB78B57"/>
    <w:rsid w:val="7EBF2B16"/>
    <w:rsid w:val="7EBF5D3C"/>
    <w:rsid w:val="7EBF9AC5"/>
    <w:rsid w:val="7ECA63B0"/>
    <w:rsid w:val="7ECB931B"/>
    <w:rsid w:val="7ECD436F"/>
    <w:rsid w:val="7EDBD11C"/>
    <w:rsid w:val="7EDE8B02"/>
    <w:rsid w:val="7EDF432A"/>
    <w:rsid w:val="7EDFA7C9"/>
    <w:rsid w:val="7EE26CB9"/>
    <w:rsid w:val="7EE38FB0"/>
    <w:rsid w:val="7EE7EA56"/>
    <w:rsid w:val="7EEB4768"/>
    <w:rsid w:val="7EEEF57D"/>
    <w:rsid w:val="7EEF3969"/>
    <w:rsid w:val="7EEFB9CE"/>
    <w:rsid w:val="7EEFFB35"/>
    <w:rsid w:val="7EF1CE4A"/>
    <w:rsid w:val="7EF509FA"/>
    <w:rsid w:val="7EF54771"/>
    <w:rsid w:val="7EF6055F"/>
    <w:rsid w:val="7EF701C1"/>
    <w:rsid w:val="7EF7AC44"/>
    <w:rsid w:val="7EF7EDDC"/>
    <w:rsid w:val="7EFA326E"/>
    <w:rsid w:val="7EFAE7A0"/>
    <w:rsid w:val="7EFB2104"/>
    <w:rsid w:val="7EFCEC00"/>
    <w:rsid w:val="7EFD02FF"/>
    <w:rsid w:val="7EFDBF7E"/>
    <w:rsid w:val="7EFDC89D"/>
    <w:rsid w:val="7EFDED7C"/>
    <w:rsid w:val="7EFDF3A7"/>
    <w:rsid w:val="7EFE6176"/>
    <w:rsid w:val="7EFEF43E"/>
    <w:rsid w:val="7EFF44F5"/>
    <w:rsid w:val="7EFF529B"/>
    <w:rsid w:val="7EFFCB0F"/>
    <w:rsid w:val="7EFFF039"/>
    <w:rsid w:val="7F1911F7"/>
    <w:rsid w:val="7F283994"/>
    <w:rsid w:val="7F2FF98A"/>
    <w:rsid w:val="7F3347F7"/>
    <w:rsid w:val="7F3739A2"/>
    <w:rsid w:val="7F37FF81"/>
    <w:rsid w:val="7F39161F"/>
    <w:rsid w:val="7F3A6FE8"/>
    <w:rsid w:val="7F3CC658"/>
    <w:rsid w:val="7F3ED535"/>
    <w:rsid w:val="7F3F0850"/>
    <w:rsid w:val="7F3F681D"/>
    <w:rsid w:val="7F3FDBAE"/>
    <w:rsid w:val="7F4B3EA8"/>
    <w:rsid w:val="7F4D1404"/>
    <w:rsid w:val="7F4D3C6C"/>
    <w:rsid w:val="7F4F26E7"/>
    <w:rsid w:val="7F524530"/>
    <w:rsid w:val="7F557B42"/>
    <w:rsid w:val="7F578A34"/>
    <w:rsid w:val="7F5A85F2"/>
    <w:rsid w:val="7F5BC742"/>
    <w:rsid w:val="7F5F5BE3"/>
    <w:rsid w:val="7F5F87DB"/>
    <w:rsid w:val="7F6109A0"/>
    <w:rsid w:val="7F625732"/>
    <w:rsid w:val="7F65E361"/>
    <w:rsid w:val="7F6BD8D0"/>
    <w:rsid w:val="7F6BF4BB"/>
    <w:rsid w:val="7F6DB607"/>
    <w:rsid w:val="7F6DFB34"/>
    <w:rsid w:val="7F6F09DC"/>
    <w:rsid w:val="7F6FC0A0"/>
    <w:rsid w:val="7F6FDB0A"/>
    <w:rsid w:val="7F721D5D"/>
    <w:rsid w:val="7F748A4A"/>
    <w:rsid w:val="7F754B65"/>
    <w:rsid w:val="7F75AEEC"/>
    <w:rsid w:val="7F75C57D"/>
    <w:rsid w:val="7F75D510"/>
    <w:rsid w:val="7F7737B3"/>
    <w:rsid w:val="7F778FE5"/>
    <w:rsid w:val="7F7A00AE"/>
    <w:rsid w:val="7F7A36A5"/>
    <w:rsid w:val="7F7BE807"/>
    <w:rsid w:val="7F7C7A19"/>
    <w:rsid w:val="7F7C9586"/>
    <w:rsid w:val="7F7CBD0C"/>
    <w:rsid w:val="7F7D4577"/>
    <w:rsid w:val="7F7D4E6C"/>
    <w:rsid w:val="7F7D8758"/>
    <w:rsid w:val="7F7DE268"/>
    <w:rsid w:val="7F7DE84A"/>
    <w:rsid w:val="7F7E3D96"/>
    <w:rsid w:val="7F7F080A"/>
    <w:rsid w:val="7F7F13D5"/>
    <w:rsid w:val="7F7F3E13"/>
    <w:rsid w:val="7F7F4C94"/>
    <w:rsid w:val="7F7F8A56"/>
    <w:rsid w:val="7F7F9242"/>
    <w:rsid w:val="7F7FA932"/>
    <w:rsid w:val="7F7FB99D"/>
    <w:rsid w:val="7F8BB586"/>
    <w:rsid w:val="7F8F2E98"/>
    <w:rsid w:val="7F8FAB9D"/>
    <w:rsid w:val="7F90265D"/>
    <w:rsid w:val="7F95A157"/>
    <w:rsid w:val="7F9B68AB"/>
    <w:rsid w:val="7F9BABCB"/>
    <w:rsid w:val="7F9D3A45"/>
    <w:rsid w:val="7F9FB0F8"/>
    <w:rsid w:val="7F9FEE09"/>
    <w:rsid w:val="7F9FF364"/>
    <w:rsid w:val="7FA6370F"/>
    <w:rsid w:val="7FA938C1"/>
    <w:rsid w:val="7FAB38C6"/>
    <w:rsid w:val="7FAC56E1"/>
    <w:rsid w:val="7FAF01D7"/>
    <w:rsid w:val="7FAF09C5"/>
    <w:rsid w:val="7FAF0FAD"/>
    <w:rsid w:val="7FAF1193"/>
    <w:rsid w:val="7FAF61FC"/>
    <w:rsid w:val="7FAFE20D"/>
    <w:rsid w:val="7FB38B54"/>
    <w:rsid w:val="7FB6AB53"/>
    <w:rsid w:val="7FB6C2AA"/>
    <w:rsid w:val="7FB751BC"/>
    <w:rsid w:val="7FB91DC6"/>
    <w:rsid w:val="7FBAB364"/>
    <w:rsid w:val="7FBAFA81"/>
    <w:rsid w:val="7FBAFEE7"/>
    <w:rsid w:val="7FBB4188"/>
    <w:rsid w:val="7FBCC42E"/>
    <w:rsid w:val="7FBD9AA0"/>
    <w:rsid w:val="7FBE5FF8"/>
    <w:rsid w:val="7FBE7912"/>
    <w:rsid w:val="7FBEA335"/>
    <w:rsid w:val="7FBED7D9"/>
    <w:rsid w:val="7FBEF751"/>
    <w:rsid w:val="7FBF1401"/>
    <w:rsid w:val="7FBF3D95"/>
    <w:rsid w:val="7FBF4BA8"/>
    <w:rsid w:val="7FBF583C"/>
    <w:rsid w:val="7FBF9DF1"/>
    <w:rsid w:val="7FBFB7C0"/>
    <w:rsid w:val="7FBFD171"/>
    <w:rsid w:val="7FC10F22"/>
    <w:rsid w:val="7FC1FE82"/>
    <w:rsid w:val="7FCDD226"/>
    <w:rsid w:val="7FCEBF97"/>
    <w:rsid w:val="7FCEDA64"/>
    <w:rsid w:val="7FCF4244"/>
    <w:rsid w:val="7FCF7549"/>
    <w:rsid w:val="7FCF8304"/>
    <w:rsid w:val="7FD2DE0A"/>
    <w:rsid w:val="7FD332AE"/>
    <w:rsid w:val="7FD567F4"/>
    <w:rsid w:val="7FD73B74"/>
    <w:rsid w:val="7FD74EFB"/>
    <w:rsid w:val="7FD77EDF"/>
    <w:rsid w:val="7FD7BDE3"/>
    <w:rsid w:val="7FDB5F1E"/>
    <w:rsid w:val="7FDB7334"/>
    <w:rsid w:val="7FDDE0D6"/>
    <w:rsid w:val="7FDDF085"/>
    <w:rsid w:val="7FDEF5FC"/>
    <w:rsid w:val="7FDF047D"/>
    <w:rsid w:val="7FDF1D39"/>
    <w:rsid w:val="7FDF38F1"/>
    <w:rsid w:val="7FDF4F70"/>
    <w:rsid w:val="7FDF98BF"/>
    <w:rsid w:val="7FDFB919"/>
    <w:rsid w:val="7FDFC3AD"/>
    <w:rsid w:val="7FDFE179"/>
    <w:rsid w:val="7FDFFA0A"/>
    <w:rsid w:val="7FE06889"/>
    <w:rsid w:val="7FE6B3A6"/>
    <w:rsid w:val="7FE784E3"/>
    <w:rsid w:val="7FE883B5"/>
    <w:rsid w:val="7FEAF7BA"/>
    <w:rsid w:val="7FEF0281"/>
    <w:rsid w:val="7FEF2281"/>
    <w:rsid w:val="7FEF679A"/>
    <w:rsid w:val="7FEF6B8E"/>
    <w:rsid w:val="7FEF861A"/>
    <w:rsid w:val="7FEF9A67"/>
    <w:rsid w:val="7FEFCB5E"/>
    <w:rsid w:val="7FEFCDBA"/>
    <w:rsid w:val="7FF19EAF"/>
    <w:rsid w:val="7FF1BFBA"/>
    <w:rsid w:val="7FF1D8E3"/>
    <w:rsid w:val="7FF34BE9"/>
    <w:rsid w:val="7FF3E9E7"/>
    <w:rsid w:val="7FF453A5"/>
    <w:rsid w:val="7FF5B75B"/>
    <w:rsid w:val="7FF64C5C"/>
    <w:rsid w:val="7FF72996"/>
    <w:rsid w:val="7FF7348F"/>
    <w:rsid w:val="7FF7807C"/>
    <w:rsid w:val="7FF7C961"/>
    <w:rsid w:val="7FF7D0B9"/>
    <w:rsid w:val="7FF7E3D2"/>
    <w:rsid w:val="7FF85160"/>
    <w:rsid w:val="7FF93AA9"/>
    <w:rsid w:val="7FF9683F"/>
    <w:rsid w:val="7FF9FBB3"/>
    <w:rsid w:val="7FFA6E8E"/>
    <w:rsid w:val="7FFA898C"/>
    <w:rsid w:val="7FFAC591"/>
    <w:rsid w:val="7FFB7F92"/>
    <w:rsid w:val="7FFC01B6"/>
    <w:rsid w:val="7FFC7510"/>
    <w:rsid w:val="7FFCD46C"/>
    <w:rsid w:val="7FFD028F"/>
    <w:rsid w:val="7FFD38B9"/>
    <w:rsid w:val="7FFD4260"/>
    <w:rsid w:val="7FFD4273"/>
    <w:rsid w:val="7FFDB141"/>
    <w:rsid w:val="7FFDD83E"/>
    <w:rsid w:val="7FFE47EA"/>
    <w:rsid w:val="7FFE5D4A"/>
    <w:rsid w:val="7FFE64CA"/>
    <w:rsid w:val="7FFEAEB5"/>
    <w:rsid w:val="7FFEBAE6"/>
    <w:rsid w:val="7FFEFF7C"/>
    <w:rsid w:val="7FFF1F43"/>
    <w:rsid w:val="7FFF2563"/>
    <w:rsid w:val="7FFF29CB"/>
    <w:rsid w:val="7FFF2AF0"/>
    <w:rsid w:val="7FFF3249"/>
    <w:rsid w:val="7FFF689B"/>
    <w:rsid w:val="7FFF6B24"/>
    <w:rsid w:val="7FFF6C30"/>
    <w:rsid w:val="7FFF8071"/>
    <w:rsid w:val="7FFF9863"/>
    <w:rsid w:val="7FFF9C53"/>
    <w:rsid w:val="7FFFCBE4"/>
    <w:rsid w:val="7FFFD736"/>
    <w:rsid w:val="7FFFEC99"/>
    <w:rsid w:val="83534639"/>
    <w:rsid w:val="85DC2548"/>
    <w:rsid w:val="85FC76A7"/>
    <w:rsid w:val="87CF1552"/>
    <w:rsid w:val="87EF3526"/>
    <w:rsid w:val="87F7B840"/>
    <w:rsid w:val="87F7E2AA"/>
    <w:rsid w:val="89FF6836"/>
    <w:rsid w:val="8A1B79F1"/>
    <w:rsid w:val="8AFF25AF"/>
    <w:rsid w:val="8BDF2021"/>
    <w:rsid w:val="8CF4BD34"/>
    <w:rsid w:val="8DF79E85"/>
    <w:rsid w:val="8DFFC205"/>
    <w:rsid w:val="8ECF3719"/>
    <w:rsid w:val="8EFF26A6"/>
    <w:rsid w:val="8EFF6BAD"/>
    <w:rsid w:val="8F7578CF"/>
    <w:rsid w:val="8F7E56C2"/>
    <w:rsid w:val="8FB50660"/>
    <w:rsid w:val="8FDF138F"/>
    <w:rsid w:val="8FEBA80A"/>
    <w:rsid w:val="8FFF7734"/>
    <w:rsid w:val="8FFFA810"/>
    <w:rsid w:val="9161572A"/>
    <w:rsid w:val="93DD3F51"/>
    <w:rsid w:val="93DF73B4"/>
    <w:rsid w:val="93E51A81"/>
    <w:rsid w:val="93EFBE2D"/>
    <w:rsid w:val="958BE5C5"/>
    <w:rsid w:val="95CFC6CE"/>
    <w:rsid w:val="95FD18C6"/>
    <w:rsid w:val="96695F49"/>
    <w:rsid w:val="975A63D8"/>
    <w:rsid w:val="97BB7BC8"/>
    <w:rsid w:val="97C72804"/>
    <w:rsid w:val="97CF59F2"/>
    <w:rsid w:val="97D7B0DF"/>
    <w:rsid w:val="97D7B5EA"/>
    <w:rsid w:val="97DB7351"/>
    <w:rsid w:val="97DEB776"/>
    <w:rsid w:val="97E38D03"/>
    <w:rsid w:val="97F3EE19"/>
    <w:rsid w:val="97F64A99"/>
    <w:rsid w:val="97FED89C"/>
    <w:rsid w:val="98E61B29"/>
    <w:rsid w:val="99FBBCF7"/>
    <w:rsid w:val="99FF9EF4"/>
    <w:rsid w:val="9ADDB16D"/>
    <w:rsid w:val="9AFE8D45"/>
    <w:rsid w:val="9B358DB0"/>
    <w:rsid w:val="9B76CC89"/>
    <w:rsid w:val="9B9B21F9"/>
    <w:rsid w:val="9B9B9EDB"/>
    <w:rsid w:val="9BAB708D"/>
    <w:rsid w:val="9BBE1042"/>
    <w:rsid w:val="9BEF368C"/>
    <w:rsid w:val="9BF72AD3"/>
    <w:rsid w:val="9BFE89E6"/>
    <w:rsid w:val="9CB2A76A"/>
    <w:rsid w:val="9CBF4552"/>
    <w:rsid w:val="9CD655EB"/>
    <w:rsid w:val="9CED7C32"/>
    <w:rsid w:val="9CF8B433"/>
    <w:rsid w:val="9D2E6348"/>
    <w:rsid w:val="9D373581"/>
    <w:rsid w:val="9D3B6E74"/>
    <w:rsid w:val="9DE63AEF"/>
    <w:rsid w:val="9DFCE0D1"/>
    <w:rsid w:val="9E731CC3"/>
    <w:rsid w:val="9E77E036"/>
    <w:rsid w:val="9EA9073E"/>
    <w:rsid w:val="9EDE29E8"/>
    <w:rsid w:val="9EEB4229"/>
    <w:rsid w:val="9EF60527"/>
    <w:rsid w:val="9EFE0156"/>
    <w:rsid w:val="9EFE1C8B"/>
    <w:rsid w:val="9F27B54E"/>
    <w:rsid w:val="9F2F9169"/>
    <w:rsid w:val="9F5BD71A"/>
    <w:rsid w:val="9F5D3661"/>
    <w:rsid w:val="9F66645E"/>
    <w:rsid w:val="9F6EB7E1"/>
    <w:rsid w:val="9F9E95B3"/>
    <w:rsid w:val="9FB54BFE"/>
    <w:rsid w:val="9FBF63EB"/>
    <w:rsid w:val="9FCB6B12"/>
    <w:rsid w:val="9FD3E8CF"/>
    <w:rsid w:val="9FDA8576"/>
    <w:rsid w:val="9FDB6E49"/>
    <w:rsid w:val="9FDBEFB6"/>
    <w:rsid w:val="9FDF0E8D"/>
    <w:rsid w:val="9FEA95FB"/>
    <w:rsid w:val="9FEAECE4"/>
    <w:rsid w:val="9FECC32B"/>
    <w:rsid w:val="9FF799D9"/>
    <w:rsid w:val="9FFB1FED"/>
    <w:rsid w:val="9FFBE0C4"/>
    <w:rsid w:val="9FFDCCCB"/>
    <w:rsid w:val="9FFFCF43"/>
    <w:rsid w:val="A1DBD78D"/>
    <w:rsid w:val="A2BFCD60"/>
    <w:rsid w:val="A2EBE618"/>
    <w:rsid w:val="A2F96E25"/>
    <w:rsid w:val="A3757544"/>
    <w:rsid w:val="A37D2DFA"/>
    <w:rsid w:val="A38D5382"/>
    <w:rsid w:val="A39FC5E6"/>
    <w:rsid w:val="A3FF339E"/>
    <w:rsid w:val="A43F663D"/>
    <w:rsid w:val="A56A8D75"/>
    <w:rsid w:val="A5FA1FE3"/>
    <w:rsid w:val="A5FD7314"/>
    <w:rsid w:val="A6EB8ECD"/>
    <w:rsid w:val="A6F2EB53"/>
    <w:rsid w:val="A6FFC087"/>
    <w:rsid w:val="A75F1069"/>
    <w:rsid w:val="A773067B"/>
    <w:rsid w:val="A7EBCE80"/>
    <w:rsid w:val="A9373578"/>
    <w:rsid w:val="A97FC3E9"/>
    <w:rsid w:val="A9A6C5BE"/>
    <w:rsid w:val="A9FFD6E6"/>
    <w:rsid w:val="AA45D473"/>
    <w:rsid w:val="AAEE8572"/>
    <w:rsid w:val="AB1E7BDB"/>
    <w:rsid w:val="AB3F12FF"/>
    <w:rsid w:val="AB5AF14F"/>
    <w:rsid w:val="AB6EEF46"/>
    <w:rsid w:val="AB7EE36C"/>
    <w:rsid w:val="ABABC9C9"/>
    <w:rsid w:val="ABC59816"/>
    <w:rsid w:val="ABD738D2"/>
    <w:rsid w:val="ABF55C9A"/>
    <w:rsid w:val="ABFBBA0D"/>
    <w:rsid w:val="ABFECFE3"/>
    <w:rsid w:val="AC79956A"/>
    <w:rsid w:val="AD2A075A"/>
    <w:rsid w:val="AD6F847A"/>
    <w:rsid w:val="ADEE4F51"/>
    <w:rsid w:val="ADF53C9F"/>
    <w:rsid w:val="ADF9AADC"/>
    <w:rsid w:val="ADFCBCF6"/>
    <w:rsid w:val="AE3FD296"/>
    <w:rsid w:val="AEED1B4A"/>
    <w:rsid w:val="AEF75136"/>
    <w:rsid w:val="AEF78A38"/>
    <w:rsid w:val="AEFCA4C2"/>
    <w:rsid w:val="AEFFC7EB"/>
    <w:rsid w:val="AF1AF4A0"/>
    <w:rsid w:val="AF3FDA6D"/>
    <w:rsid w:val="AF4D3F12"/>
    <w:rsid w:val="AF534F98"/>
    <w:rsid w:val="AF5FACB2"/>
    <w:rsid w:val="AF6E7F11"/>
    <w:rsid w:val="AF79DDD8"/>
    <w:rsid w:val="AFAAEF17"/>
    <w:rsid w:val="AFBD0CCB"/>
    <w:rsid w:val="AFBFCB60"/>
    <w:rsid w:val="AFD5177A"/>
    <w:rsid w:val="AFDCDAF4"/>
    <w:rsid w:val="AFDE388A"/>
    <w:rsid w:val="AFF51D8C"/>
    <w:rsid w:val="AFF628C4"/>
    <w:rsid w:val="AFF7AFE3"/>
    <w:rsid w:val="AFF9A6F7"/>
    <w:rsid w:val="AFFD8D77"/>
    <w:rsid w:val="AFFF2817"/>
    <w:rsid w:val="AFFF2B9D"/>
    <w:rsid w:val="AFFF42B8"/>
    <w:rsid w:val="AFFF4CB5"/>
    <w:rsid w:val="B1D7EBB5"/>
    <w:rsid w:val="B1FD317E"/>
    <w:rsid w:val="B1FFD7C0"/>
    <w:rsid w:val="B2BBBD40"/>
    <w:rsid w:val="B2DE84BA"/>
    <w:rsid w:val="B2DFF317"/>
    <w:rsid w:val="B2FEEB23"/>
    <w:rsid w:val="B3796E85"/>
    <w:rsid w:val="B38FDF97"/>
    <w:rsid w:val="B3B9B957"/>
    <w:rsid w:val="B3BAFB77"/>
    <w:rsid w:val="B3BB190B"/>
    <w:rsid w:val="B3DDB957"/>
    <w:rsid w:val="B3EC6A7A"/>
    <w:rsid w:val="B3EE3806"/>
    <w:rsid w:val="B3F705DB"/>
    <w:rsid w:val="B3F98DF5"/>
    <w:rsid w:val="B3FAB054"/>
    <w:rsid w:val="B3FD91C2"/>
    <w:rsid w:val="B3FE9C71"/>
    <w:rsid w:val="B4C80253"/>
    <w:rsid w:val="B51E1588"/>
    <w:rsid w:val="B53EFA23"/>
    <w:rsid w:val="B56C6E4E"/>
    <w:rsid w:val="B57F4E71"/>
    <w:rsid w:val="B57F52C2"/>
    <w:rsid w:val="B59D9E3B"/>
    <w:rsid w:val="B59E8C80"/>
    <w:rsid w:val="B59EDC16"/>
    <w:rsid w:val="B5D6B38C"/>
    <w:rsid w:val="B5EE8329"/>
    <w:rsid w:val="B5F706BE"/>
    <w:rsid w:val="B5F7E4FF"/>
    <w:rsid w:val="B5FCC583"/>
    <w:rsid w:val="B5FE2A35"/>
    <w:rsid w:val="B67B523B"/>
    <w:rsid w:val="B67FCBEF"/>
    <w:rsid w:val="B6AF3144"/>
    <w:rsid w:val="B6BB1ED2"/>
    <w:rsid w:val="B6BE6B02"/>
    <w:rsid w:val="B6C8A642"/>
    <w:rsid w:val="B6E52406"/>
    <w:rsid w:val="B6E7A2B1"/>
    <w:rsid w:val="B6EF1B60"/>
    <w:rsid w:val="B6F4418C"/>
    <w:rsid w:val="B6F49BF8"/>
    <w:rsid w:val="B6F73DF5"/>
    <w:rsid w:val="B6FD3BB8"/>
    <w:rsid w:val="B6FFD117"/>
    <w:rsid w:val="B73EAF30"/>
    <w:rsid w:val="B73F675E"/>
    <w:rsid w:val="B77FFD8B"/>
    <w:rsid w:val="B78E3CD2"/>
    <w:rsid w:val="B798C4F5"/>
    <w:rsid w:val="B79C84A9"/>
    <w:rsid w:val="B7BC94D5"/>
    <w:rsid w:val="B7C73812"/>
    <w:rsid w:val="B7CE8A2D"/>
    <w:rsid w:val="B7D6ECBC"/>
    <w:rsid w:val="B7D7F520"/>
    <w:rsid w:val="B7E66B5E"/>
    <w:rsid w:val="B7EF9FF3"/>
    <w:rsid w:val="B7FC7D8D"/>
    <w:rsid w:val="B7FF20CB"/>
    <w:rsid w:val="B7FFC49A"/>
    <w:rsid w:val="B7FFEC5B"/>
    <w:rsid w:val="B8ED4C4C"/>
    <w:rsid w:val="B92E8E61"/>
    <w:rsid w:val="B95BAE94"/>
    <w:rsid w:val="B95D9181"/>
    <w:rsid w:val="B97FB8F0"/>
    <w:rsid w:val="B9B778CE"/>
    <w:rsid w:val="B9DFD2E6"/>
    <w:rsid w:val="B9EA4184"/>
    <w:rsid w:val="B9F7105A"/>
    <w:rsid w:val="B9FB9B25"/>
    <w:rsid w:val="B9FF5E27"/>
    <w:rsid w:val="BAE32B0D"/>
    <w:rsid w:val="BAFD4EF3"/>
    <w:rsid w:val="BB2309D7"/>
    <w:rsid w:val="BB39D076"/>
    <w:rsid w:val="BB51B634"/>
    <w:rsid w:val="BB77E7E3"/>
    <w:rsid w:val="BB7F6280"/>
    <w:rsid w:val="BBAB53AE"/>
    <w:rsid w:val="BBAB58E4"/>
    <w:rsid w:val="BBAF4DFF"/>
    <w:rsid w:val="BBB7DBB8"/>
    <w:rsid w:val="BBBBAE8D"/>
    <w:rsid w:val="BBCE3990"/>
    <w:rsid w:val="BBD71006"/>
    <w:rsid w:val="BBDB7131"/>
    <w:rsid w:val="BBDFB1AD"/>
    <w:rsid w:val="BBEA274A"/>
    <w:rsid w:val="BBEC091E"/>
    <w:rsid w:val="BBEEE240"/>
    <w:rsid w:val="BBF127AF"/>
    <w:rsid w:val="BBFA5AC0"/>
    <w:rsid w:val="BBFBAE46"/>
    <w:rsid w:val="BBFDFE0E"/>
    <w:rsid w:val="BBFF59C4"/>
    <w:rsid w:val="BBFF6ECE"/>
    <w:rsid w:val="BBFF7790"/>
    <w:rsid w:val="BBFFD39F"/>
    <w:rsid w:val="BC5BCBDA"/>
    <w:rsid w:val="BC677A72"/>
    <w:rsid w:val="BC7BC86C"/>
    <w:rsid w:val="BC8FA565"/>
    <w:rsid w:val="BC9B9CAC"/>
    <w:rsid w:val="BCBFFF7C"/>
    <w:rsid w:val="BCD7C350"/>
    <w:rsid w:val="BCEF0C3C"/>
    <w:rsid w:val="BCF6E8CB"/>
    <w:rsid w:val="BD390115"/>
    <w:rsid w:val="BD5B75A3"/>
    <w:rsid w:val="BD718B90"/>
    <w:rsid w:val="BD76EA5D"/>
    <w:rsid w:val="BD93BAD2"/>
    <w:rsid w:val="BDAED368"/>
    <w:rsid w:val="BDAF6B30"/>
    <w:rsid w:val="BDB2EABE"/>
    <w:rsid w:val="BDBE537E"/>
    <w:rsid w:val="BDDFFDA0"/>
    <w:rsid w:val="BDE91371"/>
    <w:rsid w:val="BDEF78A9"/>
    <w:rsid w:val="BDEFB7A5"/>
    <w:rsid w:val="BDF74C76"/>
    <w:rsid w:val="BDF95176"/>
    <w:rsid w:val="BE3D4C41"/>
    <w:rsid w:val="BE453FFD"/>
    <w:rsid w:val="BE568129"/>
    <w:rsid w:val="BE65FB7D"/>
    <w:rsid w:val="BE778E5E"/>
    <w:rsid w:val="BE7B687D"/>
    <w:rsid w:val="BE7DAEE4"/>
    <w:rsid w:val="BE7E0B2F"/>
    <w:rsid w:val="BE7FB8C7"/>
    <w:rsid w:val="BEBF4DA9"/>
    <w:rsid w:val="BED384B4"/>
    <w:rsid w:val="BEDBD5C3"/>
    <w:rsid w:val="BEDF1A82"/>
    <w:rsid w:val="BEDFFB9D"/>
    <w:rsid w:val="BEEE2842"/>
    <w:rsid w:val="BEF7229E"/>
    <w:rsid w:val="BEF722D5"/>
    <w:rsid w:val="BEF7CEE2"/>
    <w:rsid w:val="BEFC571C"/>
    <w:rsid w:val="BEFD6E80"/>
    <w:rsid w:val="BEFEA4F5"/>
    <w:rsid w:val="BEFF8605"/>
    <w:rsid w:val="BF3F3FFD"/>
    <w:rsid w:val="BF4311C7"/>
    <w:rsid w:val="BF4ACE47"/>
    <w:rsid w:val="BF542C0C"/>
    <w:rsid w:val="BF5C0CC2"/>
    <w:rsid w:val="BF5D9BC0"/>
    <w:rsid w:val="BF67A80A"/>
    <w:rsid w:val="BF69C321"/>
    <w:rsid w:val="BF6DE4C5"/>
    <w:rsid w:val="BF75488C"/>
    <w:rsid w:val="BF762F6B"/>
    <w:rsid w:val="BF76DA2D"/>
    <w:rsid w:val="BF773F9D"/>
    <w:rsid w:val="BF790785"/>
    <w:rsid w:val="BF7A8AC8"/>
    <w:rsid w:val="BF7C0404"/>
    <w:rsid w:val="BF7E1F86"/>
    <w:rsid w:val="BF7E4750"/>
    <w:rsid w:val="BF7F409A"/>
    <w:rsid w:val="BF7FFCA0"/>
    <w:rsid w:val="BF9CC812"/>
    <w:rsid w:val="BF9EB368"/>
    <w:rsid w:val="BFAD4382"/>
    <w:rsid w:val="BFB2E99D"/>
    <w:rsid w:val="BFB5030C"/>
    <w:rsid w:val="BFB76E69"/>
    <w:rsid w:val="BFB7A96B"/>
    <w:rsid w:val="BFBD9762"/>
    <w:rsid w:val="BFBDE10F"/>
    <w:rsid w:val="BFBEE9B9"/>
    <w:rsid w:val="BFBF49AF"/>
    <w:rsid w:val="BFBF511C"/>
    <w:rsid w:val="BFBF7265"/>
    <w:rsid w:val="BFBFED70"/>
    <w:rsid w:val="BFBFF992"/>
    <w:rsid w:val="BFC7F484"/>
    <w:rsid w:val="BFCFACC3"/>
    <w:rsid w:val="BFCFECCD"/>
    <w:rsid w:val="BFD7FDCA"/>
    <w:rsid w:val="BFDC9640"/>
    <w:rsid w:val="BFDD6AD3"/>
    <w:rsid w:val="BFDF96D8"/>
    <w:rsid w:val="BFDFA56C"/>
    <w:rsid w:val="BFE3FB2A"/>
    <w:rsid w:val="BFEA8B31"/>
    <w:rsid w:val="BFEB0FAD"/>
    <w:rsid w:val="BFED2445"/>
    <w:rsid w:val="BFEE8251"/>
    <w:rsid w:val="BFEED39C"/>
    <w:rsid w:val="BFEEDE1D"/>
    <w:rsid w:val="BFF1DAD6"/>
    <w:rsid w:val="BFF24C07"/>
    <w:rsid w:val="BFF31F5E"/>
    <w:rsid w:val="BFF4B1A7"/>
    <w:rsid w:val="BFF50080"/>
    <w:rsid w:val="BFF66AB6"/>
    <w:rsid w:val="BFF6DA5D"/>
    <w:rsid w:val="BFF70EFB"/>
    <w:rsid w:val="BFF71E0A"/>
    <w:rsid w:val="BFF75886"/>
    <w:rsid w:val="BFF7BC9B"/>
    <w:rsid w:val="BFF9B9B5"/>
    <w:rsid w:val="BFFA10FC"/>
    <w:rsid w:val="BFFB1C8C"/>
    <w:rsid w:val="BFFB1FB6"/>
    <w:rsid w:val="BFFBA50E"/>
    <w:rsid w:val="BFFC0DE8"/>
    <w:rsid w:val="BFFD4CF2"/>
    <w:rsid w:val="BFFD5E55"/>
    <w:rsid w:val="BFFE3A2C"/>
    <w:rsid w:val="BFFE4EAC"/>
    <w:rsid w:val="BFFF69EC"/>
    <w:rsid w:val="BFFF8074"/>
    <w:rsid w:val="BFFFAB40"/>
    <w:rsid w:val="BFFFD95A"/>
    <w:rsid w:val="BFFFEEB0"/>
    <w:rsid w:val="BFFFF0A8"/>
    <w:rsid w:val="BFFFFBD9"/>
    <w:rsid w:val="C17F33DC"/>
    <w:rsid w:val="C27FEE6F"/>
    <w:rsid w:val="C37EA91E"/>
    <w:rsid w:val="C3878ED7"/>
    <w:rsid w:val="C3ADAE49"/>
    <w:rsid w:val="C3E3849B"/>
    <w:rsid w:val="C3FEE13A"/>
    <w:rsid w:val="C3FF1F86"/>
    <w:rsid w:val="C4A8FBDA"/>
    <w:rsid w:val="C4D5D71D"/>
    <w:rsid w:val="C4FE502A"/>
    <w:rsid w:val="C53E1E72"/>
    <w:rsid w:val="C57E9E26"/>
    <w:rsid w:val="C5FF9F15"/>
    <w:rsid w:val="C66B89A1"/>
    <w:rsid w:val="C67DF410"/>
    <w:rsid w:val="C6EF660C"/>
    <w:rsid w:val="C6EF810E"/>
    <w:rsid w:val="C6F4EAFD"/>
    <w:rsid w:val="C74B552E"/>
    <w:rsid w:val="C7EF83D5"/>
    <w:rsid w:val="C7FF02A9"/>
    <w:rsid w:val="C7FF9461"/>
    <w:rsid w:val="C8AE6ACE"/>
    <w:rsid w:val="C973887C"/>
    <w:rsid w:val="C97F68EF"/>
    <w:rsid w:val="CA6F154D"/>
    <w:rsid w:val="CAFB9269"/>
    <w:rsid w:val="CBBF1032"/>
    <w:rsid w:val="CBCF9FA7"/>
    <w:rsid w:val="CBDF2956"/>
    <w:rsid w:val="CBFEDC71"/>
    <w:rsid w:val="CC5EEDBE"/>
    <w:rsid w:val="CC7E70E8"/>
    <w:rsid w:val="CCBF26FA"/>
    <w:rsid w:val="CCFB5128"/>
    <w:rsid w:val="CD755FEC"/>
    <w:rsid w:val="CD821B64"/>
    <w:rsid w:val="CDAB4A83"/>
    <w:rsid w:val="CDBF5ED1"/>
    <w:rsid w:val="CDCF8B7B"/>
    <w:rsid w:val="CDF25932"/>
    <w:rsid w:val="CDFB705C"/>
    <w:rsid w:val="CDFDDAD8"/>
    <w:rsid w:val="CDFDF3AF"/>
    <w:rsid w:val="CDFDFC50"/>
    <w:rsid w:val="CDFF9953"/>
    <w:rsid w:val="CE94B7E8"/>
    <w:rsid w:val="CEBF2888"/>
    <w:rsid w:val="CEEBF630"/>
    <w:rsid w:val="CEFD62B6"/>
    <w:rsid w:val="CF27BC43"/>
    <w:rsid w:val="CF3D5949"/>
    <w:rsid w:val="CF79E7AB"/>
    <w:rsid w:val="CF8CAF6B"/>
    <w:rsid w:val="CFAFF12C"/>
    <w:rsid w:val="CFB3CEF9"/>
    <w:rsid w:val="CFB92CB1"/>
    <w:rsid w:val="CFBE5D57"/>
    <w:rsid w:val="CFBFB795"/>
    <w:rsid w:val="CFC6CF51"/>
    <w:rsid w:val="CFCB5FD3"/>
    <w:rsid w:val="CFCBD6A1"/>
    <w:rsid w:val="CFEBFA57"/>
    <w:rsid w:val="CFF32FAF"/>
    <w:rsid w:val="CFFA4B6C"/>
    <w:rsid w:val="CFFE93F3"/>
    <w:rsid w:val="CFFF46CC"/>
    <w:rsid w:val="D1BE899A"/>
    <w:rsid w:val="D2336627"/>
    <w:rsid w:val="D277CF58"/>
    <w:rsid w:val="D27DB1B0"/>
    <w:rsid w:val="D2DF5DC5"/>
    <w:rsid w:val="D33BCF68"/>
    <w:rsid w:val="D37A36D6"/>
    <w:rsid w:val="D37D20C1"/>
    <w:rsid w:val="D37F198F"/>
    <w:rsid w:val="D38652E5"/>
    <w:rsid w:val="D39F4D4E"/>
    <w:rsid w:val="D3B74CF5"/>
    <w:rsid w:val="D3DAA9E4"/>
    <w:rsid w:val="D3DDC055"/>
    <w:rsid w:val="D3EFF742"/>
    <w:rsid w:val="D3F8F72D"/>
    <w:rsid w:val="D3FD4FD6"/>
    <w:rsid w:val="D3FF42E1"/>
    <w:rsid w:val="D3FFB7EF"/>
    <w:rsid w:val="D4623D0A"/>
    <w:rsid w:val="D472AB51"/>
    <w:rsid w:val="D47F2862"/>
    <w:rsid w:val="D52FF3FA"/>
    <w:rsid w:val="D53B87F6"/>
    <w:rsid w:val="D63FC0BD"/>
    <w:rsid w:val="D67717AF"/>
    <w:rsid w:val="D6D7EB5F"/>
    <w:rsid w:val="D6FD101B"/>
    <w:rsid w:val="D6FD7BC7"/>
    <w:rsid w:val="D6FF7EDE"/>
    <w:rsid w:val="D72F517C"/>
    <w:rsid w:val="D76A88C6"/>
    <w:rsid w:val="D77DCECE"/>
    <w:rsid w:val="D77EA4FB"/>
    <w:rsid w:val="D79EE594"/>
    <w:rsid w:val="D7A97857"/>
    <w:rsid w:val="D7BBAEB6"/>
    <w:rsid w:val="D7BFBE51"/>
    <w:rsid w:val="D7D63829"/>
    <w:rsid w:val="D7D91963"/>
    <w:rsid w:val="D7DF1C9F"/>
    <w:rsid w:val="D7EBD965"/>
    <w:rsid w:val="D7EF6D82"/>
    <w:rsid w:val="D7F687E4"/>
    <w:rsid w:val="D7F74665"/>
    <w:rsid w:val="D7F75107"/>
    <w:rsid w:val="D7F9E5B8"/>
    <w:rsid w:val="D7FB6682"/>
    <w:rsid w:val="D7FC8009"/>
    <w:rsid w:val="D7FF61D3"/>
    <w:rsid w:val="D7FF806E"/>
    <w:rsid w:val="D8FF1B9A"/>
    <w:rsid w:val="D8FF3450"/>
    <w:rsid w:val="D97E70D6"/>
    <w:rsid w:val="D9BBBBF0"/>
    <w:rsid w:val="D9DF6176"/>
    <w:rsid w:val="D9EF44B2"/>
    <w:rsid w:val="D9FF4C18"/>
    <w:rsid w:val="D9FF7172"/>
    <w:rsid w:val="D9FFB7FF"/>
    <w:rsid w:val="DA15305A"/>
    <w:rsid w:val="DA576BD7"/>
    <w:rsid w:val="DA9FB356"/>
    <w:rsid w:val="DAE23C94"/>
    <w:rsid w:val="DAFBC2DB"/>
    <w:rsid w:val="DAFE2367"/>
    <w:rsid w:val="DAFF4F17"/>
    <w:rsid w:val="DB1B16EA"/>
    <w:rsid w:val="DB3D0BCB"/>
    <w:rsid w:val="DB3FF270"/>
    <w:rsid w:val="DB514EDB"/>
    <w:rsid w:val="DB7B809B"/>
    <w:rsid w:val="DB7DCCC5"/>
    <w:rsid w:val="DB7FF10D"/>
    <w:rsid w:val="DBAF8345"/>
    <w:rsid w:val="DBCEF2CD"/>
    <w:rsid w:val="DBDD0F80"/>
    <w:rsid w:val="DBDFF0F8"/>
    <w:rsid w:val="DBEB6844"/>
    <w:rsid w:val="DBF578FA"/>
    <w:rsid w:val="DBF77F90"/>
    <w:rsid w:val="DBF78C43"/>
    <w:rsid w:val="DBFBA2CE"/>
    <w:rsid w:val="DBFDFCEA"/>
    <w:rsid w:val="DBFF2009"/>
    <w:rsid w:val="DBFFFCD3"/>
    <w:rsid w:val="DC7C6844"/>
    <w:rsid w:val="DCAFB0FC"/>
    <w:rsid w:val="DCBE3D47"/>
    <w:rsid w:val="DCC7D6AA"/>
    <w:rsid w:val="DCDC7F48"/>
    <w:rsid w:val="DCFE6AAC"/>
    <w:rsid w:val="DCFFD51D"/>
    <w:rsid w:val="DD136101"/>
    <w:rsid w:val="DD15E431"/>
    <w:rsid w:val="DD3DD73B"/>
    <w:rsid w:val="DD4FC9DE"/>
    <w:rsid w:val="DD733A4C"/>
    <w:rsid w:val="DD9D568D"/>
    <w:rsid w:val="DDAB0141"/>
    <w:rsid w:val="DDAF5E0C"/>
    <w:rsid w:val="DDB38515"/>
    <w:rsid w:val="DDB72CFD"/>
    <w:rsid w:val="DDB804E9"/>
    <w:rsid w:val="DDBDD191"/>
    <w:rsid w:val="DDBF0020"/>
    <w:rsid w:val="DDBF3386"/>
    <w:rsid w:val="DDBFD0E8"/>
    <w:rsid w:val="DDDC4D86"/>
    <w:rsid w:val="DDDD6DBE"/>
    <w:rsid w:val="DDDF4025"/>
    <w:rsid w:val="DDDF42C7"/>
    <w:rsid w:val="DDEF6B5C"/>
    <w:rsid w:val="DDF54CD5"/>
    <w:rsid w:val="DDF76582"/>
    <w:rsid w:val="DDF77712"/>
    <w:rsid w:val="DDF79B41"/>
    <w:rsid w:val="DDF79F16"/>
    <w:rsid w:val="DDFAD851"/>
    <w:rsid w:val="DDFB5D8A"/>
    <w:rsid w:val="DDFC2EB5"/>
    <w:rsid w:val="DDFD21AD"/>
    <w:rsid w:val="DDFF2586"/>
    <w:rsid w:val="DDFF7622"/>
    <w:rsid w:val="DDFF9F15"/>
    <w:rsid w:val="DE1F471C"/>
    <w:rsid w:val="DE56E5B5"/>
    <w:rsid w:val="DE77731F"/>
    <w:rsid w:val="DE7B4029"/>
    <w:rsid w:val="DEAC8FBF"/>
    <w:rsid w:val="DEB16FC9"/>
    <w:rsid w:val="DEB2F00E"/>
    <w:rsid w:val="DEC71892"/>
    <w:rsid w:val="DEDB7DD5"/>
    <w:rsid w:val="DEDD3F09"/>
    <w:rsid w:val="DEE71046"/>
    <w:rsid w:val="DEE7E49A"/>
    <w:rsid w:val="DEE8345A"/>
    <w:rsid w:val="DEF6C0AC"/>
    <w:rsid w:val="DEF86513"/>
    <w:rsid w:val="DEF8D55C"/>
    <w:rsid w:val="DEFB0D41"/>
    <w:rsid w:val="DEFBC283"/>
    <w:rsid w:val="DEFDFDBC"/>
    <w:rsid w:val="DEFFA556"/>
    <w:rsid w:val="DEFFD58C"/>
    <w:rsid w:val="DF0FC31D"/>
    <w:rsid w:val="DF1B759D"/>
    <w:rsid w:val="DF368EDE"/>
    <w:rsid w:val="DF3F27A7"/>
    <w:rsid w:val="DF5BA581"/>
    <w:rsid w:val="DF5D614A"/>
    <w:rsid w:val="DF5D713E"/>
    <w:rsid w:val="DF62D580"/>
    <w:rsid w:val="DF676322"/>
    <w:rsid w:val="DF6DE6EB"/>
    <w:rsid w:val="DF6FEF80"/>
    <w:rsid w:val="DF769D65"/>
    <w:rsid w:val="DF799748"/>
    <w:rsid w:val="DF7A0F48"/>
    <w:rsid w:val="DF7C04B3"/>
    <w:rsid w:val="DF7F59A2"/>
    <w:rsid w:val="DF9472FA"/>
    <w:rsid w:val="DF967756"/>
    <w:rsid w:val="DF9E6F11"/>
    <w:rsid w:val="DF9FB16D"/>
    <w:rsid w:val="DFADD118"/>
    <w:rsid w:val="DFAFB0CC"/>
    <w:rsid w:val="DFB35A89"/>
    <w:rsid w:val="DFB7318D"/>
    <w:rsid w:val="DFB7D4E4"/>
    <w:rsid w:val="DFBC6C90"/>
    <w:rsid w:val="DFBC9748"/>
    <w:rsid w:val="DFBD689F"/>
    <w:rsid w:val="DFBDBB0C"/>
    <w:rsid w:val="DFBDCD71"/>
    <w:rsid w:val="DFBF5BCD"/>
    <w:rsid w:val="DFBFE583"/>
    <w:rsid w:val="DFCC35E8"/>
    <w:rsid w:val="DFCE53AA"/>
    <w:rsid w:val="DFD52F64"/>
    <w:rsid w:val="DFD5E779"/>
    <w:rsid w:val="DFDC0AA4"/>
    <w:rsid w:val="DFDDA4BD"/>
    <w:rsid w:val="DFDDEBDF"/>
    <w:rsid w:val="DFDF29AC"/>
    <w:rsid w:val="DFE72E24"/>
    <w:rsid w:val="DFE98653"/>
    <w:rsid w:val="DFE9D841"/>
    <w:rsid w:val="DFEB6393"/>
    <w:rsid w:val="DFEFE756"/>
    <w:rsid w:val="DFEFFB4B"/>
    <w:rsid w:val="DFF23D6C"/>
    <w:rsid w:val="DFF39099"/>
    <w:rsid w:val="DFF534DF"/>
    <w:rsid w:val="DFF5C00A"/>
    <w:rsid w:val="DFF5DF68"/>
    <w:rsid w:val="DFF6C207"/>
    <w:rsid w:val="DFF736B8"/>
    <w:rsid w:val="DFF7C3F7"/>
    <w:rsid w:val="DFF7CD75"/>
    <w:rsid w:val="DFF7EC39"/>
    <w:rsid w:val="DFF9DB8B"/>
    <w:rsid w:val="DFFB480F"/>
    <w:rsid w:val="DFFB8F3F"/>
    <w:rsid w:val="DFFBC6CF"/>
    <w:rsid w:val="DFFD47DC"/>
    <w:rsid w:val="DFFE0164"/>
    <w:rsid w:val="DFFEDAAE"/>
    <w:rsid w:val="DFFEDB20"/>
    <w:rsid w:val="DFFEDF8B"/>
    <w:rsid w:val="DFFEE3BF"/>
    <w:rsid w:val="DFFF27C3"/>
    <w:rsid w:val="DFFF6D83"/>
    <w:rsid w:val="DFFFC8FB"/>
    <w:rsid w:val="DFFFF849"/>
    <w:rsid w:val="E1ED9EE5"/>
    <w:rsid w:val="E1FFC492"/>
    <w:rsid w:val="E266309C"/>
    <w:rsid w:val="E2FEB6B9"/>
    <w:rsid w:val="E34FC2F0"/>
    <w:rsid w:val="E3D6BBC7"/>
    <w:rsid w:val="E3D727D4"/>
    <w:rsid w:val="E3DBF1A5"/>
    <w:rsid w:val="E3E715C7"/>
    <w:rsid w:val="E3EACC76"/>
    <w:rsid w:val="E3EBFD66"/>
    <w:rsid w:val="E4BFAA75"/>
    <w:rsid w:val="E4FF1FA3"/>
    <w:rsid w:val="E4FFE8AE"/>
    <w:rsid w:val="E53B4A7D"/>
    <w:rsid w:val="E57B6BA9"/>
    <w:rsid w:val="E57DD9E0"/>
    <w:rsid w:val="E59DB48C"/>
    <w:rsid w:val="E5CF8EB2"/>
    <w:rsid w:val="E5CFB4BD"/>
    <w:rsid w:val="E5DBAB60"/>
    <w:rsid w:val="E5DBD466"/>
    <w:rsid w:val="E5E3F7D9"/>
    <w:rsid w:val="E5EFF4AC"/>
    <w:rsid w:val="E5FA0415"/>
    <w:rsid w:val="E5FEAE85"/>
    <w:rsid w:val="E5FF2059"/>
    <w:rsid w:val="E5FFD8A3"/>
    <w:rsid w:val="E6050C4B"/>
    <w:rsid w:val="E66A4AE8"/>
    <w:rsid w:val="E677EB9D"/>
    <w:rsid w:val="E6AEE93E"/>
    <w:rsid w:val="E6BEBE8C"/>
    <w:rsid w:val="E6C73039"/>
    <w:rsid w:val="E6CE4BB1"/>
    <w:rsid w:val="E6CEE904"/>
    <w:rsid w:val="E6F7141B"/>
    <w:rsid w:val="E6FD6F64"/>
    <w:rsid w:val="E723AAD8"/>
    <w:rsid w:val="E75D3644"/>
    <w:rsid w:val="E75E8A7D"/>
    <w:rsid w:val="E75F459B"/>
    <w:rsid w:val="E75F6631"/>
    <w:rsid w:val="E77ABE58"/>
    <w:rsid w:val="E77B790D"/>
    <w:rsid w:val="E77F2CE4"/>
    <w:rsid w:val="E77F3DC5"/>
    <w:rsid w:val="E77F5909"/>
    <w:rsid w:val="E7AC3316"/>
    <w:rsid w:val="E7CBA832"/>
    <w:rsid w:val="E7CFB0C8"/>
    <w:rsid w:val="E7DBA579"/>
    <w:rsid w:val="E7DEDB2D"/>
    <w:rsid w:val="E7DF7B75"/>
    <w:rsid w:val="E7DFF0E7"/>
    <w:rsid w:val="E7EAACAA"/>
    <w:rsid w:val="E7F7B6EC"/>
    <w:rsid w:val="E7FBF9FC"/>
    <w:rsid w:val="E7FE38E3"/>
    <w:rsid w:val="E7FFBFA0"/>
    <w:rsid w:val="E8B7083A"/>
    <w:rsid w:val="E8C3470F"/>
    <w:rsid w:val="E8F9FE0F"/>
    <w:rsid w:val="E93424A1"/>
    <w:rsid w:val="E98D7F9F"/>
    <w:rsid w:val="E99E6F21"/>
    <w:rsid w:val="E9BE1EB9"/>
    <w:rsid w:val="E9BF5A0E"/>
    <w:rsid w:val="E9C05D30"/>
    <w:rsid w:val="E9C7E124"/>
    <w:rsid w:val="E9D13979"/>
    <w:rsid w:val="E9FF04A2"/>
    <w:rsid w:val="EA37494B"/>
    <w:rsid w:val="EA9A172D"/>
    <w:rsid w:val="EAB7293E"/>
    <w:rsid w:val="EABC0FEF"/>
    <w:rsid w:val="EADFE183"/>
    <w:rsid w:val="EAEF2691"/>
    <w:rsid w:val="EAF3D21B"/>
    <w:rsid w:val="EAF3DB3F"/>
    <w:rsid w:val="EAF774BC"/>
    <w:rsid w:val="EB490F8F"/>
    <w:rsid w:val="EB5F28D6"/>
    <w:rsid w:val="EB64B45F"/>
    <w:rsid w:val="EB6B1ED9"/>
    <w:rsid w:val="EB6ED9DD"/>
    <w:rsid w:val="EB73E4CB"/>
    <w:rsid w:val="EB7642CE"/>
    <w:rsid w:val="EB7FA038"/>
    <w:rsid w:val="EB9F4AE7"/>
    <w:rsid w:val="EBAF5090"/>
    <w:rsid w:val="EBAF9ABB"/>
    <w:rsid w:val="EBB7603C"/>
    <w:rsid w:val="EBBE32CC"/>
    <w:rsid w:val="EBBFF95E"/>
    <w:rsid w:val="EBCDE08E"/>
    <w:rsid w:val="EBD048D5"/>
    <w:rsid w:val="EBDEA256"/>
    <w:rsid w:val="EBDF5779"/>
    <w:rsid w:val="EBE1C2BD"/>
    <w:rsid w:val="EBE73857"/>
    <w:rsid w:val="EBEE5079"/>
    <w:rsid w:val="EBFB20B2"/>
    <w:rsid w:val="EBFE24C2"/>
    <w:rsid w:val="EBFF3DE8"/>
    <w:rsid w:val="EBFF436A"/>
    <w:rsid w:val="EC67E713"/>
    <w:rsid w:val="ECBF11E1"/>
    <w:rsid w:val="ECD4A90B"/>
    <w:rsid w:val="ECDDE44C"/>
    <w:rsid w:val="ECDF4857"/>
    <w:rsid w:val="ECEED660"/>
    <w:rsid w:val="ECF3D98C"/>
    <w:rsid w:val="ECF666FD"/>
    <w:rsid w:val="ED43A049"/>
    <w:rsid w:val="ED4F8239"/>
    <w:rsid w:val="ED73A2C8"/>
    <w:rsid w:val="ED7A58C3"/>
    <w:rsid w:val="ED7F240A"/>
    <w:rsid w:val="ED7F47CA"/>
    <w:rsid w:val="ED8B25D7"/>
    <w:rsid w:val="EDA5B122"/>
    <w:rsid w:val="EDA90634"/>
    <w:rsid w:val="EDAD7445"/>
    <w:rsid w:val="EDADE3C1"/>
    <w:rsid w:val="EDBF9B62"/>
    <w:rsid w:val="EDCB0CFA"/>
    <w:rsid w:val="EDD1BDBF"/>
    <w:rsid w:val="EDDD28D3"/>
    <w:rsid w:val="EDDD41BA"/>
    <w:rsid w:val="EDDDACD2"/>
    <w:rsid w:val="EDDF5E3C"/>
    <w:rsid w:val="EDDF8B78"/>
    <w:rsid w:val="EDE5246B"/>
    <w:rsid w:val="EDF17AFA"/>
    <w:rsid w:val="EDF5BFE9"/>
    <w:rsid w:val="EDFB81A4"/>
    <w:rsid w:val="EDFBFE12"/>
    <w:rsid w:val="EDFE42A9"/>
    <w:rsid w:val="EDFF2132"/>
    <w:rsid w:val="EDFF7D55"/>
    <w:rsid w:val="EDFF9C1B"/>
    <w:rsid w:val="EDFFAA71"/>
    <w:rsid w:val="EDFFEF3B"/>
    <w:rsid w:val="EE3BFB46"/>
    <w:rsid w:val="EE66A7D8"/>
    <w:rsid w:val="EE7B399F"/>
    <w:rsid w:val="EE7BD05C"/>
    <w:rsid w:val="EE7F8A6D"/>
    <w:rsid w:val="EEA5D4FA"/>
    <w:rsid w:val="EEBCD353"/>
    <w:rsid w:val="EECA6E42"/>
    <w:rsid w:val="EEEF6AC4"/>
    <w:rsid w:val="EEF524C0"/>
    <w:rsid w:val="EEF73F75"/>
    <w:rsid w:val="EEF8BA15"/>
    <w:rsid w:val="EEF974AF"/>
    <w:rsid w:val="EEFB9FFE"/>
    <w:rsid w:val="EEFBB544"/>
    <w:rsid w:val="EEFBD320"/>
    <w:rsid w:val="EEFCCA47"/>
    <w:rsid w:val="EEFD6B85"/>
    <w:rsid w:val="EEFECD0F"/>
    <w:rsid w:val="EEFF0447"/>
    <w:rsid w:val="EF0F1D5B"/>
    <w:rsid w:val="EF1FB5D2"/>
    <w:rsid w:val="EF47FF87"/>
    <w:rsid w:val="EF4BB907"/>
    <w:rsid w:val="EF4FE8EB"/>
    <w:rsid w:val="EF5F2EE9"/>
    <w:rsid w:val="EF65C52F"/>
    <w:rsid w:val="EF6DBD20"/>
    <w:rsid w:val="EF729A33"/>
    <w:rsid w:val="EF731016"/>
    <w:rsid w:val="EF7F0F39"/>
    <w:rsid w:val="EF7F1DD3"/>
    <w:rsid w:val="EF7F2127"/>
    <w:rsid w:val="EF7FD9E3"/>
    <w:rsid w:val="EF7FEAB6"/>
    <w:rsid w:val="EF8E05AF"/>
    <w:rsid w:val="EF99BC7E"/>
    <w:rsid w:val="EF9B2D2B"/>
    <w:rsid w:val="EF9EDEA8"/>
    <w:rsid w:val="EF9F6EE4"/>
    <w:rsid w:val="EFA73242"/>
    <w:rsid w:val="EFADE64B"/>
    <w:rsid w:val="EFAFD5E4"/>
    <w:rsid w:val="EFB78E5B"/>
    <w:rsid w:val="EFB8DD73"/>
    <w:rsid w:val="EFBE57A4"/>
    <w:rsid w:val="EFBF655C"/>
    <w:rsid w:val="EFBFAA86"/>
    <w:rsid w:val="EFBFB544"/>
    <w:rsid w:val="EFCDB8CD"/>
    <w:rsid w:val="EFCF9D90"/>
    <w:rsid w:val="EFD6B63C"/>
    <w:rsid w:val="EFDBF7A7"/>
    <w:rsid w:val="EFDD8D2D"/>
    <w:rsid w:val="EFDDDD51"/>
    <w:rsid w:val="EFDF487E"/>
    <w:rsid w:val="EFDF9CF0"/>
    <w:rsid w:val="EFDFAD1E"/>
    <w:rsid w:val="EFE12880"/>
    <w:rsid w:val="EFE3601C"/>
    <w:rsid w:val="EFE93AA8"/>
    <w:rsid w:val="EFF27587"/>
    <w:rsid w:val="EFF68DDF"/>
    <w:rsid w:val="EFF7351B"/>
    <w:rsid w:val="EFF79C2F"/>
    <w:rsid w:val="EFF7EAC6"/>
    <w:rsid w:val="EFF92BAF"/>
    <w:rsid w:val="EFFA62C7"/>
    <w:rsid w:val="EFFBAF41"/>
    <w:rsid w:val="EFFBF0E5"/>
    <w:rsid w:val="EFFBF37E"/>
    <w:rsid w:val="EFFCB1F9"/>
    <w:rsid w:val="EFFCDC54"/>
    <w:rsid w:val="EFFDF1AF"/>
    <w:rsid w:val="EFFE0921"/>
    <w:rsid w:val="EFFE2D41"/>
    <w:rsid w:val="EFFE4E1E"/>
    <w:rsid w:val="EFFED38E"/>
    <w:rsid w:val="EFFEF8CB"/>
    <w:rsid w:val="EFFF0219"/>
    <w:rsid w:val="EFFF5551"/>
    <w:rsid w:val="EFFF7A29"/>
    <w:rsid w:val="EFFFB3C8"/>
    <w:rsid w:val="EFFFCFE2"/>
    <w:rsid w:val="EFFFE05F"/>
    <w:rsid w:val="EFFFEC89"/>
    <w:rsid w:val="F0CE9CEE"/>
    <w:rsid w:val="F0FF9831"/>
    <w:rsid w:val="F0FFBE19"/>
    <w:rsid w:val="F16FF29E"/>
    <w:rsid w:val="F1729934"/>
    <w:rsid w:val="F17F784D"/>
    <w:rsid w:val="F1B7701B"/>
    <w:rsid w:val="F1BF7EE9"/>
    <w:rsid w:val="F1E62575"/>
    <w:rsid w:val="F1F697A0"/>
    <w:rsid w:val="F1FC0BC4"/>
    <w:rsid w:val="F1FF1B01"/>
    <w:rsid w:val="F1FFAB30"/>
    <w:rsid w:val="F2460966"/>
    <w:rsid w:val="F2750DED"/>
    <w:rsid w:val="F27F9021"/>
    <w:rsid w:val="F2874FE4"/>
    <w:rsid w:val="F2DF806A"/>
    <w:rsid w:val="F2EFCF0B"/>
    <w:rsid w:val="F2FB3E46"/>
    <w:rsid w:val="F2FECE9E"/>
    <w:rsid w:val="F31E3F7D"/>
    <w:rsid w:val="F33FD682"/>
    <w:rsid w:val="F36BDA36"/>
    <w:rsid w:val="F36BE451"/>
    <w:rsid w:val="F36CE821"/>
    <w:rsid w:val="F38E31A0"/>
    <w:rsid w:val="F39F01FE"/>
    <w:rsid w:val="F3B76DA1"/>
    <w:rsid w:val="F3CFEF4A"/>
    <w:rsid w:val="F3D7D481"/>
    <w:rsid w:val="F3DB7A56"/>
    <w:rsid w:val="F3E7BEBC"/>
    <w:rsid w:val="F3EE4243"/>
    <w:rsid w:val="F3F59746"/>
    <w:rsid w:val="F3F7E7E0"/>
    <w:rsid w:val="F3F98B64"/>
    <w:rsid w:val="F3FA52ED"/>
    <w:rsid w:val="F3FA9F6E"/>
    <w:rsid w:val="F3FBF04E"/>
    <w:rsid w:val="F3FEA69D"/>
    <w:rsid w:val="F45E0566"/>
    <w:rsid w:val="F4AFFB81"/>
    <w:rsid w:val="F4BB81DA"/>
    <w:rsid w:val="F4EADE34"/>
    <w:rsid w:val="F4F02916"/>
    <w:rsid w:val="F513E6E0"/>
    <w:rsid w:val="F56DBD7D"/>
    <w:rsid w:val="F576A97E"/>
    <w:rsid w:val="F5773DC2"/>
    <w:rsid w:val="F579D368"/>
    <w:rsid w:val="F5CBE06B"/>
    <w:rsid w:val="F5DF0C76"/>
    <w:rsid w:val="F5E51C66"/>
    <w:rsid w:val="F5E71DF8"/>
    <w:rsid w:val="F5EBB14C"/>
    <w:rsid w:val="F5EE157F"/>
    <w:rsid w:val="F5FA2273"/>
    <w:rsid w:val="F5FD5938"/>
    <w:rsid w:val="F5FDFE69"/>
    <w:rsid w:val="F5FE57CB"/>
    <w:rsid w:val="F5FE96C4"/>
    <w:rsid w:val="F5FF3067"/>
    <w:rsid w:val="F5FF8AB2"/>
    <w:rsid w:val="F6051281"/>
    <w:rsid w:val="F61BACB0"/>
    <w:rsid w:val="F61DEF13"/>
    <w:rsid w:val="F65FC231"/>
    <w:rsid w:val="F677082F"/>
    <w:rsid w:val="F67BE340"/>
    <w:rsid w:val="F67E26F9"/>
    <w:rsid w:val="F67FA0F2"/>
    <w:rsid w:val="F695A103"/>
    <w:rsid w:val="F6AF100E"/>
    <w:rsid w:val="F6BB4DFA"/>
    <w:rsid w:val="F6BCB538"/>
    <w:rsid w:val="F6D7CC09"/>
    <w:rsid w:val="F6DABF0F"/>
    <w:rsid w:val="F6DAE45A"/>
    <w:rsid w:val="F6DDC80F"/>
    <w:rsid w:val="F6ED4C20"/>
    <w:rsid w:val="F6EF1FE4"/>
    <w:rsid w:val="F6F6F5DC"/>
    <w:rsid w:val="F6FB25A0"/>
    <w:rsid w:val="F6FE638B"/>
    <w:rsid w:val="F6FFAA17"/>
    <w:rsid w:val="F6FFB560"/>
    <w:rsid w:val="F6FFD114"/>
    <w:rsid w:val="F70FF92D"/>
    <w:rsid w:val="F710B998"/>
    <w:rsid w:val="F72FA855"/>
    <w:rsid w:val="F73E38E9"/>
    <w:rsid w:val="F757495B"/>
    <w:rsid w:val="F7598CFE"/>
    <w:rsid w:val="F75BBB73"/>
    <w:rsid w:val="F75FC183"/>
    <w:rsid w:val="F75FD1B5"/>
    <w:rsid w:val="F76F507D"/>
    <w:rsid w:val="F7746D86"/>
    <w:rsid w:val="F776F724"/>
    <w:rsid w:val="F777132A"/>
    <w:rsid w:val="F77B0ACC"/>
    <w:rsid w:val="F77D2E18"/>
    <w:rsid w:val="F77F74D2"/>
    <w:rsid w:val="F79EF6C0"/>
    <w:rsid w:val="F79F00D1"/>
    <w:rsid w:val="F79F9554"/>
    <w:rsid w:val="F7ADB83C"/>
    <w:rsid w:val="F7B7D4A4"/>
    <w:rsid w:val="F7BF47A6"/>
    <w:rsid w:val="F7BF64F4"/>
    <w:rsid w:val="F7BFDE7C"/>
    <w:rsid w:val="F7BFFBFA"/>
    <w:rsid w:val="F7C3218E"/>
    <w:rsid w:val="F7CF1451"/>
    <w:rsid w:val="F7D6365A"/>
    <w:rsid w:val="F7D93B3A"/>
    <w:rsid w:val="F7DBD96B"/>
    <w:rsid w:val="F7DE1FEE"/>
    <w:rsid w:val="F7DE5955"/>
    <w:rsid w:val="F7DF0EBD"/>
    <w:rsid w:val="F7DFBE4C"/>
    <w:rsid w:val="F7E515B3"/>
    <w:rsid w:val="F7E6767B"/>
    <w:rsid w:val="F7E6B4F8"/>
    <w:rsid w:val="F7E74DD3"/>
    <w:rsid w:val="F7E7BB34"/>
    <w:rsid w:val="F7EB07AF"/>
    <w:rsid w:val="F7EBC00E"/>
    <w:rsid w:val="F7EDD0C0"/>
    <w:rsid w:val="F7EE9174"/>
    <w:rsid w:val="F7F3C585"/>
    <w:rsid w:val="F7F3F0A8"/>
    <w:rsid w:val="F7F5B633"/>
    <w:rsid w:val="F7F5BF31"/>
    <w:rsid w:val="F7F5C404"/>
    <w:rsid w:val="F7F5E5A4"/>
    <w:rsid w:val="F7F6CBB2"/>
    <w:rsid w:val="F7F6D248"/>
    <w:rsid w:val="F7F7020E"/>
    <w:rsid w:val="F7F71A2B"/>
    <w:rsid w:val="F7F773D9"/>
    <w:rsid w:val="F7F9D658"/>
    <w:rsid w:val="F7F9E7ED"/>
    <w:rsid w:val="F7FADE35"/>
    <w:rsid w:val="F7FB5DE6"/>
    <w:rsid w:val="F7FBD783"/>
    <w:rsid w:val="F7FCD830"/>
    <w:rsid w:val="F7FD452E"/>
    <w:rsid w:val="F7FD6B9C"/>
    <w:rsid w:val="F7FDD567"/>
    <w:rsid w:val="F7FE253B"/>
    <w:rsid w:val="F7FE54ED"/>
    <w:rsid w:val="F7FE9C07"/>
    <w:rsid w:val="F7FEC6EE"/>
    <w:rsid w:val="F7FF4E21"/>
    <w:rsid w:val="F7FF6A4D"/>
    <w:rsid w:val="F7FFA8BD"/>
    <w:rsid w:val="F7FFD2B6"/>
    <w:rsid w:val="F7FFE5A0"/>
    <w:rsid w:val="F7FFF988"/>
    <w:rsid w:val="F7FFFDAB"/>
    <w:rsid w:val="F8397B0D"/>
    <w:rsid w:val="F87F9438"/>
    <w:rsid w:val="F8CFBF20"/>
    <w:rsid w:val="F8D0CD16"/>
    <w:rsid w:val="F8DEE0C5"/>
    <w:rsid w:val="F8EB8927"/>
    <w:rsid w:val="F8FB4129"/>
    <w:rsid w:val="F8FF17B1"/>
    <w:rsid w:val="F8FF1EAB"/>
    <w:rsid w:val="F8FF9CA9"/>
    <w:rsid w:val="F93F222F"/>
    <w:rsid w:val="F97340EE"/>
    <w:rsid w:val="F97D2A90"/>
    <w:rsid w:val="F97F0EF4"/>
    <w:rsid w:val="F97F633E"/>
    <w:rsid w:val="F9BC83D9"/>
    <w:rsid w:val="F9D32076"/>
    <w:rsid w:val="F9DD854F"/>
    <w:rsid w:val="F9E74249"/>
    <w:rsid w:val="F9EC27E4"/>
    <w:rsid w:val="F9EE4DA0"/>
    <w:rsid w:val="F9EF0A32"/>
    <w:rsid w:val="F9F45EA0"/>
    <w:rsid w:val="F9F54F78"/>
    <w:rsid w:val="F9F78E37"/>
    <w:rsid w:val="F9FA8265"/>
    <w:rsid w:val="F9FF5D3A"/>
    <w:rsid w:val="F9FFABB3"/>
    <w:rsid w:val="FA2B2B6E"/>
    <w:rsid w:val="FA6F4177"/>
    <w:rsid w:val="FA758AE9"/>
    <w:rsid w:val="FA7C4CEB"/>
    <w:rsid w:val="FA9F2B85"/>
    <w:rsid w:val="FAA767A9"/>
    <w:rsid w:val="FAAEAD4F"/>
    <w:rsid w:val="FAB751A8"/>
    <w:rsid w:val="FABADFAA"/>
    <w:rsid w:val="FABE0DB7"/>
    <w:rsid w:val="FABF841F"/>
    <w:rsid w:val="FAD30E49"/>
    <w:rsid w:val="FAD9AD79"/>
    <w:rsid w:val="FADD3678"/>
    <w:rsid w:val="FAE93198"/>
    <w:rsid w:val="FAF705A3"/>
    <w:rsid w:val="FAFCE248"/>
    <w:rsid w:val="FAFD3C3D"/>
    <w:rsid w:val="FAFE51A2"/>
    <w:rsid w:val="FAFF1D03"/>
    <w:rsid w:val="FAFF5B09"/>
    <w:rsid w:val="FAFFA8D1"/>
    <w:rsid w:val="FAFFFEC8"/>
    <w:rsid w:val="FB1BAFB6"/>
    <w:rsid w:val="FB253A62"/>
    <w:rsid w:val="FB2D6D07"/>
    <w:rsid w:val="FB3643C9"/>
    <w:rsid w:val="FB37036D"/>
    <w:rsid w:val="FB37CE2A"/>
    <w:rsid w:val="FB3D313E"/>
    <w:rsid w:val="FB57F166"/>
    <w:rsid w:val="FB5EF647"/>
    <w:rsid w:val="FB6E46E0"/>
    <w:rsid w:val="FB7E4788"/>
    <w:rsid w:val="FB7F39F1"/>
    <w:rsid w:val="FB7F90E6"/>
    <w:rsid w:val="FB963442"/>
    <w:rsid w:val="FB966B6B"/>
    <w:rsid w:val="FB99A3CE"/>
    <w:rsid w:val="FB9F4BE8"/>
    <w:rsid w:val="FBB7E6D4"/>
    <w:rsid w:val="FBBB72D8"/>
    <w:rsid w:val="FBBCB373"/>
    <w:rsid w:val="FBBD4780"/>
    <w:rsid w:val="FBBDF049"/>
    <w:rsid w:val="FBBEEB99"/>
    <w:rsid w:val="FBBFBFE9"/>
    <w:rsid w:val="FBBFCC80"/>
    <w:rsid w:val="FBD10126"/>
    <w:rsid w:val="FBD7EFBF"/>
    <w:rsid w:val="FBDC5FF1"/>
    <w:rsid w:val="FBDD00F2"/>
    <w:rsid w:val="FBDD0CF1"/>
    <w:rsid w:val="FBDD4804"/>
    <w:rsid w:val="FBDE125E"/>
    <w:rsid w:val="FBEE002C"/>
    <w:rsid w:val="FBEEC459"/>
    <w:rsid w:val="FBEEEC5D"/>
    <w:rsid w:val="FBEF28BD"/>
    <w:rsid w:val="FBEF5AEF"/>
    <w:rsid w:val="FBF1E0DA"/>
    <w:rsid w:val="FBF3836D"/>
    <w:rsid w:val="FBF3E608"/>
    <w:rsid w:val="FBF5CDA9"/>
    <w:rsid w:val="FBF7794F"/>
    <w:rsid w:val="FBF7E0B9"/>
    <w:rsid w:val="FBFA0D73"/>
    <w:rsid w:val="FBFBBF05"/>
    <w:rsid w:val="FBFBFE5E"/>
    <w:rsid w:val="FBFD7BC7"/>
    <w:rsid w:val="FBFD9D80"/>
    <w:rsid w:val="FBFE783E"/>
    <w:rsid w:val="FBFE9F2E"/>
    <w:rsid w:val="FBFF24B4"/>
    <w:rsid w:val="FBFF3F6D"/>
    <w:rsid w:val="FBFF5DE2"/>
    <w:rsid w:val="FBFF896C"/>
    <w:rsid w:val="FBFF9428"/>
    <w:rsid w:val="FBFF99EF"/>
    <w:rsid w:val="FBFFFD58"/>
    <w:rsid w:val="FC1F1B5A"/>
    <w:rsid w:val="FC2B5D14"/>
    <w:rsid w:val="FC3F8A05"/>
    <w:rsid w:val="FC5FC3FA"/>
    <w:rsid w:val="FC737F9A"/>
    <w:rsid w:val="FC7FB470"/>
    <w:rsid w:val="FC8F0392"/>
    <w:rsid w:val="FC9FD597"/>
    <w:rsid w:val="FCAFAFF7"/>
    <w:rsid w:val="FCBFC792"/>
    <w:rsid w:val="FCCA1BEC"/>
    <w:rsid w:val="FCCFBB05"/>
    <w:rsid w:val="FCDCFF9F"/>
    <w:rsid w:val="FCE54839"/>
    <w:rsid w:val="FCEF9374"/>
    <w:rsid w:val="FCF65F0B"/>
    <w:rsid w:val="FCF77883"/>
    <w:rsid w:val="FCFBA7AC"/>
    <w:rsid w:val="FCFC5D85"/>
    <w:rsid w:val="FCFD5C0F"/>
    <w:rsid w:val="FCFD60C2"/>
    <w:rsid w:val="FCFD8871"/>
    <w:rsid w:val="FCFDFCB9"/>
    <w:rsid w:val="FCFF6E00"/>
    <w:rsid w:val="FCFF9E78"/>
    <w:rsid w:val="FCFF9F96"/>
    <w:rsid w:val="FD250C56"/>
    <w:rsid w:val="FD2BAE09"/>
    <w:rsid w:val="FD372333"/>
    <w:rsid w:val="FD3D7870"/>
    <w:rsid w:val="FD55275E"/>
    <w:rsid w:val="FD675D70"/>
    <w:rsid w:val="FD69A197"/>
    <w:rsid w:val="FD6EFEF0"/>
    <w:rsid w:val="FD75415B"/>
    <w:rsid w:val="FD7599C1"/>
    <w:rsid w:val="FD77BA7F"/>
    <w:rsid w:val="FD7B567C"/>
    <w:rsid w:val="FD7C2CE6"/>
    <w:rsid w:val="FD7D7EAB"/>
    <w:rsid w:val="FD7D9F07"/>
    <w:rsid w:val="FD7E7941"/>
    <w:rsid w:val="FD7F2AF6"/>
    <w:rsid w:val="FD89324E"/>
    <w:rsid w:val="FD95D1C8"/>
    <w:rsid w:val="FD9F244E"/>
    <w:rsid w:val="FD9FF1BD"/>
    <w:rsid w:val="FDA64E2B"/>
    <w:rsid w:val="FDA7FB54"/>
    <w:rsid w:val="FDAF510A"/>
    <w:rsid w:val="FDB75C13"/>
    <w:rsid w:val="FDBB027D"/>
    <w:rsid w:val="FDBBB8BE"/>
    <w:rsid w:val="FDBD41C9"/>
    <w:rsid w:val="FDBDBE06"/>
    <w:rsid w:val="FDBFB696"/>
    <w:rsid w:val="FDC61329"/>
    <w:rsid w:val="FDCDEDD7"/>
    <w:rsid w:val="FDD1CB0E"/>
    <w:rsid w:val="FDD78A06"/>
    <w:rsid w:val="FDDADD18"/>
    <w:rsid w:val="FDDB7459"/>
    <w:rsid w:val="FDDBC577"/>
    <w:rsid w:val="FDDCB4AD"/>
    <w:rsid w:val="FDDD0215"/>
    <w:rsid w:val="FDDD4DB3"/>
    <w:rsid w:val="FDDDC69B"/>
    <w:rsid w:val="FDDF9609"/>
    <w:rsid w:val="FDE54B97"/>
    <w:rsid w:val="FDE6B13D"/>
    <w:rsid w:val="FDEB1466"/>
    <w:rsid w:val="FDEBF3A6"/>
    <w:rsid w:val="FDEED695"/>
    <w:rsid w:val="FDEEE274"/>
    <w:rsid w:val="FDF5D7B0"/>
    <w:rsid w:val="FDF6CB7A"/>
    <w:rsid w:val="FDF70D5D"/>
    <w:rsid w:val="FDF71096"/>
    <w:rsid w:val="FDF760C9"/>
    <w:rsid w:val="FDF7B816"/>
    <w:rsid w:val="FDF9674C"/>
    <w:rsid w:val="FDFAECF0"/>
    <w:rsid w:val="FDFB1829"/>
    <w:rsid w:val="FDFB2376"/>
    <w:rsid w:val="FDFB7135"/>
    <w:rsid w:val="FDFBF2FC"/>
    <w:rsid w:val="FDFDDE50"/>
    <w:rsid w:val="FDFE10BA"/>
    <w:rsid w:val="FDFE32DE"/>
    <w:rsid w:val="FDFF2E17"/>
    <w:rsid w:val="FDFF61A6"/>
    <w:rsid w:val="FDFF9489"/>
    <w:rsid w:val="FDFFE7AA"/>
    <w:rsid w:val="FDFFEFA2"/>
    <w:rsid w:val="FE1748AC"/>
    <w:rsid w:val="FE2FACAF"/>
    <w:rsid w:val="FE560256"/>
    <w:rsid w:val="FE5E2937"/>
    <w:rsid w:val="FE7CF128"/>
    <w:rsid w:val="FE7D98A9"/>
    <w:rsid w:val="FE7F2BA9"/>
    <w:rsid w:val="FE7F9691"/>
    <w:rsid w:val="FE7FAB5F"/>
    <w:rsid w:val="FE8752C3"/>
    <w:rsid w:val="FE98E89F"/>
    <w:rsid w:val="FE99E803"/>
    <w:rsid w:val="FE9BE4F2"/>
    <w:rsid w:val="FE9D32FF"/>
    <w:rsid w:val="FE9FFB6E"/>
    <w:rsid w:val="FEAE4FC2"/>
    <w:rsid w:val="FEAE741C"/>
    <w:rsid w:val="FEAF46C9"/>
    <w:rsid w:val="FEAFB475"/>
    <w:rsid w:val="FEB12C67"/>
    <w:rsid w:val="FEB721B2"/>
    <w:rsid w:val="FEB730BC"/>
    <w:rsid w:val="FEBB7350"/>
    <w:rsid w:val="FEBE2D88"/>
    <w:rsid w:val="FEBE527A"/>
    <w:rsid w:val="FEBF54CE"/>
    <w:rsid w:val="FECF0D79"/>
    <w:rsid w:val="FECFD0D9"/>
    <w:rsid w:val="FED26C68"/>
    <w:rsid w:val="FED7263F"/>
    <w:rsid w:val="FED79EF5"/>
    <w:rsid w:val="FEDBB87A"/>
    <w:rsid w:val="FEDBC0EE"/>
    <w:rsid w:val="FEDD24D3"/>
    <w:rsid w:val="FEDD8CAA"/>
    <w:rsid w:val="FEDDC872"/>
    <w:rsid w:val="FEDDFC86"/>
    <w:rsid w:val="FEDF2863"/>
    <w:rsid w:val="FEDF3924"/>
    <w:rsid w:val="FEDF59B8"/>
    <w:rsid w:val="FEDF7B05"/>
    <w:rsid w:val="FEDF9A6F"/>
    <w:rsid w:val="FEE30350"/>
    <w:rsid w:val="FEE59E51"/>
    <w:rsid w:val="FEEBD017"/>
    <w:rsid w:val="FEEE8712"/>
    <w:rsid w:val="FEEFECB8"/>
    <w:rsid w:val="FEF11781"/>
    <w:rsid w:val="FEF32D52"/>
    <w:rsid w:val="FEF495C2"/>
    <w:rsid w:val="FEFA1DC9"/>
    <w:rsid w:val="FEFBF235"/>
    <w:rsid w:val="FEFC80E4"/>
    <w:rsid w:val="FEFD7076"/>
    <w:rsid w:val="FEFDACDA"/>
    <w:rsid w:val="FEFE0201"/>
    <w:rsid w:val="FEFE144F"/>
    <w:rsid w:val="FEFF1646"/>
    <w:rsid w:val="FEFF3237"/>
    <w:rsid w:val="FEFF45D9"/>
    <w:rsid w:val="FEFF526E"/>
    <w:rsid w:val="FEFF7906"/>
    <w:rsid w:val="FEFF825B"/>
    <w:rsid w:val="FEFFBDA7"/>
    <w:rsid w:val="FEFFD326"/>
    <w:rsid w:val="FEFFE48A"/>
    <w:rsid w:val="FEFFF762"/>
    <w:rsid w:val="FF07A416"/>
    <w:rsid w:val="FF0D6275"/>
    <w:rsid w:val="FF0FB612"/>
    <w:rsid w:val="FF1468A7"/>
    <w:rsid w:val="FF17EB5F"/>
    <w:rsid w:val="FF1AB21F"/>
    <w:rsid w:val="FF1E8338"/>
    <w:rsid w:val="FF1F7901"/>
    <w:rsid w:val="FF234FBE"/>
    <w:rsid w:val="FF290F54"/>
    <w:rsid w:val="FF2B5525"/>
    <w:rsid w:val="FF3308CF"/>
    <w:rsid w:val="FF35284E"/>
    <w:rsid w:val="FF368398"/>
    <w:rsid w:val="FF380AC9"/>
    <w:rsid w:val="FF3DB455"/>
    <w:rsid w:val="FF3F888D"/>
    <w:rsid w:val="FF41D99C"/>
    <w:rsid w:val="FF47A7A1"/>
    <w:rsid w:val="FF4FE737"/>
    <w:rsid w:val="FF5B697F"/>
    <w:rsid w:val="FF5CCB9A"/>
    <w:rsid w:val="FF608910"/>
    <w:rsid w:val="FF66CE5A"/>
    <w:rsid w:val="FF67DA2E"/>
    <w:rsid w:val="FF6D2BBE"/>
    <w:rsid w:val="FF6F3C5E"/>
    <w:rsid w:val="FF6F7C1D"/>
    <w:rsid w:val="FF706EF5"/>
    <w:rsid w:val="FF71CF83"/>
    <w:rsid w:val="FF71FA5C"/>
    <w:rsid w:val="FF731861"/>
    <w:rsid w:val="FF7481E6"/>
    <w:rsid w:val="FF77965B"/>
    <w:rsid w:val="FF79DA92"/>
    <w:rsid w:val="FF7A7830"/>
    <w:rsid w:val="FF7B1961"/>
    <w:rsid w:val="FF7B51AF"/>
    <w:rsid w:val="FF7D104E"/>
    <w:rsid w:val="FF7DC973"/>
    <w:rsid w:val="FF7E96EC"/>
    <w:rsid w:val="FF7EB781"/>
    <w:rsid w:val="FF7F255E"/>
    <w:rsid w:val="FF7F30CA"/>
    <w:rsid w:val="FF7F74F3"/>
    <w:rsid w:val="FF7F7850"/>
    <w:rsid w:val="FF7F7905"/>
    <w:rsid w:val="FF7F81AE"/>
    <w:rsid w:val="FF7FAD73"/>
    <w:rsid w:val="FF7FD4C4"/>
    <w:rsid w:val="FF7FDBC9"/>
    <w:rsid w:val="FF7FF047"/>
    <w:rsid w:val="FF862C87"/>
    <w:rsid w:val="FF8BEB5A"/>
    <w:rsid w:val="FF8D76A0"/>
    <w:rsid w:val="FF8E4F2A"/>
    <w:rsid w:val="FF8F493B"/>
    <w:rsid w:val="FF8FE3B5"/>
    <w:rsid w:val="FF8FF650"/>
    <w:rsid w:val="FF95BEB5"/>
    <w:rsid w:val="FF96A879"/>
    <w:rsid w:val="FF973B5D"/>
    <w:rsid w:val="FF9E432A"/>
    <w:rsid w:val="FF9F7CFA"/>
    <w:rsid w:val="FF9FD5FC"/>
    <w:rsid w:val="FF9FDFE0"/>
    <w:rsid w:val="FFA94DAA"/>
    <w:rsid w:val="FFA9DCC0"/>
    <w:rsid w:val="FFAB6DF9"/>
    <w:rsid w:val="FFADF685"/>
    <w:rsid w:val="FFAF5BC0"/>
    <w:rsid w:val="FFAFE3CE"/>
    <w:rsid w:val="FFB19B75"/>
    <w:rsid w:val="FFB4A936"/>
    <w:rsid w:val="FFB53A68"/>
    <w:rsid w:val="FFB59B33"/>
    <w:rsid w:val="FFB7084E"/>
    <w:rsid w:val="FFB72A99"/>
    <w:rsid w:val="FFB77F63"/>
    <w:rsid w:val="FFB781D9"/>
    <w:rsid w:val="FFB7D03C"/>
    <w:rsid w:val="FFB7D9E8"/>
    <w:rsid w:val="FFB8035A"/>
    <w:rsid w:val="FFBA1123"/>
    <w:rsid w:val="FFBA8C8B"/>
    <w:rsid w:val="FFBB0D17"/>
    <w:rsid w:val="FFBB1A31"/>
    <w:rsid w:val="FFBB24B6"/>
    <w:rsid w:val="FFBB4606"/>
    <w:rsid w:val="FFBB59AE"/>
    <w:rsid w:val="FFBBD0A8"/>
    <w:rsid w:val="FFBD36C2"/>
    <w:rsid w:val="FFBD7374"/>
    <w:rsid w:val="FFBD83F1"/>
    <w:rsid w:val="FFBE2C77"/>
    <w:rsid w:val="FFBE46C6"/>
    <w:rsid w:val="FFBF24E5"/>
    <w:rsid w:val="FFBF3013"/>
    <w:rsid w:val="FFBF3544"/>
    <w:rsid w:val="FFBF770E"/>
    <w:rsid w:val="FFBF78DD"/>
    <w:rsid w:val="FFBF9570"/>
    <w:rsid w:val="FFBFD049"/>
    <w:rsid w:val="FFBFEA8F"/>
    <w:rsid w:val="FFC78E38"/>
    <w:rsid w:val="FFCDEB5B"/>
    <w:rsid w:val="FFCEEAD9"/>
    <w:rsid w:val="FFD4A438"/>
    <w:rsid w:val="FFD7578A"/>
    <w:rsid w:val="FFD7A1B0"/>
    <w:rsid w:val="FFD7BFAF"/>
    <w:rsid w:val="FFD7E687"/>
    <w:rsid w:val="FFDA433E"/>
    <w:rsid w:val="FFDAB08E"/>
    <w:rsid w:val="FFDAFF2E"/>
    <w:rsid w:val="FFDC7592"/>
    <w:rsid w:val="FFDD24BE"/>
    <w:rsid w:val="FFDE549C"/>
    <w:rsid w:val="FFDE5991"/>
    <w:rsid w:val="FFDEA89A"/>
    <w:rsid w:val="FFDEB221"/>
    <w:rsid w:val="FFDED921"/>
    <w:rsid w:val="FFDF2D3E"/>
    <w:rsid w:val="FFDF70F8"/>
    <w:rsid w:val="FFDFA2A9"/>
    <w:rsid w:val="FFDFA2D0"/>
    <w:rsid w:val="FFDFCB83"/>
    <w:rsid w:val="FFDFD8BD"/>
    <w:rsid w:val="FFDFE9EF"/>
    <w:rsid w:val="FFE6150D"/>
    <w:rsid w:val="FFE7B1EC"/>
    <w:rsid w:val="FFEA12CD"/>
    <w:rsid w:val="FFEB6B67"/>
    <w:rsid w:val="FFEC5670"/>
    <w:rsid w:val="FFED38F1"/>
    <w:rsid w:val="FFED4028"/>
    <w:rsid w:val="FFEE134E"/>
    <w:rsid w:val="FFEED296"/>
    <w:rsid w:val="FFEEF14C"/>
    <w:rsid w:val="FFEF19A2"/>
    <w:rsid w:val="FFEF42B7"/>
    <w:rsid w:val="FFEF7338"/>
    <w:rsid w:val="FFEF9AF1"/>
    <w:rsid w:val="FFEFE921"/>
    <w:rsid w:val="FFEFFB81"/>
    <w:rsid w:val="FFF10406"/>
    <w:rsid w:val="FFF2829F"/>
    <w:rsid w:val="FFF54A55"/>
    <w:rsid w:val="FFF607A4"/>
    <w:rsid w:val="FFF62055"/>
    <w:rsid w:val="FFF70F58"/>
    <w:rsid w:val="FFF7565A"/>
    <w:rsid w:val="FFF767FD"/>
    <w:rsid w:val="FFF76E59"/>
    <w:rsid w:val="FFF7D7AF"/>
    <w:rsid w:val="FFF7E2BE"/>
    <w:rsid w:val="FFF7F6CC"/>
    <w:rsid w:val="FFF96BB3"/>
    <w:rsid w:val="FFFA31DE"/>
    <w:rsid w:val="FFFB4696"/>
    <w:rsid w:val="FFFB6965"/>
    <w:rsid w:val="FFFB77D3"/>
    <w:rsid w:val="FFFB9AAA"/>
    <w:rsid w:val="FFFBCA96"/>
    <w:rsid w:val="FFFD191B"/>
    <w:rsid w:val="FFFD1AF2"/>
    <w:rsid w:val="FFFD2F9D"/>
    <w:rsid w:val="FFFD5086"/>
    <w:rsid w:val="FFFD820A"/>
    <w:rsid w:val="FFFD9EB7"/>
    <w:rsid w:val="FFFDA925"/>
    <w:rsid w:val="FFFDEAE8"/>
    <w:rsid w:val="FFFDF9B1"/>
    <w:rsid w:val="FFFE275E"/>
    <w:rsid w:val="FFFE4C1B"/>
    <w:rsid w:val="FFFE6807"/>
    <w:rsid w:val="FFFEC54B"/>
    <w:rsid w:val="FFFF0578"/>
    <w:rsid w:val="FFFF08EA"/>
    <w:rsid w:val="FFFF09CE"/>
    <w:rsid w:val="FFFF15AC"/>
    <w:rsid w:val="FFFF36F3"/>
    <w:rsid w:val="FFFF47A1"/>
    <w:rsid w:val="FFFF47C5"/>
    <w:rsid w:val="FFFF49B4"/>
    <w:rsid w:val="FFFF4A0C"/>
    <w:rsid w:val="FFFF65EB"/>
    <w:rsid w:val="FFFF77F3"/>
    <w:rsid w:val="FFFF8798"/>
    <w:rsid w:val="FFFF890E"/>
    <w:rsid w:val="FFFF8ABB"/>
    <w:rsid w:val="FFFF8D1B"/>
    <w:rsid w:val="FFFFA86C"/>
    <w:rsid w:val="FFFFBB5D"/>
    <w:rsid w:val="FFFFC47D"/>
    <w:rsid w:val="FFFFC55C"/>
    <w:rsid w:val="FFFFCD71"/>
    <w:rsid w:val="FFFFD908"/>
    <w:rsid w:val="FFFFEF4F"/>
    <w:rsid w:val="FFFFEF7E"/>
    <w:rsid w:val="FFFFF13F"/>
    <w:rsid w:val="FFFFFB4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nhideWhenUsed="0" w:uiPriority="9" w:semiHidden="0" w:name="heading 3"/>
    <w:lsdException w:qFormat="1"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qFormat="1" w:unhideWhenUsed="0" w:uiPriority="99" w:semiHidden="0" w:name="index 8"/>
    <w:lsdException w:uiPriority="0"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uiPriority="0" w:name="Normal Indent"/>
    <w:lsdException w:uiPriority="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qFormat="1" w:unhideWhenUsed="0" w:uiPriority="0" w:semiHidden="0" w:name="annotation reference"/>
    <w:lsdException w:uiPriority="0" w:name="line number"/>
    <w:lsdException w:qFormat="1" w:unhideWhenUsed="0" w:uiPriority="0" w:semiHidden="0" w:name="page number"/>
    <w:lsdException w:uiPriority="0" w:name="endnote reference"/>
    <w:lsdException w:uiPriority="0" w:name="endnote text"/>
    <w:lsdException w:uiPriority="0" w:name="table of authorities"/>
    <w:lsdException w:unhideWhenUsed="0" w:uiPriority="0" w:semiHidden="0" w:name="macro"/>
    <w:lsdException w:uiPriority="0" w:name="toa heading"/>
    <w:lsdException w:uiPriority="0" w:name="List"/>
    <w:lsdException w:unhideWhenUsed="0" w:uiPriority="0" w:semiHidden="0" w:name="List Bullet"/>
    <w:lsdException w:unhideWhenUsed="0" w:uiPriority="0" w:semiHidden="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99" w:semiHidden="0" w:name="Title"/>
    <w:lsdException w:uiPriority="0" w:name="Closing"/>
    <w:lsdException w:uiPriority="0" w:name="Signature"/>
    <w:lsdException w:qFormat="1" w:uiPriority="1" w:name="Default Paragraph Font"/>
    <w:lsdException w:uiPriority="0" w:name="Body Text"/>
    <w:lsdException w:qFormat="1" w:unhideWhenUsed="0" w:uiPriority="99" w:semiHidden="0" w:name="Body Text Indent"/>
    <w:lsdException w:uiPriority="0" w:name="List Continue"/>
    <w:lsdException w:uiPriority="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iPriority="0" w:name="Salutation"/>
    <w:lsdException w:uiPriority="0" w:name="Date"/>
    <w:lsdException w:uiPriority="0" w:name="Body Text First Indent"/>
    <w:lsdException w:qFormat="1" w:unhideWhenUsed="0" w:uiPriority="99" w:semiHidden="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qFormat="1" w:unhideWhenUsed="0" w:uiPriority="99" w:semiHidden="0" w:name="Hyperlink"/>
    <w:lsdException w:uiPriority="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uiPriority="0" w:name="Plain Text"/>
    <w:lsdException w:uiPriority="0" w:name="E-mail Signature"/>
    <w:lsdException w:qFormat="1" w:unhideWhenUsed="0" w:uiPriority="99"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等线" w:hAnsi="等线" w:eastAsia="等线" w:cs="宋体"/>
      <w:kern w:val="2"/>
      <w:sz w:val="21"/>
      <w:szCs w:val="24"/>
      <w:lang w:val="en-US" w:eastAsia="zh-CN" w:bidi="ar-SA"/>
    </w:rPr>
  </w:style>
  <w:style w:type="paragraph" w:styleId="3">
    <w:name w:val="heading 1"/>
    <w:basedOn w:val="1"/>
    <w:next w:val="1"/>
    <w:qFormat/>
    <w:uiPriority w:val="0"/>
    <w:pPr>
      <w:keepNext/>
      <w:keepLines/>
      <w:spacing w:before="340" w:after="330" w:line="576" w:lineRule="auto"/>
      <w:outlineLvl w:val="0"/>
    </w:pPr>
    <w:rPr>
      <w:b/>
      <w:kern w:val="44"/>
      <w:sz w:val="44"/>
    </w:rPr>
  </w:style>
  <w:style w:type="paragraph" w:styleId="4">
    <w:name w:val="heading 2"/>
    <w:basedOn w:val="1"/>
    <w:next w:val="1"/>
    <w:qFormat/>
    <w:uiPriority w:val="9"/>
    <w:pPr>
      <w:keepNext/>
      <w:keepLines/>
      <w:spacing w:before="260" w:after="260" w:line="416" w:lineRule="auto"/>
      <w:jc w:val="center"/>
      <w:outlineLvl w:val="1"/>
    </w:pPr>
    <w:rPr>
      <w:rFonts w:ascii="Cambria" w:hAnsi="Cambria" w:eastAsia="黑体"/>
      <w:b/>
      <w:bCs/>
      <w:sz w:val="32"/>
      <w:szCs w:val="32"/>
    </w:rPr>
  </w:style>
  <w:style w:type="paragraph" w:styleId="5">
    <w:name w:val="heading 3"/>
    <w:basedOn w:val="1"/>
    <w:next w:val="1"/>
    <w:link w:val="33"/>
    <w:qFormat/>
    <w:uiPriority w:val="9"/>
    <w:pPr>
      <w:keepNext/>
      <w:keepLines/>
      <w:spacing w:before="260" w:after="260" w:line="416" w:lineRule="auto"/>
      <w:jc w:val="center"/>
      <w:outlineLvl w:val="2"/>
    </w:pPr>
    <w:rPr>
      <w:rFonts w:eastAsia="宋体" w:cs="Times New Roman (正文 CS 字体)"/>
      <w:b/>
      <w:bCs/>
      <w:sz w:val="30"/>
      <w:szCs w:val="32"/>
    </w:rPr>
  </w:style>
  <w:style w:type="paragraph" w:styleId="6">
    <w:name w:val="heading 4"/>
    <w:basedOn w:val="1"/>
    <w:next w:val="1"/>
    <w:link w:val="34"/>
    <w:unhideWhenUsed/>
    <w:qFormat/>
    <w:uiPriority w:val="0"/>
    <w:pPr>
      <w:keepNext/>
      <w:keepLines/>
      <w:ind w:firstLine="200" w:firstLineChars="200"/>
      <w:outlineLvl w:val="3"/>
    </w:pPr>
    <w:rPr>
      <w:rFonts w:eastAsia="楷体" w:cs="Times New Roman (标题 CS)" w:asciiTheme="majorHAnsi" w:hAnsiTheme="majorHAnsi"/>
      <w:b/>
      <w:bCs/>
      <w:sz w:val="30"/>
      <w:szCs w:val="28"/>
    </w:rPr>
  </w:style>
  <w:style w:type="character" w:default="1" w:styleId="28">
    <w:name w:val="Default Paragraph Font"/>
    <w:semiHidden/>
    <w:unhideWhenUsed/>
    <w:qFormat/>
    <w:uiPriority w:val="1"/>
  </w:style>
  <w:style w:type="table" w:default="1" w:styleId="26">
    <w:name w:val="Normal Table"/>
    <w:semiHidden/>
    <w:unhideWhenUsed/>
    <w:qFormat/>
    <w:uiPriority w:val="99"/>
    <w:tblPr>
      <w:tblCellMar>
        <w:top w:w="0" w:type="dxa"/>
        <w:left w:w="108" w:type="dxa"/>
        <w:bottom w:w="0" w:type="dxa"/>
        <w:right w:w="108" w:type="dxa"/>
      </w:tblCellMar>
    </w:tblPr>
  </w:style>
  <w:style w:type="paragraph" w:styleId="2">
    <w:name w:val="index 8"/>
    <w:basedOn w:val="1"/>
    <w:next w:val="1"/>
    <w:qFormat/>
    <w:uiPriority w:val="99"/>
    <w:rPr>
      <w:sz w:val="32"/>
      <w:szCs w:val="32"/>
    </w:rPr>
  </w:style>
  <w:style w:type="paragraph" w:styleId="7">
    <w:name w:val="toc 7"/>
    <w:basedOn w:val="1"/>
    <w:next w:val="1"/>
    <w:qFormat/>
    <w:uiPriority w:val="39"/>
    <w:pPr>
      <w:ind w:left="2520" w:leftChars="1200"/>
    </w:pPr>
    <w:rPr>
      <w:rFonts w:ascii="Calibri" w:hAnsi="Calibri" w:eastAsia="宋体"/>
      <w:szCs w:val="22"/>
    </w:rPr>
  </w:style>
  <w:style w:type="paragraph" w:styleId="8">
    <w:name w:val="Document Map"/>
    <w:basedOn w:val="1"/>
    <w:link w:val="35"/>
    <w:qFormat/>
    <w:uiPriority w:val="0"/>
    <w:rPr>
      <w:rFonts w:ascii="宋体" w:eastAsia="宋体"/>
      <w:sz w:val="18"/>
      <w:szCs w:val="18"/>
    </w:rPr>
  </w:style>
  <w:style w:type="paragraph" w:styleId="9">
    <w:name w:val="annotation text"/>
    <w:basedOn w:val="1"/>
    <w:link w:val="36"/>
    <w:qFormat/>
    <w:uiPriority w:val="0"/>
    <w:pPr>
      <w:jc w:val="left"/>
    </w:pPr>
  </w:style>
  <w:style w:type="paragraph" w:styleId="10">
    <w:name w:val="Body Text Indent"/>
    <w:basedOn w:val="1"/>
    <w:link w:val="37"/>
    <w:qFormat/>
    <w:uiPriority w:val="99"/>
    <w:pPr>
      <w:spacing w:after="120"/>
      <w:ind w:left="420" w:leftChars="200"/>
    </w:pPr>
  </w:style>
  <w:style w:type="paragraph" w:styleId="11">
    <w:name w:val="toc 5"/>
    <w:basedOn w:val="1"/>
    <w:next w:val="1"/>
    <w:qFormat/>
    <w:uiPriority w:val="39"/>
    <w:pPr>
      <w:ind w:left="1680" w:leftChars="800"/>
    </w:pPr>
    <w:rPr>
      <w:rFonts w:ascii="Calibri" w:hAnsi="Calibri" w:eastAsia="宋体"/>
      <w:szCs w:val="22"/>
    </w:rPr>
  </w:style>
  <w:style w:type="paragraph" w:styleId="12">
    <w:name w:val="toc 3"/>
    <w:basedOn w:val="1"/>
    <w:next w:val="1"/>
    <w:qFormat/>
    <w:uiPriority w:val="39"/>
    <w:pPr>
      <w:ind w:left="200" w:leftChars="200" w:right="200" w:rightChars="200"/>
    </w:pPr>
    <w:rPr>
      <w:rFonts w:ascii="仿宋" w:eastAsia="仿宋"/>
    </w:rPr>
  </w:style>
  <w:style w:type="paragraph" w:styleId="13">
    <w:name w:val="toc 8"/>
    <w:basedOn w:val="1"/>
    <w:next w:val="1"/>
    <w:qFormat/>
    <w:uiPriority w:val="39"/>
    <w:pPr>
      <w:ind w:left="2940" w:leftChars="1400"/>
    </w:pPr>
    <w:rPr>
      <w:rFonts w:ascii="Calibri" w:hAnsi="Calibri" w:eastAsia="宋体"/>
      <w:szCs w:val="22"/>
    </w:rPr>
  </w:style>
  <w:style w:type="paragraph" w:styleId="14">
    <w:name w:val="Balloon Text"/>
    <w:basedOn w:val="1"/>
    <w:link w:val="38"/>
    <w:qFormat/>
    <w:uiPriority w:val="0"/>
    <w:rPr>
      <w:sz w:val="18"/>
      <w:szCs w:val="18"/>
    </w:rPr>
  </w:style>
  <w:style w:type="paragraph" w:styleId="15">
    <w:name w:val="footer"/>
    <w:basedOn w:val="1"/>
    <w:link w:val="39"/>
    <w:qFormat/>
    <w:uiPriority w:val="0"/>
    <w:pPr>
      <w:tabs>
        <w:tab w:val="center" w:pos="4153"/>
        <w:tab w:val="right" w:pos="8306"/>
      </w:tabs>
      <w:snapToGrid w:val="0"/>
      <w:jc w:val="left"/>
    </w:pPr>
    <w:rPr>
      <w:sz w:val="18"/>
    </w:rPr>
  </w:style>
  <w:style w:type="paragraph" w:styleId="1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17">
    <w:name w:val="toc 1"/>
    <w:basedOn w:val="1"/>
    <w:next w:val="1"/>
    <w:qFormat/>
    <w:uiPriority w:val="39"/>
    <w:rPr>
      <w:rFonts w:ascii="Calibri" w:hAnsi="Calibri" w:eastAsia="仿宋"/>
      <w:szCs w:val="22"/>
    </w:rPr>
  </w:style>
  <w:style w:type="paragraph" w:styleId="18">
    <w:name w:val="toc 4"/>
    <w:basedOn w:val="1"/>
    <w:next w:val="1"/>
    <w:qFormat/>
    <w:uiPriority w:val="39"/>
    <w:pPr>
      <w:ind w:left="400" w:leftChars="400"/>
    </w:pPr>
    <w:rPr>
      <w:rFonts w:ascii="Calibri" w:hAnsi="Calibri" w:eastAsia="仿宋"/>
      <w:szCs w:val="22"/>
    </w:rPr>
  </w:style>
  <w:style w:type="paragraph" w:styleId="19">
    <w:name w:val="toc 6"/>
    <w:basedOn w:val="1"/>
    <w:next w:val="1"/>
    <w:qFormat/>
    <w:uiPriority w:val="39"/>
    <w:pPr>
      <w:ind w:left="2100" w:leftChars="1000"/>
    </w:pPr>
    <w:rPr>
      <w:rFonts w:ascii="Calibri" w:hAnsi="Calibri" w:eastAsia="宋体"/>
      <w:szCs w:val="22"/>
    </w:rPr>
  </w:style>
  <w:style w:type="paragraph" w:styleId="20">
    <w:name w:val="toc 2"/>
    <w:basedOn w:val="1"/>
    <w:next w:val="1"/>
    <w:qFormat/>
    <w:uiPriority w:val="39"/>
    <w:pPr>
      <w:ind w:left="420" w:leftChars="100" w:right="100" w:rightChars="100"/>
    </w:pPr>
    <w:rPr>
      <w:rFonts w:ascii="仿宋" w:eastAsia="仿宋"/>
    </w:rPr>
  </w:style>
  <w:style w:type="paragraph" w:styleId="21">
    <w:name w:val="toc 9"/>
    <w:basedOn w:val="1"/>
    <w:next w:val="1"/>
    <w:qFormat/>
    <w:uiPriority w:val="39"/>
    <w:pPr>
      <w:ind w:left="3360" w:leftChars="1600"/>
    </w:pPr>
    <w:rPr>
      <w:rFonts w:ascii="Calibri" w:hAnsi="Calibri" w:eastAsia="宋体"/>
      <w:szCs w:val="22"/>
    </w:rPr>
  </w:style>
  <w:style w:type="paragraph" w:styleId="22">
    <w:name w:val="Normal (Web)"/>
    <w:basedOn w:val="1"/>
    <w:qFormat/>
    <w:uiPriority w:val="99"/>
    <w:pPr>
      <w:widowControl/>
      <w:spacing w:before="100" w:beforeAutospacing="1" w:after="100" w:afterAutospacing="1"/>
      <w:jc w:val="left"/>
    </w:pPr>
    <w:rPr>
      <w:rFonts w:ascii="宋体" w:hAnsi="宋体"/>
      <w:kern w:val="0"/>
      <w:sz w:val="24"/>
    </w:rPr>
  </w:style>
  <w:style w:type="paragraph" w:styleId="23">
    <w:name w:val="Title"/>
    <w:basedOn w:val="1"/>
    <w:next w:val="1"/>
    <w:link w:val="40"/>
    <w:qFormat/>
    <w:uiPriority w:val="99"/>
    <w:pPr>
      <w:spacing w:beforeLines="100" w:afterLines="100"/>
    </w:pPr>
    <w:rPr>
      <w:rFonts w:ascii="Calibri Light" w:hAnsi="Calibri Light" w:cs="Times New Roman"/>
      <w:szCs w:val="32"/>
    </w:rPr>
  </w:style>
  <w:style w:type="paragraph" w:styleId="24">
    <w:name w:val="annotation subject"/>
    <w:basedOn w:val="9"/>
    <w:next w:val="9"/>
    <w:link w:val="41"/>
    <w:qFormat/>
    <w:uiPriority w:val="0"/>
    <w:rPr>
      <w:b/>
      <w:bCs/>
    </w:rPr>
  </w:style>
  <w:style w:type="paragraph" w:styleId="25">
    <w:name w:val="Body Text First Indent 2"/>
    <w:basedOn w:val="10"/>
    <w:next w:val="1"/>
    <w:link w:val="42"/>
    <w:qFormat/>
    <w:uiPriority w:val="99"/>
    <w:pPr>
      <w:ind w:firstLine="420" w:firstLineChars="200"/>
    </w:pPr>
  </w:style>
  <w:style w:type="table" w:styleId="27">
    <w:name w:val="Table Grid"/>
    <w:basedOn w:val="2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9">
    <w:name w:val="page number"/>
    <w:basedOn w:val="28"/>
    <w:qFormat/>
    <w:uiPriority w:val="0"/>
  </w:style>
  <w:style w:type="character" w:styleId="30">
    <w:name w:val="Emphasis"/>
    <w:basedOn w:val="28"/>
    <w:qFormat/>
    <w:uiPriority w:val="0"/>
    <w:rPr>
      <w:i/>
    </w:rPr>
  </w:style>
  <w:style w:type="character" w:styleId="31">
    <w:name w:val="Hyperlink"/>
    <w:basedOn w:val="28"/>
    <w:qFormat/>
    <w:uiPriority w:val="99"/>
    <w:rPr>
      <w:color w:val="0000FF"/>
      <w:u w:val="single"/>
    </w:rPr>
  </w:style>
  <w:style w:type="character" w:styleId="32">
    <w:name w:val="annotation reference"/>
    <w:basedOn w:val="28"/>
    <w:qFormat/>
    <w:uiPriority w:val="0"/>
    <w:rPr>
      <w:sz w:val="21"/>
      <w:szCs w:val="21"/>
    </w:rPr>
  </w:style>
  <w:style w:type="character" w:customStyle="1" w:styleId="33">
    <w:name w:val="标题 3 字符"/>
    <w:basedOn w:val="28"/>
    <w:link w:val="5"/>
    <w:qFormat/>
    <w:uiPriority w:val="9"/>
    <w:rPr>
      <w:rFonts w:eastAsia="宋体" w:cs="Times New Roman (正文 CS 字体)"/>
      <w:b/>
      <w:bCs/>
      <w:kern w:val="2"/>
      <w:sz w:val="30"/>
      <w:szCs w:val="32"/>
    </w:rPr>
  </w:style>
  <w:style w:type="character" w:customStyle="1" w:styleId="34">
    <w:name w:val="标题 4 字符"/>
    <w:basedOn w:val="28"/>
    <w:link w:val="6"/>
    <w:qFormat/>
    <w:uiPriority w:val="0"/>
    <w:rPr>
      <w:rFonts w:eastAsia="楷体" w:cs="Times New Roman (标题 CS)" w:asciiTheme="majorHAnsi" w:hAnsiTheme="majorHAnsi"/>
      <w:b/>
      <w:bCs/>
      <w:kern w:val="2"/>
      <w:sz w:val="30"/>
      <w:szCs w:val="28"/>
    </w:rPr>
  </w:style>
  <w:style w:type="character" w:customStyle="1" w:styleId="35">
    <w:name w:val="文档结构图 字符"/>
    <w:basedOn w:val="28"/>
    <w:link w:val="8"/>
    <w:qFormat/>
    <w:uiPriority w:val="0"/>
    <w:rPr>
      <w:rFonts w:ascii="宋体" w:hAnsi="等线" w:cs="宋体"/>
      <w:kern w:val="2"/>
      <w:sz w:val="18"/>
      <w:szCs w:val="18"/>
    </w:rPr>
  </w:style>
  <w:style w:type="character" w:customStyle="1" w:styleId="36">
    <w:name w:val="批注文字 字符"/>
    <w:basedOn w:val="28"/>
    <w:link w:val="9"/>
    <w:qFormat/>
    <w:uiPriority w:val="0"/>
    <w:rPr>
      <w:kern w:val="2"/>
      <w:sz w:val="21"/>
      <w:szCs w:val="24"/>
    </w:rPr>
  </w:style>
  <w:style w:type="character" w:customStyle="1" w:styleId="37">
    <w:name w:val="正文文本缩进 字符"/>
    <w:basedOn w:val="28"/>
    <w:link w:val="10"/>
    <w:qFormat/>
    <w:uiPriority w:val="99"/>
  </w:style>
  <w:style w:type="character" w:customStyle="1" w:styleId="38">
    <w:name w:val="批注框文本 字符"/>
    <w:basedOn w:val="28"/>
    <w:link w:val="14"/>
    <w:qFormat/>
    <w:uiPriority w:val="0"/>
    <w:rPr>
      <w:kern w:val="2"/>
      <w:sz w:val="18"/>
      <w:szCs w:val="18"/>
    </w:rPr>
  </w:style>
  <w:style w:type="character" w:customStyle="1" w:styleId="39">
    <w:name w:val="页脚 字符"/>
    <w:basedOn w:val="28"/>
    <w:link w:val="15"/>
    <w:qFormat/>
    <w:uiPriority w:val="99"/>
    <w:rPr>
      <w:rFonts w:ascii="等线" w:hAnsi="等线" w:eastAsia="等线" w:cs="宋体"/>
      <w:kern w:val="2"/>
      <w:sz w:val="18"/>
      <w:szCs w:val="24"/>
    </w:rPr>
  </w:style>
  <w:style w:type="character" w:customStyle="1" w:styleId="40">
    <w:name w:val="标题 字符"/>
    <w:basedOn w:val="28"/>
    <w:link w:val="23"/>
    <w:qFormat/>
    <w:uiPriority w:val="99"/>
    <w:rPr>
      <w:rFonts w:ascii="Calibri Light" w:hAnsi="Calibri Light" w:eastAsia="等线"/>
      <w:kern w:val="2"/>
      <w:sz w:val="21"/>
      <w:szCs w:val="32"/>
    </w:rPr>
  </w:style>
  <w:style w:type="character" w:customStyle="1" w:styleId="41">
    <w:name w:val="批注主题 字符"/>
    <w:basedOn w:val="36"/>
    <w:link w:val="24"/>
    <w:qFormat/>
    <w:uiPriority w:val="0"/>
    <w:rPr>
      <w:b/>
      <w:bCs/>
      <w:kern w:val="2"/>
      <w:sz w:val="21"/>
      <w:szCs w:val="24"/>
    </w:rPr>
  </w:style>
  <w:style w:type="character" w:customStyle="1" w:styleId="42">
    <w:name w:val="正文文本首行缩进 2 字符"/>
    <w:basedOn w:val="37"/>
    <w:link w:val="25"/>
    <w:qFormat/>
    <w:uiPriority w:val="99"/>
  </w:style>
  <w:style w:type="paragraph" w:customStyle="1" w:styleId="43">
    <w:name w:val="WPSOffice手动目录 2"/>
    <w:qFormat/>
    <w:uiPriority w:val="0"/>
    <w:pPr>
      <w:ind w:left="200" w:leftChars="200"/>
    </w:pPr>
    <w:rPr>
      <w:rFonts w:ascii="等线" w:hAnsi="等线" w:eastAsia="等线" w:cs="宋体"/>
      <w:lang w:val="en-US" w:eastAsia="zh-CN" w:bidi="ar-SA"/>
    </w:rPr>
  </w:style>
  <w:style w:type="paragraph" w:customStyle="1" w:styleId="44">
    <w:name w:val="WPSOffice手动目录 3"/>
    <w:qFormat/>
    <w:uiPriority w:val="0"/>
    <w:pPr>
      <w:ind w:left="400" w:leftChars="400"/>
    </w:pPr>
    <w:rPr>
      <w:rFonts w:ascii="等线" w:hAnsi="等线" w:eastAsia="等线" w:cs="宋体"/>
      <w:lang w:val="en-US" w:eastAsia="zh-CN" w:bidi="ar-SA"/>
    </w:rPr>
  </w:style>
  <w:style w:type="paragraph" w:customStyle="1" w:styleId="45">
    <w:name w:val="列出段落1"/>
    <w:basedOn w:val="1"/>
    <w:qFormat/>
    <w:uiPriority w:val="34"/>
    <w:pPr>
      <w:ind w:firstLine="420" w:firstLineChars="200"/>
    </w:pPr>
  </w:style>
  <w:style w:type="character" w:customStyle="1" w:styleId="46">
    <w:name w:val="未处理的提及1"/>
    <w:basedOn w:val="28"/>
    <w:unhideWhenUsed/>
    <w:qFormat/>
    <w:uiPriority w:val="99"/>
    <w:rPr>
      <w:color w:val="605E5C"/>
      <w:shd w:val="clear" w:color="auto" w:fill="E1DFDD"/>
    </w:rPr>
  </w:style>
  <w:style w:type="paragraph" w:customStyle="1" w:styleId="47">
    <w:name w:val="WPSOffice手动目录 1"/>
    <w:qFormat/>
    <w:uiPriority w:val="0"/>
    <w:rPr>
      <w:rFonts w:ascii="Times New Roman" w:hAnsi="Times New Roman" w:eastAsia="宋体" w:cs="Times New Roman"/>
      <w:lang w:val="en-US" w:eastAsia="zh-CN" w:bidi="ar-SA"/>
    </w:rPr>
  </w:style>
  <w:style w:type="character" w:customStyle="1" w:styleId="48">
    <w:name w:val="fontstyle01"/>
    <w:basedOn w:val="28"/>
    <w:qFormat/>
    <w:uiPriority w:val="0"/>
    <w:rPr>
      <w:rFonts w:hint="default" w:ascii="仿宋" w:hAnsi="仿宋"/>
      <w:color w:val="000000"/>
      <w:sz w:val="32"/>
      <w:szCs w:val="32"/>
    </w:rPr>
  </w:style>
  <w:style w:type="paragraph" w:customStyle="1" w:styleId="49">
    <w:name w:val="TOC 标题1"/>
    <w:basedOn w:val="3"/>
    <w:next w:val="1"/>
    <w:unhideWhenUsed/>
    <w:qFormat/>
    <w:uiPriority w:val="39"/>
    <w:pPr>
      <w:widowControl/>
      <w:spacing w:before="480" w:after="0" w:line="276" w:lineRule="auto"/>
      <w:jc w:val="left"/>
      <w:outlineLvl w:val="9"/>
    </w:pPr>
    <w:rPr>
      <w:rFonts w:asciiTheme="majorHAnsi" w:hAnsiTheme="majorHAnsi" w:eastAsiaTheme="majorEastAsia" w:cstheme="majorBidi"/>
      <w:bCs/>
      <w:color w:val="366091" w:themeColor="accent1" w:themeShade="BF"/>
      <w:kern w:val="0"/>
      <w:sz w:val="28"/>
      <w:szCs w:val="28"/>
    </w:rPr>
  </w:style>
  <w:style w:type="character" w:customStyle="1" w:styleId="50">
    <w:name w:val="未处理的提及2"/>
    <w:basedOn w:val="28"/>
    <w:semiHidden/>
    <w:unhideWhenUsed/>
    <w:qFormat/>
    <w:uiPriority w:val="99"/>
    <w:rPr>
      <w:color w:val="605E5C"/>
      <w:shd w:val="clear" w:color="auto" w:fill="E1DFDD"/>
    </w:rPr>
  </w:style>
  <w:style w:type="paragraph" w:customStyle="1" w:styleId="51">
    <w:name w:val="TOC 标题2"/>
    <w:basedOn w:val="3"/>
    <w:next w:val="1"/>
    <w:semiHidden/>
    <w:unhideWhenUsed/>
    <w:qFormat/>
    <w:uiPriority w:val="39"/>
    <w:pPr>
      <w:widowControl/>
      <w:spacing w:before="480" w:after="0" w:line="276" w:lineRule="auto"/>
      <w:jc w:val="left"/>
      <w:outlineLvl w:val="9"/>
    </w:pPr>
    <w:rPr>
      <w:rFonts w:asciiTheme="majorHAnsi" w:hAnsiTheme="majorHAnsi" w:eastAsiaTheme="majorEastAsia" w:cstheme="majorBidi"/>
      <w:bCs/>
      <w:color w:val="366091" w:themeColor="accent1" w:themeShade="BF"/>
      <w:kern w:val="0"/>
      <w:sz w:val="28"/>
      <w:szCs w:val="28"/>
    </w:rPr>
  </w:style>
  <w:style w:type="paragraph" w:styleId="52">
    <w:name w:val="List Paragraph"/>
    <w:basedOn w:val="1"/>
    <w:qFormat/>
    <w:uiPriority w:val="99"/>
    <w:pPr>
      <w:ind w:firstLine="420" w:firstLineChars="200"/>
    </w:pPr>
  </w:style>
  <w:style w:type="paragraph" w:customStyle="1" w:styleId="53">
    <w:name w:val="修订1"/>
    <w:hidden/>
    <w:semiHidden/>
    <w:qFormat/>
    <w:uiPriority w:val="99"/>
    <w:rPr>
      <w:rFonts w:ascii="等线" w:hAnsi="等线" w:eastAsia="等线" w:cs="宋体"/>
      <w:kern w:val="2"/>
      <w:sz w:val="21"/>
      <w:szCs w:val="24"/>
      <w:lang w:val="en-US" w:eastAsia="zh-CN" w:bidi="ar-SA"/>
    </w:rPr>
  </w:style>
  <w:style w:type="character" w:customStyle="1" w:styleId="54">
    <w:name w:val="未处理的提及3"/>
    <w:basedOn w:val="28"/>
    <w:semiHidden/>
    <w:unhideWhenUsed/>
    <w:qFormat/>
    <w:uiPriority w:val="99"/>
    <w:rPr>
      <w:color w:val="605E5C"/>
      <w:shd w:val="clear" w:color="auto" w:fill="E1DFDD"/>
    </w:rPr>
  </w:style>
  <w:style w:type="paragraph" w:customStyle="1" w:styleId="55">
    <w:name w:val="修订2"/>
    <w:hidden/>
    <w:semiHidden/>
    <w:qFormat/>
    <w:uiPriority w:val="99"/>
    <w:rPr>
      <w:rFonts w:ascii="等线" w:hAnsi="等线" w:eastAsia="等线" w:cs="宋体"/>
      <w:kern w:val="2"/>
      <w:sz w:val="21"/>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5.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1" Type="http://schemas.openxmlformats.org/officeDocument/2006/relationships/glossaryDocument" Target="glossary/document.xml"/><Relationship Id="rId10" Type="http://schemas.openxmlformats.org/officeDocument/2006/relationships/fontTable" Target="fontTable.xml"/><Relationship Id="rId1" Type="http://schemas.openxmlformats.org/officeDocument/2006/relationships/styles" Target="styles.xml"/></Relationships>
</file>

<file path=word/glossary/_rels/document.xml.rels><?xml version="1.0" encoding="UTF-8" standalone="yes"?>
<Relationships xmlns="http://schemas.openxmlformats.org/package/2006/relationships"><Relationship Id="rId3"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44078201-c3b5-44c8-ac97-9206c593e9f6}"/>
        <w:style w:val=""/>
        <w:category>
          <w:name w:val="常规"/>
          <w:gallery w:val="placeholder"/>
        </w:category>
        <w:types>
          <w:type w:val="bbPlcHdr"/>
        </w:types>
        <w:behaviors>
          <w:behavior w:val="content"/>
        </w:behaviors>
        <w:description w:val=""/>
        <w:guid w:val="{44078201-c3b5-44c8-ac97-9206c593e9f6}"/>
      </w:docPartPr>
      <w:docPartBody>
        <w:p>
          <w:r>
            <w:rPr>
              <w:color w:val="808080"/>
            </w:rPr>
            <w:t>单击此处输入文字。</w:t>
          </w:r>
        </w:p>
      </w:docPartBody>
    </w:docPart>
    <w:docPart>
      <w:docPartPr>
        <w:name w:val="{77b10b90-ff35-456f-a258-953a1b93bd78}"/>
        <w:style w:val=""/>
        <w:category>
          <w:name w:val="常规"/>
          <w:gallery w:val="placeholder"/>
        </w:category>
        <w:types>
          <w:type w:val="bbPlcHdr"/>
        </w:types>
        <w:behaviors>
          <w:behavior w:val="content"/>
        </w:behaviors>
        <w:description w:val=""/>
        <w:guid w:val="{77b10b90-ff35-456f-a258-953a1b93bd78}"/>
      </w:docPartPr>
      <w:docPartBody>
        <w:p>
          <w:r>
            <w:rPr>
              <w:color w:val="808080"/>
            </w:rPr>
            <w:t>单击此处输入文字。</w:t>
          </w:r>
        </w:p>
      </w:docPartBody>
    </w:docPart>
    <w:docPart>
      <w:docPartPr>
        <w:name w:val="{402d8ef3-1d03-418b-a5a4-95dd3050e0a5}"/>
        <w:style w:val=""/>
        <w:category>
          <w:name w:val="常规"/>
          <w:gallery w:val="placeholder"/>
        </w:category>
        <w:types>
          <w:type w:val="bbPlcHdr"/>
        </w:types>
        <w:behaviors>
          <w:behavior w:val="content"/>
        </w:behaviors>
        <w:description w:val=""/>
        <w:guid w:val="{402d8ef3-1d03-418b-a5a4-95dd3050e0a5}"/>
      </w:docPartPr>
      <w:docPartBody>
        <w:p>
          <w:r>
            <w:rPr>
              <w:color w:val="808080"/>
            </w:rPr>
            <w:t>单击此处输入文字。</w:t>
          </w:r>
        </w:p>
      </w:docPartBody>
    </w:docPart>
    <w:docPart>
      <w:docPartPr>
        <w:name w:val="{ef0dc8b2-ff06-4e28-b252-adf3ede7eff5}"/>
        <w:style w:val=""/>
        <w:category>
          <w:name w:val="常规"/>
          <w:gallery w:val="placeholder"/>
        </w:category>
        <w:types>
          <w:type w:val="bbPlcHdr"/>
        </w:types>
        <w:behaviors>
          <w:behavior w:val="content"/>
        </w:behaviors>
        <w:description w:val=""/>
        <w:guid w:val="{ef0dc8b2-ff06-4e28-b252-adf3ede7eff5}"/>
      </w:docPartPr>
      <w:docPartBody>
        <w:p>
          <w:r>
            <w:rPr>
              <w:color w:val="808080"/>
            </w:rPr>
            <w:t>单击此处输入文字。</w:t>
          </w:r>
        </w:p>
      </w:docPartBody>
    </w:docPart>
    <w:docPart>
      <w:docPartPr>
        <w:name w:val="{ecd0c986-df02-467c-852e-76f1475317d8}"/>
        <w:style w:val=""/>
        <w:category>
          <w:name w:val="常规"/>
          <w:gallery w:val="placeholder"/>
        </w:category>
        <w:types>
          <w:type w:val="bbPlcHdr"/>
        </w:types>
        <w:behaviors>
          <w:behavior w:val="content"/>
        </w:behaviors>
        <w:description w:val=""/>
        <w:guid w:val="{ecd0c986-df02-467c-852e-76f1475317d8}"/>
      </w:docPartPr>
      <w:docPartBody>
        <w:p>
          <w:r>
            <w:rPr>
              <w:color w:val="808080"/>
            </w:rPr>
            <w:t>单击此处输入文字。</w:t>
          </w:r>
        </w:p>
      </w:docPartBody>
    </w:docPart>
    <w:docPart>
      <w:docPartPr>
        <w:name w:val="{150df830-af07-43ea-91db-2f3a84a6249f}"/>
        <w:style w:val=""/>
        <w:category>
          <w:name w:val="常规"/>
          <w:gallery w:val="placeholder"/>
        </w:category>
        <w:types>
          <w:type w:val="bbPlcHdr"/>
        </w:types>
        <w:behaviors>
          <w:behavior w:val="content"/>
        </w:behaviors>
        <w:description w:val=""/>
        <w:guid w:val="{150df830-af07-43ea-91db-2f3a84a6249f}"/>
      </w:docPartPr>
      <w:docPartBody>
        <w:p>
          <w:r>
            <w:rPr>
              <w:color w:val="808080"/>
            </w:rPr>
            <w:t>单击此处输入文字。</w:t>
          </w:r>
        </w:p>
      </w:docPartBody>
    </w:docPart>
    <w:docPart>
      <w:docPartPr>
        <w:name w:val="{8293f966-f653-498c-af5e-bf3617234f8e}"/>
        <w:style w:val=""/>
        <w:category>
          <w:name w:val="常规"/>
          <w:gallery w:val="placeholder"/>
        </w:category>
        <w:types>
          <w:type w:val="bbPlcHdr"/>
        </w:types>
        <w:behaviors>
          <w:behavior w:val="content"/>
        </w:behaviors>
        <w:description w:val=""/>
        <w:guid w:val="{8293f966-f653-498c-af5e-bf3617234f8e}"/>
      </w:docPartPr>
      <w:docPartBody>
        <w:p>
          <w:r>
            <w:rPr>
              <w:color w:val="808080"/>
            </w:rPr>
            <w:t>单击此处输入文字。</w:t>
          </w:r>
        </w:p>
      </w:docPartBody>
    </w:docPart>
    <w:docPart>
      <w:docPartPr>
        <w:name w:val="{bfbcb910-e671-450a-a3c1-1127d0ed241d}"/>
        <w:style w:val=""/>
        <w:category>
          <w:name w:val="常规"/>
          <w:gallery w:val="placeholder"/>
        </w:category>
        <w:types>
          <w:type w:val="bbPlcHdr"/>
        </w:types>
        <w:behaviors>
          <w:behavior w:val="content"/>
        </w:behaviors>
        <w:description w:val=""/>
        <w:guid w:val="{bfbcb910-e671-450a-a3c1-1127d0ed241d}"/>
      </w:docPartPr>
      <w:docPartBody>
        <w:p>
          <w:r>
            <w:rPr>
              <w:color w:val="808080"/>
            </w:rPr>
            <w:t>单击此处输入文字。</w:t>
          </w:r>
        </w:p>
      </w:docPartBody>
    </w:docPart>
    <w:docPart>
      <w:docPartPr>
        <w:name w:val="{3e4ae584-1145-407b-b0ac-99f34b7b5302}"/>
        <w:style w:val=""/>
        <w:category>
          <w:name w:val="常规"/>
          <w:gallery w:val="placeholder"/>
        </w:category>
        <w:types>
          <w:type w:val="bbPlcHdr"/>
        </w:types>
        <w:behaviors>
          <w:behavior w:val="content"/>
        </w:behaviors>
        <w:description w:val=""/>
        <w:guid w:val="{3e4ae584-1145-407b-b0ac-99f34b7b5302}"/>
      </w:docPartPr>
      <w:docPartBody>
        <w:p>
          <w:r>
            <w:rPr>
              <w:color w:val="808080"/>
            </w:rPr>
            <w:t>单击此处输入文字。</w:t>
          </w:r>
        </w:p>
      </w:docPartBody>
    </w:docPart>
    <w:docPart>
      <w:docPartPr>
        <w:name w:val="{c732f51c-097a-42bb-b808-223d7bb39b32}"/>
        <w:style w:val=""/>
        <w:category>
          <w:name w:val="常规"/>
          <w:gallery w:val="placeholder"/>
        </w:category>
        <w:types>
          <w:type w:val="bbPlcHdr"/>
        </w:types>
        <w:behaviors>
          <w:behavior w:val="content"/>
        </w:behaviors>
        <w:description w:val=""/>
        <w:guid w:val="{c732f51c-097a-42bb-b808-223d7bb39b32}"/>
      </w:docPartPr>
      <w:docPartBody>
        <w:p>
          <w:r>
            <w:rPr>
              <w:color w:val="808080"/>
            </w:rPr>
            <w:t>单击此处输入文字。</w:t>
          </w:r>
        </w:p>
      </w:docPartBody>
    </w:docPart>
    <w:docPart>
      <w:docPartPr>
        <w:name w:val="{02671a95-e925-4cf1-a0ba-b1bd4d3fc10b}"/>
        <w:style w:val=""/>
        <w:category>
          <w:name w:val="常规"/>
          <w:gallery w:val="placeholder"/>
        </w:category>
        <w:types>
          <w:type w:val="bbPlcHdr"/>
        </w:types>
        <w:behaviors>
          <w:behavior w:val="content"/>
        </w:behaviors>
        <w:description w:val=""/>
        <w:guid w:val="{02671a95-e925-4cf1-a0ba-b1bd4d3fc10b}"/>
      </w:docPartPr>
      <w:docPartBody>
        <w:p>
          <w:r>
            <w:rPr>
              <w:color w:val="808080"/>
            </w:rPr>
            <w:t>单击此处输入文字。</w:t>
          </w:r>
        </w:p>
      </w:docPartBody>
    </w:docPart>
    <w:docPart>
      <w:docPartPr>
        <w:name w:val="{d4d40a97-3a87-4756-be25-3916798a094f}"/>
        <w:style w:val=""/>
        <w:category>
          <w:name w:val="常规"/>
          <w:gallery w:val="placeholder"/>
        </w:category>
        <w:types>
          <w:type w:val="bbPlcHdr"/>
        </w:types>
        <w:behaviors>
          <w:behavior w:val="content"/>
        </w:behaviors>
        <w:description w:val=""/>
        <w:guid w:val="{d4d40a97-3a87-4756-be25-3916798a094f}"/>
      </w:docPartPr>
      <w:docPartBody>
        <w:p>
          <w:r>
            <w:rPr>
              <w:color w:val="808080"/>
            </w:rPr>
            <w:t>单击此处输入文字。</w:t>
          </w:r>
        </w:p>
      </w:docPartBody>
    </w:docPart>
    <w:docPart>
      <w:docPartPr>
        <w:name w:val="{8acc5462-bdda-42b9-9192-964a05589a97}"/>
        <w:style w:val=""/>
        <w:category>
          <w:name w:val="常规"/>
          <w:gallery w:val="placeholder"/>
        </w:category>
        <w:types>
          <w:type w:val="bbPlcHdr"/>
        </w:types>
        <w:behaviors>
          <w:behavior w:val="content"/>
        </w:behaviors>
        <w:description w:val=""/>
        <w:guid w:val="{8acc5462-bdda-42b9-9192-964a05589a97}"/>
      </w:docPartPr>
      <w:docPartBody>
        <w:p>
          <w:r>
            <w:rPr>
              <w:color w:val="808080"/>
            </w:rPr>
            <w:t>单击此处输入文字。</w:t>
          </w:r>
        </w:p>
      </w:docPartBody>
    </w:docPart>
    <w:docPart>
      <w:docPartPr>
        <w:name w:val="{92816bf4-7c4b-45f3-9906-75cef37ccdbb}"/>
        <w:style w:val=""/>
        <w:category>
          <w:name w:val="常规"/>
          <w:gallery w:val="placeholder"/>
        </w:category>
        <w:types>
          <w:type w:val="bbPlcHdr"/>
        </w:types>
        <w:behaviors>
          <w:behavior w:val="content"/>
        </w:behaviors>
        <w:description w:val=""/>
        <w:guid w:val="{92816bf4-7c4b-45f3-9906-75cef37ccdbb}"/>
      </w:docPartPr>
      <w:docPartBody>
        <w:p>
          <w:r>
            <w:rPr>
              <w:color w:val="808080"/>
            </w:rPr>
            <w:t>单击此处输入文字。</w:t>
          </w:r>
        </w:p>
      </w:docPartBody>
    </w:docPart>
    <w:docPart>
      <w:docPartPr>
        <w:name w:val="{a39a60d4-a293-4865-a204-f6c4c6973bb2}"/>
        <w:style w:val=""/>
        <w:category>
          <w:name w:val="常规"/>
          <w:gallery w:val="placeholder"/>
        </w:category>
        <w:types>
          <w:type w:val="bbPlcHdr"/>
        </w:types>
        <w:behaviors>
          <w:behavior w:val="content"/>
        </w:behaviors>
        <w:description w:val=""/>
        <w:guid w:val="{a39a60d4-a293-4865-a204-f6c4c6973bb2}"/>
      </w:docPartPr>
      <w:docPartBody>
        <w:p>
          <w:r>
            <w:rPr>
              <w:color w:val="808080"/>
            </w:rPr>
            <w:t>单击此处输入文字。</w:t>
          </w:r>
        </w:p>
      </w:docPartBody>
    </w:docPart>
    <w:docPart>
      <w:docPartPr>
        <w:name w:val="{adf47556-a381-460a-a1d3-1c15998d318b}"/>
        <w:style w:val=""/>
        <w:category>
          <w:name w:val="常规"/>
          <w:gallery w:val="placeholder"/>
        </w:category>
        <w:types>
          <w:type w:val="bbPlcHdr"/>
        </w:types>
        <w:behaviors>
          <w:behavior w:val="content"/>
        </w:behaviors>
        <w:description w:val=""/>
        <w:guid w:val="{adf47556-a381-460a-a1d3-1c15998d318b}"/>
      </w:docPartPr>
      <w:docPartBody>
        <w:p>
          <w:r>
            <w:rPr>
              <w:color w:val="808080"/>
            </w:rPr>
            <w:t>单击此处输入文字。</w:t>
          </w:r>
        </w:p>
      </w:docPartBody>
    </w:docPart>
    <w:docPart>
      <w:docPartPr>
        <w:name w:val="{62967227-a27e-40c8-83e8-f16640266b2e}"/>
        <w:style w:val=""/>
        <w:category>
          <w:name w:val="常规"/>
          <w:gallery w:val="placeholder"/>
        </w:category>
        <w:types>
          <w:type w:val="bbPlcHdr"/>
        </w:types>
        <w:behaviors>
          <w:behavior w:val="content"/>
        </w:behaviors>
        <w:description w:val=""/>
        <w:guid w:val="{62967227-a27e-40c8-83e8-f16640266b2e}"/>
      </w:docPartPr>
      <w:docPartBody>
        <w:p>
          <w:r>
            <w:rPr>
              <w:color w:val="808080"/>
            </w:rPr>
            <w:t>单击此处输入文字。</w:t>
          </w:r>
        </w:p>
      </w:docPartBody>
    </w:docPart>
    <w:docPart>
      <w:docPartPr>
        <w:name w:val="{e236c5ac-d724-4518-a436-43a97523126e}"/>
        <w:style w:val=""/>
        <w:category>
          <w:name w:val="常规"/>
          <w:gallery w:val="placeholder"/>
        </w:category>
        <w:types>
          <w:type w:val="bbPlcHdr"/>
        </w:types>
        <w:behaviors>
          <w:behavior w:val="content"/>
        </w:behaviors>
        <w:description w:val=""/>
        <w:guid w:val="{e236c5ac-d724-4518-a436-43a97523126e}"/>
      </w:docPartPr>
      <w:docPartBody>
        <w:p>
          <w:r>
            <w:rPr>
              <w:color w:val="808080"/>
            </w:rPr>
            <w:t>单击此处输入文字。</w:t>
          </w:r>
        </w:p>
      </w:docPartBody>
    </w:docPart>
    <w:docPart>
      <w:docPartPr>
        <w:name w:val="{fda8cd7a-401c-49df-ba05-750bf4ada8db}"/>
        <w:style w:val=""/>
        <w:category>
          <w:name w:val="常规"/>
          <w:gallery w:val="placeholder"/>
        </w:category>
        <w:types>
          <w:type w:val="bbPlcHdr"/>
        </w:types>
        <w:behaviors>
          <w:behavior w:val="content"/>
        </w:behaviors>
        <w:description w:val=""/>
        <w:guid w:val="{fda8cd7a-401c-49df-ba05-750bf4ada8db}"/>
      </w:docPartPr>
      <w:docPartBody>
        <w:p>
          <w:r>
            <w:rPr>
              <w:color w:val="808080"/>
            </w:rPr>
            <w:t>单击此处输入文字。</w:t>
          </w:r>
        </w:p>
      </w:docPartBody>
    </w:docPart>
    <w:docPart>
      <w:docPartPr>
        <w:name w:val="{da30d7ce-83ca-4caf-8ade-c3d3d5de8afe}"/>
        <w:style w:val=""/>
        <w:category>
          <w:name w:val="常规"/>
          <w:gallery w:val="placeholder"/>
        </w:category>
        <w:types>
          <w:type w:val="bbPlcHdr"/>
        </w:types>
        <w:behaviors>
          <w:behavior w:val="content"/>
        </w:behaviors>
        <w:description w:val=""/>
        <w:guid w:val="{da30d7ce-83ca-4caf-8ade-c3d3d5de8afe}"/>
      </w:docPartPr>
      <w:docPartBody>
        <w:p>
          <w:r>
            <w:rPr>
              <w:color w:val="808080"/>
            </w:rPr>
            <w:t>单击此处输入文字。</w:t>
          </w:r>
        </w:p>
      </w:docPartBody>
    </w:docPart>
    <w:docPart>
      <w:docPartPr>
        <w:name w:val="{0d79452a-4e50-4190-aa91-363727d11321}"/>
        <w:style w:val=""/>
        <w:category>
          <w:name w:val="常规"/>
          <w:gallery w:val="placeholder"/>
        </w:category>
        <w:types>
          <w:type w:val="bbPlcHdr"/>
        </w:types>
        <w:behaviors>
          <w:behavior w:val="content"/>
        </w:behaviors>
        <w:description w:val=""/>
        <w:guid w:val="{0d79452a-4e50-4190-aa91-363727d11321}"/>
      </w:docPartPr>
      <w:docPartBody>
        <w:p>
          <w:r>
            <w:rPr>
              <w:color w:val="808080"/>
            </w:rPr>
            <w:t>单击此处输入文字。</w:t>
          </w:r>
        </w:p>
      </w:docPartBody>
    </w:docPart>
    <w:docPart>
      <w:docPartPr>
        <w:name w:val="{c5984c0b-6ea7-41be-8304-dac904641be6}"/>
        <w:style w:val=""/>
        <w:category>
          <w:name w:val="常规"/>
          <w:gallery w:val="placeholder"/>
        </w:category>
        <w:types>
          <w:type w:val="bbPlcHdr"/>
        </w:types>
        <w:behaviors>
          <w:behavior w:val="content"/>
        </w:behaviors>
        <w:description w:val=""/>
        <w:guid w:val="{c5984c0b-6ea7-41be-8304-dac904641be6}"/>
      </w:docPartPr>
      <w:docPartBody>
        <w:p>
          <w:r>
            <w:rPr>
              <w:color w:val="808080"/>
            </w:rPr>
            <w:t>单击此处输入文字。</w:t>
          </w:r>
        </w:p>
      </w:docPartBody>
    </w:docPart>
    <w:docPart>
      <w:docPartPr>
        <w:name w:val="{2a7d2a54-f57a-4f98-a722-44eea55ffe3e}"/>
        <w:style w:val=""/>
        <w:category>
          <w:name w:val="常规"/>
          <w:gallery w:val="placeholder"/>
        </w:category>
        <w:types>
          <w:type w:val="bbPlcHdr"/>
        </w:types>
        <w:behaviors>
          <w:behavior w:val="content"/>
        </w:behaviors>
        <w:description w:val=""/>
        <w:guid w:val="{2a7d2a54-f57a-4f98-a722-44eea55ffe3e}"/>
      </w:docPartPr>
      <w:docPartBody>
        <w:p>
          <w:r>
            <w:rPr>
              <w:color w:val="808080"/>
            </w:rPr>
            <w:t>单击此处输入文字。</w:t>
          </w:r>
        </w:p>
      </w:docPartBody>
    </w:docPart>
    <w:docPart>
      <w:docPartPr>
        <w:name w:val="{e6e79112-70d7-407c-88ee-17c05900dccb}"/>
        <w:style w:val=""/>
        <w:category>
          <w:name w:val="常规"/>
          <w:gallery w:val="placeholder"/>
        </w:category>
        <w:types>
          <w:type w:val="bbPlcHdr"/>
        </w:types>
        <w:behaviors>
          <w:behavior w:val="content"/>
        </w:behaviors>
        <w:description w:val=""/>
        <w:guid w:val="{e6e79112-70d7-407c-88ee-17c05900dccb}"/>
      </w:docPartPr>
      <w:docPartBody>
        <w:p>
          <w:r>
            <w:rPr>
              <w:color w:val="808080"/>
            </w:rPr>
            <w:t>单击此处输入文字。</w:t>
          </w:r>
        </w:p>
      </w:docPartBody>
    </w:docPart>
    <w:docPart>
      <w:docPartPr>
        <w:name w:val="{39c6b829-e7ff-4757-9ab9-be2eeef169bb}"/>
        <w:style w:val=""/>
        <w:category>
          <w:name w:val="常规"/>
          <w:gallery w:val="placeholder"/>
        </w:category>
        <w:types>
          <w:type w:val="bbPlcHdr"/>
        </w:types>
        <w:behaviors>
          <w:behavior w:val="content"/>
        </w:behaviors>
        <w:description w:val=""/>
        <w:guid w:val="{39c6b829-e7ff-4757-9ab9-be2eeef169bb}"/>
      </w:docPartPr>
      <w:docPartBody>
        <w:p>
          <w:r>
            <w:rPr>
              <w:color w:val="808080"/>
            </w:rPr>
            <w:t>单击此处输入文字。</w:t>
          </w:r>
        </w:p>
      </w:docPartBody>
    </w:docPart>
    <w:docPart>
      <w:docPartPr>
        <w:name w:val="{6b7228c2-e7d0-434f-bceb-8be26b3bed2e}"/>
        <w:style w:val=""/>
        <w:category>
          <w:name w:val="常规"/>
          <w:gallery w:val="placeholder"/>
        </w:category>
        <w:types>
          <w:type w:val="bbPlcHdr"/>
        </w:types>
        <w:behaviors>
          <w:behavior w:val="content"/>
        </w:behaviors>
        <w:description w:val=""/>
        <w:guid w:val="{6b7228c2-e7d0-434f-bceb-8be26b3bed2e}"/>
      </w:docPartPr>
      <w:docPartBody>
        <w:p>
          <w:r>
            <w:rPr>
              <w:color w:val="808080"/>
            </w:rPr>
            <w:t>单击此处输入文字。</w:t>
          </w:r>
        </w:p>
      </w:docPartBody>
    </w:docPart>
    <w:docPart>
      <w:docPartPr>
        <w:name w:val="{76aaa111-28f3-451f-b414-b9f0894ae276}"/>
        <w:style w:val=""/>
        <w:category>
          <w:name w:val="常规"/>
          <w:gallery w:val="placeholder"/>
        </w:category>
        <w:types>
          <w:type w:val="bbPlcHdr"/>
        </w:types>
        <w:behaviors>
          <w:behavior w:val="content"/>
        </w:behaviors>
        <w:description w:val=""/>
        <w:guid w:val="{76aaa111-28f3-451f-b414-b9f0894ae276}"/>
      </w:docPartPr>
      <w:docPartBody>
        <w:p>
          <w:r>
            <w:rPr>
              <w:color w:val="808080"/>
            </w:rPr>
            <w:t>单击此处输入文字。</w:t>
          </w:r>
        </w:p>
      </w:docPartBody>
    </w:docPart>
    <w:docPart>
      <w:docPartPr>
        <w:name w:val="{39416ccd-6c09-43c2-91d8-869eaea396d6}"/>
        <w:style w:val=""/>
        <w:category>
          <w:name w:val="常规"/>
          <w:gallery w:val="placeholder"/>
        </w:category>
        <w:types>
          <w:type w:val="bbPlcHdr"/>
        </w:types>
        <w:behaviors>
          <w:behavior w:val="content"/>
        </w:behaviors>
        <w:description w:val=""/>
        <w:guid w:val="{39416ccd-6c09-43c2-91d8-869eaea396d6}"/>
      </w:docPartPr>
      <w:docPartBody>
        <w:p>
          <w:r>
            <w:rPr>
              <w:color w:val="808080"/>
            </w:rPr>
            <w:t>单击此处输入文字。</w:t>
          </w:r>
        </w:p>
      </w:docPartBody>
    </w:docPart>
    <w:docPart>
      <w:docPartPr>
        <w:name w:val="{a84d65fb-ca37-45f4-a884-c794803be395}"/>
        <w:style w:val=""/>
        <w:category>
          <w:name w:val="常规"/>
          <w:gallery w:val="placeholder"/>
        </w:category>
        <w:types>
          <w:type w:val="bbPlcHdr"/>
        </w:types>
        <w:behaviors>
          <w:behavior w:val="content"/>
        </w:behaviors>
        <w:description w:val=""/>
        <w:guid w:val="{a84d65fb-ca37-45f4-a884-c794803be395}"/>
      </w:docPartPr>
      <w:docPartBody>
        <w:p>
          <w:r>
            <w:rPr>
              <w:color w:val="808080"/>
            </w:rPr>
            <w:t>单击此处输入文字。</w:t>
          </w:r>
        </w:p>
      </w:docPartBody>
    </w:docPart>
    <w:docPart>
      <w:docPartPr>
        <w:name w:val="{3e3a0d7e-7bca-4fcc-a5de-cb5b2ce4e378}"/>
        <w:style w:val=""/>
        <w:category>
          <w:name w:val="常规"/>
          <w:gallery w:val="placeholder"/>
        </w:category>
        <w:types>
          <w:type w:val="bbPlcHdr"/>
        </w:types>
        <w:behaviors>
          <w:behavior w:val="content"/>
        </w:behaviors>
        <w:description w:val=""/>
        <w:guid w:val="{3e3a0d7e-7bca-4fcc-a5de-cb5b2ce4e378}"/>
      </w:docPartPr>
      <w:docPartBody>
        <w:p>
          <w:r>
            <w:rPr>
              <w:color w:val="808080"/>
            </w:rPr>
            <w:t>单击此处输入文字。</w:t>
          </w:r>
        </w:p>
      </w:docPartBody>
    </w:docPart>
    <w:docPart>
      <w:docPartPr>
        <w:name w:val="{a14400e6-613a-476c-bb82-a9bb7dfcd43c}"/>
        <w:style w:val=""/>
        <w:category>
          <w:name w:val="常规"/>
          <w:gallery w:val="placeholder"/>
        </w:category>
        <w:types>
          <w:type w:val="bbPlcHdr"/>
        </w:types>
        <w:behaviors>
          <w:behavior w:val="content"/>
        </w:behaviors>
        <w:description w:val=""/>
        <w:guid w:val="{a14400e6-613a-476c-bb82-a9bb7dfcd43c}"/>
      </w:docPartPr>
      <w:docPartBody>
        <w:p>
          <w:r>
            <w:rPr>
              <w:color w:val="808080"/>
            </w:rPr>
            <w:t>单击此处输入文字。</w:t>
          </w:r>
        </w:p>
      </w:docPartBody>
    </w:docPart>
    <w:docPart>
      <w:docPartPr>
        <w:name w:val="{30164f50-162d-494b-a316-b19c6ac12390}"/>
        <w:style w:val=""/>
        <w:category>
          <w:name w:val="常规"/>
          <w:gallery w:val="placeholder"/>
        </w:category>
        <w:types>
          <w:type w:val="bbPlcHdr"/>
        </w:types>
        <w:behaviors>
          <w:behavior w:val="content"/>
        </w:behaviors>
        <w:description w:val=""/>
        <w:guid w:val="{30164f50-162d-494b-a316-b19c6ac12390}"/>
      </w:docPartPr>
      <w:docPartBody>
        <w:p>
          <w:r>
            <w:rPr>
              <w:color w:val="808080"/>
            </w:rPr>
            <w:t>单击此处输入文字。</w:t>
          </w:r>
        </w:p>
      </w:docPartBody>
    </w:docPart>
    <w:docPart>
      <w:docPartPr>
        <w:name w:val="{44232531-da07-44d4-9cc3-6d761aa54ed1}"/>
        <w:style w:val=""/>
        <w:category>
          <w:name w:val="常规"/>
          <w:gallery w:val="placeholder"/>
        </w:category>
        <w:types>
          <w:type w:val="bbPlcHdr"/>
        </w:types>
        <w:behaviors>
          <w:behavior w:val="content"/>
        </w:behaviors>
        <w:description w:val=""/>
        <w:guid w:val="{44232531-da07-44d4-9cc3-6d761aa54ed1}"/>
      </w:docPartPr>
      <w:docPartBody>
        <w:p>
          <w:r>
            <w:rPr>
              <w:color w:val="808080"/>
            </w:rPr>
            <w:t>单击此处输入文字。</w:t>
          </w:r>
        </w:p>
      </w:docPartBody>
    </w:docPart>
    <w:docPart>
      <w:docPartPr>
        <w:name w:val="{9336547f-7b78-4773-ac58-fcf2d05a5d2e}"/>
        <w:style w:val=""/>
        <w:category>
          <w:name w:val="常规"/>
          <w:gallery w:val="placeholder"/>
        </w:category>
        <w:types>
          <w:type w:val="bbPlcHdr"/>
        </w:types>
        <w:behaviors>
          <w:behavior w:val="content"/>
        </w:behaviors>
        <w:description w:val=""/>
        <w:guid w:val="{9336547f-7b78-4773-ac58-fcf2d05a5d2e}"/>
      </w:docPartPr>
      <w:docPartBody>
        <w:p>
          <w:r>
            <w:rPr>
              <w:color w:val="808080"/>
            </w:rPr>
            <w:t>单击此处输入文字。</w:t>
          </w:r>
        </w:p>
      </w:docPartBody>
    </w:docPart>
    <w:docPart>
      <w:docPartPr>
        <w:name w:val="{4a4728f6-93db-4cf7-97e9-2f0c63333c86}"/>
        <w:style w:val=""/>
        <w:category>
          <w:name w:val="常规"/>
          <w:gallery w:val="placeholder"/>
        </w:category>
        <w:types>
          <w:type w:val="bbPlcHdr"/>
        </w:types>
        <w:behaviors>
          <w:behavior w:val="content"/>
        </w:behaviors>
        <w:description w:val=""/>
        <w:guid w:val="{4a4728f6-93db-4cf7-97e9-2f0c63333c86}"/>
      </w:docPartPr>
      <w:docPartBody>
        <w:p>
          <w:r>
            <w:rPr>
              <w:color w:val="808080"/>
            </w:rPr>
            <w:t>单击此处输入文字。</w:t>
          </w:r>
        </w:p>
      </w:docPartBody>
    </w:docPart>
    <w:docPart>
      <w:docPartPr>
        <w:name w:val="{dd63d9ce-9b3e-4b62-992c-b768ce91f2f5}"/>
        <w:style w:val=""/>
        <w:category>
          <w:name w:val="常规"/>
          <w:gallery w:val="placeholder"/>
        </w:category>
        <w:types>
          <w:type w:val="bbPlcHdr"/>
        </w:types>
        <w:behaviors>
          <w:behavior w:val="content"/>
        </w:behaviors>
        <w:description w:val=""/>
        <w:guid w:val="{dd63d9ce-9b3e-4b62-992c-b768ce91f2f5}"/>
      </w:docPartPr>
      <w:docPartBody>
        <w:p>
          <w:r>
            <w:rPr>
              <w:color w:val="808080"/>
            </w:rPr>
            <w:t>单击此处输入文字。</w:t>
          </w:r>
        </w:p>
      </w:docPartBody>
    </w:docPart>
    <w:docPart>
      <w:docPartPr>
        <w:name w:val="{4fdcda58-8023-436d-a5d3-5596b9a1d498}"/>
        <w:style w:val=""/>
        <w:category>
          <w:name w:val="常规"/>
          <w:gallery w:val="placeholder"/>
        </w:category>
        <w:types>
          <w:type w:val="bbPlcHdr"/>
        </w:types>
        <w:behaviors>
          <w:behavior w:val="content"/>
        </w:behaviors>
        <w:description w:val=""/>
        <w:guid w:val="{4fdcda58-8023-436d-a5d3-5596b9a1d498}"/>
      </w:docPartPr>
      <w:docPartBody>
        <w:p>
          <w:r>
            <w:rPr>
              <w:color w:val="808080"/>
            </w:rPr>
            <w:t>单击此处输入文字。</w:t>
          </w:r>
        </w:p>
      </w:docPartBody>
    </w:docPart>
    <w:docPart>
      <w:docPartPr>
        <w:name w:val="{7715c8b4-1de0-4dc8-b5ae-ce5afeb41be7}"/>
        <w:style w:val=""/>
        <w:category>
          <w:name w:val="常规"/>
          <w:gallery w:val="placeholder"/>
        </w:category>
        <w:types>
          <w:type w:val="bbPlcHdr"/>
        </w:types>
        <w:behaviors>
          <w:behavior w:val="content"/>
        </w:behaviors>
        <w:description w:val=""/>
        <w:guid w:val="{7715c8b4-1de0-4dc8-b5ae-ce5afeb41be7}"/>
      </w:docPartPr>
      <w:docPartBody>
        <w:p>
          <w:r>
            <w:rPr>
              <w:color w:val="808080"/>
            </w:rPr>
            <w:t>单击此处输入文字。</w:t>
          </w:r>
        </w:p>
      </w:docPartBody>
    </w:docPart>
    <w:docPart>
      <w:docPartPr>
        <w:name w:val="{b7362060-0605-4d1b-a35d-7fb943132efa}"/>
        <w:style w:val=""/>
        <w:category>
          <w:name w:val="常规"/>
          <w:gallery w:val="placeholder"/>
        </w:category>
        <w:types>
          <w:type w:val="bbPlcHdr"/>
        </w:types>
        <w:behaviors>
          <w:behavior w:val="content"/>
        </w:behaviors>
        <w:description w:val=""/>
        <w:guid w:val="{b7362060-0605-4d1b-a35d-7fb943132efa}"/>
      </w:docPartPr>
      <w:docPartBody>
        <w:p>
          <w:r>
            <w:rPr>
              <w:color w:val="808080"/>
            </w:rPr>
            <w:t>单击此处输入文字。</w:t>
          </w:r>
        </w:p>
      </w:docPartBody>
    </w:docPart>
    <w:docPart>
      <w:docPartPr>
        <w:name w:val="{67376f8a-f63f-4566-9afb-80e9ea343704}"/>
        <w:style w:val=""/>
        <w:category>
          <w:name w:val="常规"/>
          <w:gallery w:val="placeholder"/>
        </w:category>
        <w:types>
          <w:type w:val="bbPlcHdr"/>
        </w:types>
        <w:behaviors>
          <w:behavior w:val="content"/>
        </w:behaviors>
        <w:description w:val=""/>
        <w:guid w:val="{67376f8a-f63f-4566-9afb-80e9ea343704}"/>
      </w:docPartPr>
      <w:docPartBody>
        <w:p>
          <w:r>
            <w:rPr>
              <w:color w:val="808080"/>
            </w:rPr>
            <w:t>单击此处输入文字。</w:t>
          </w:r>
        </w:p>
      </w:docPartBody>
    </w:docPart>
    <w:docPart>
      <w:docPartPr>
        <w:name w:val="{47ef0b58-a58a-4889-960b-ecffe239a5f4}"/>
        <w:style w:val=""/>
        <w:category>
          <w:name w:val="常规"/>
          <w:gallery w:val="placeholder"/>
        </w:category>
        <w:types>
          <w:type w:val="bbPlcHdr"/>
        </w:types>
        <w:behaviors>
          <w:behavior w:val="content"/>
        </w:behaviors>
        <w:description w:val=""/>
        <w:guid w:val="{47ef0b58-a58a-4889-960b-ecffe239a5f4}"/>
      </w:docPartPr>
      <w:docPartBody>
        <w:p>
          <w:r>
            <w:rPr>
              <w:color w:val="808080"/>
            </w:rPr>
            <w:t>单击此处输入文字。</w:t>
          </w:r>
        </w:p>
      </w:docPartBody>
    </w:docPart>
    <w:docPart>
      <w:docPartPr>
        <w:name w:val="{c29c80f6-ccb7-4bd1-b858-47b8089d5584}"/>
        <w:style w:val=""/>
        <w:category>
          <w:name w:val="常规"/>
          <w:gallery w:val="placeholder"/>
        </w:category>
        <w:types>
          <w:type w:val="bbPlcHdr"/>
        </w:types>
        <w:behaviors>
          <w:behavior w:val="content"/>
        </w:behaviors>
        <w:description w:val=""/>
        <w:guid w:val="{c29c80f6-ccb7-4bd1-b858-47b8089d5584}"/>
      </w:docPartPr>
      <w:docPartBody>
        <w:p>
          <w:r>
            <w:rPr>
              <w:color w:val="808080"/>
            </w:rPr>
            <w:t>单击此处输入文字。</w:t>
          </w:r>
        </w:p>
      </w:docPartBody>
    </w:docPart>
    <w:docPart>
      <w:docPartPr>
        <w:name w:val="{640ad3a8-fc2e-4076-a6e1-0db1682aed16}"/>
        <w:style w:val=""/>
        <w:category>
          <w:name w:val="常规"/>
          <w:gallery w:val="placeholder"/>
        </w:category>
        <w:types>
          <w:type w:val="bbPlcHdr"/>
        </w:types>
        <w:behaviors>
          <w:behavior w:val="content"/>
        </w:behaviors>
        <w:description w:val=""/>
        <w:guid w:val="{640ad3a8-fc2e-4076-a6e1-0db1682aed16}"/>
      </w:docPartPr>
      <w:docPartBody>
        <w:p>
          <w:r>
            <w:rPr>
              <w:color w:val="808080"/>
            </w:rPr>
            <w:t>单击此处输入文字。</w:t>
          </w:r>
        </w:p>
      </w:docPartBody>
    </w:docPart>
    <w:docPart>
      <w:docPartPr>
        <w:name w:val="{6012f774-2289-4347-9a45-99c5ea125c7a}"/>
        <w:style w:val=""/>
        <w:category>
          <w:name w:val="常规"/>
          <w:gallery w:val="placeholder"/>
        </w:category>
        <w:types>
          <w:type w:val="bbPlcHdr"/>
        </w:types>
        <w:behaviors>
          <w:behavior w:val="content"/>
        </w:behaviors>
        <w:description w:val=""/>
        <w:guid w:val="{6012f774-2289-4347-9a45-99c5ea125c7a}"/>
      </w:docPartPr>
      <w:docPartBody>
        <w:p>
          <w:r>
            <w:rPr>
              <w:color w:val="808080"/>
            </w:rPr>
            <w:t>单击此处输入文字。</w:t>
          </w:r>
        </w:p>
      </w:docPartBody>
    </w:docPart>
    <w:docPart>
      <w:docPartPr>
        <w:name w:val="{9bdf2415-c501-4537-a9fb-433782b61222}"/>
        <w:style w:val=""/>
        <w:category>
          <w:name w:val="常规"/>
          <w:gallery w:val="placeholder"/>
        </w:category>
        <w:types>
          <w:type w:val="bbPlcHdr"/>
        </w:types>
        <w:behaviors>
          <w:behavior w:val="content"/>
        </w:behaviors>
        <w:description w:val=""/>
        <w:guid w:val="{9bdf2415-c501-4537-a9fb-433782b61222}"/>
      </w:docPartPr>
      <w:docPartBody>
        <w:p>
          <w:r>
            <w:rPr>
              <w:color w:val="808080"/>
            </w:rPr>
            <w:t>单击此处输入文字。</w:t>
          </w:r>
        </w:p>
      </w:docPartBody>
    </w:docPart>
    <w:docPart>
      <w:docPartPr>
        <w:name w:val="{367b8909-2dd8-4252-aa16-08f08f7c3214}"/>
        <w:style w:val=""/>
        <w:category>
          <w:name w:val="常规"/>
          <w:gallery w:val="placeholder"/>
        </w:category>
        <w:types>
          <w:type w:val="bbPlcHdr"/>
        </w:types>
        <w:behaviors>
          <w:behavior w:val="content"/>
        </w:behaviors>
        <w:description w:val=""/>
        <w:guid w:val="{367b8909-2dd8-4252-aa16-08f08f7c3214}"/>
      </w:docPartPr>
      <w:docPartBody>
        <w:p>
          <w:r>
            <w:rPr>
              <w:color w:val="808080"/>
            </w:rPr>
            <w:t>单击此处输入文字。</w:t>
          </w:r>
        </w:p>
      </w:docPartBody>
    </w:docPart>
    <w:docPart>
      <w:docPartPr>
        <w:name w:val="{b950c1b7-8300-4e3c-84bc-f9bd29065800}"/>
        <w:style w:val=""/>
        <w:category>
          <w:name w:val="常规"/>
          <w:gallery w:val="placeholder"/>
        </w:category>
        <w:types>
          <w:type w:val="bbPlcHdr"/>
        </w:types>
        <w:behaviors>
          <w:behavior w:val="content"/>
        </w:behaviors>
        <w:description w:val=""/>
        <w:guid w:val="{b950c1b7-8300-4e3c-84bc-f9bd29065800}"/>
      </w:docPartPr>
      <w:docPartBody>
        <w:p>
          <w:r>
            <w:rPr>
              <w:color w:val="808080"/>
            </w:rPr>
            <w:t>单击此处输入文字。</w:t>
          </w:r>
        </w:p>
      </w:docPartBody>
    </w:docPart>
    <w:docPart>
      <w:docPartPr>
        <w:name w:val="{136b7446-0c64-4e44-afcb-064912629682}"/>
        <w:style w:val=""/>
        <w:category>
          <w:name w:val="常规"/>
          <w:gallery w:val="placeholder"/>
        </w:category>
        <w:types>
          <w:type w:val="bbPlcHdr"/>
        </w:types>
        <w:behaviors>
          <w:behavior w:val="content"/>
        </w:behaviors>
        <w:description w:val=""/>
        <w:guid w:val="{136b7446-0c64-4e44-afcb-064912629682}"/>
      </w:docPartPr>
      <w:docPartBody>
        <w:p>
          <w:r>
            <w:rPr>
              <w:color w:val="808080"/>
            </w:rPr>
            <w:t>单击此处输入文字。</w:t>
          </w:r>
        </w:p>
      </w:docPartBody>
    </w:docPart>
    <w:docPart>
      <w:docPartPr>
        <w:name w:val="{6372dc6a-2622-4b8d-8a46-c840aee2cb01}"/>
        <w:style w:val=""/>
        <w:category>
          <w:name w:val="常规"/>
          <w:gallery w:val="placeholder"/>
        </w:category>
        <w:types>
          <w:type w:val="bbPlcHdr"/>
        </w:types>
        <w:behaviors>
          <w:behavior w:val="content"/>
        </w:behaviors>
        <w:description w:val=""/>
        <w:guid w:val="{6372dc6a-2622-4b8d-8a46-c840aee2cb01}"/>
      </w:docPartPr>
      <w:docPartBody>
        <w:p>
          <w:r>
            <w:rPr>
              <w:color w:val="808080"/>
            </w:rPr>
            <w:t>单击此处输入文字。</w:t>
          </w:r>
        </w:p>
      </w:docPartBody>
    </w:docPart>
    <w:docPart>
      <w:docPartPr>
        <w:name w:val="{e0212f36-1866-48d7-ab23-b8c72bf1a2b6}"/>
        <w:style w:val=""/>
        <w:category>
          <w:name w:val="常规"/>
          <w:gallery w:val="placeholder"/>
        </w:category>
        <w:types>
          <w:type w:val="bbPlcHdr"/>
        </w:types>
        <w:behaviors>
          <w:behavior w:val="content"/>
        </w:behaviors>
        <w:description w:val=""/>
        <w:guid w:val="{e0212f36-1866-48d7-ab23-b8c72bf1a2b6}"/>
      </w:docPartPr>
      <w:docPartBody>
        <w:p>
          <w:r>
            <w:rPr>
              <w:color w:val="808080"/>
            </w:rPr>
            <w:t>单击此处输入文字。</w:t>
          </w:r>
        </w:p>
      </w:docPartBody>
    </w:docPart>
    <w:docPart>
      <w:docPartPr>
        <w:name w:val="{32a2e298-1912-41fe-b896-083c6572bd0a}"/>
        <w:style w:val=""/>
        <w:category>
          <w:name w:val="常规"/>
          <w:gallery w:val="placeholder"/>
        </w:category>
        <w:types>
          <w:type w:val="bbPlcHdr"/>
        </w:types>
        <w:behaviors>
          <w:behavior w:val="content"/>
        </w:behaviors>
        <w:description w:val=""/>
        <w:guid w:val="{32a2e298-1912-41fe-b896-083c6572bd0a}"/>
      </w:docPartPr>
      <w:docPartBody>
        <w:p>
          <w:r>
            <w:rPr>
              <w:color w:val="808080"/>
            </w:rPr>
            <w:t>单击此处输入文字。</w:t>
          </w:r>
        </w:p>
      </w:docPartBody>
    </w:docPart>
    <w:docPart>
      <w:docPartPr>
        <w:name w:val="{409e9eeb-aae6-409b-8d73-65dd456e73d1}"/>
        <w:style w:val=""/>
        <w:category>
          <w:name w:val="常规"/>
          <w:gallery w:val="placeholder"/>
        </w:category>
        <w:types>
          <w:type w:val="bbPlcHdr"/>
        </w:types>
        <w:behaviors>
          <w:behavior w:val="content"/>
        </w:behaviors>
        <w:description w:val=""/>
        <w:guid w:val="{409e9eeb-aae6-409b-8d73-65dd456e73d1}"/>
      </w:docPartPr>
      <w:docPartBody>
        <w:p>
          <w:r>
            <w:rPr>
              <w:color w:val="808080"/>
            </w:rPr>
            <w:t>单击此处输入文字。</w:t>
          </w:r>
        </w:p>
      </w:docPartBody>
    </w:docPart>
    <w:docPart>
      <w:docPartPr>
        <w:name w:val="{aa9735df-0ec2-4df4-b9e8-d52e7ddb1496}"/>
        <w:style w:val=""/>
        <w:category>
          <w:name w:val="常规"/>
          <w:gallery w:val="placeholder"/>
        </w:category>
        <w:types>
          <w:type w:val="bbPlcHdr"/>
        </w:types>
        <w:behaviors>
          <w:behavior w:val="content"/>
        </w:behaviors>
        <w:description w:val=""/>
        <w:guid w:val="{aa9735df-0ec2-4df4-b9e8-d52e7ddb1496}"/>
      </w:docPartPr>
      <w:docPartBody>
        <w:p>
          <w:r>
            <w:rPr>
              <w:color w:val="808080"/>
            </w:rPr>
            <w:t>单击此处输入文字。</w:t>
          </w:r>
        </w:p>
      </w:docPartBody>
    </w:docPart>
    <w:docPart>
      <w:docPartPr>
        <w:name w:val="{9f2c6386-4cb3-43b6-a457-55aaf09e12ab}"/>
        <w:style w:val=""/>
        <w:category>
          <w:name w:val="常规"/>
          <w:gallery w:val="placeholder"/>
        </w:category>
        <w:types>
          <w:type w:val="bbPlcHdr"/>
        </w:types>
        <w:behaviors>
          <w:behavior w:val="content"/>
        </w:behaviors>
        <w:description w:val=""/>
        <w:guid w:val="{9f2c6386-4cb3-43b6-a457-55aaf09e12ab}"/>
      </w:docPartPr>
      <w:docPartBody>
        <w:p>
          <w:r>
            <w:rPr>
              <w:color w:val="808080"/>
            </w:rPr>
            <w:t>单击此处输入文字。</w:t>
          </w:r>
        </w:p>
      </w:docPartBody>
    </w:docPart>
    <w:docPart>
      <w:docPartPr>
        <w:name w:val="{21b83702-a1b3-471a-ae90-3778168265ff}"/>
        <w:style w:val=""/>
        <w:category>
          <w:name w:val="常规"/>
          <w:gallery w:val="placeholder"/>
        </w:category>
        <w:types>
          <w:type w:val="bbPlcHdr"/>
        </w:types>
        <w:behaviors>
          <w:behavior w:val="content"/>
        </w:behaviors>
        <w:description w:val=""/>
        <w:guid w:val="{21b83702-a1b3-471a-ae90-3778168265ff}"/>
      </w:docPartPr>
      <w:docPartBody>
        <w:p>
          <w:r>
            <w:rPr>
              <w:color w:val="808080"/>
            </w:rPr>
            <w:t>单击此处输入文字。</w:t>
          </w:r>
        </w:p>
      </w:docPartBody>
    </w:docPart>
    <w:docPart>
      <w:docPartPr>
        <w:name w:val="{32e4b029-59b5-4c67-b6ca-1263b3d2bf9e}"/>
        <w:style w:val=""/>
        <w:category>
          <w:name w:val="常规"/>
          <w:gallery w:val="placeholder"/>
        </w:category>
        <w:types>
          <w:type w:val="bbPlcHdr"/>
        </w:types>
        <w:behaviors>
          <w:behavior w:val="content"/>
        </w:behaviors>
        <w:description w:val=""/>
        <w:guid w:val="{32e4b029-59b5-4c67-b6ca-1263b3d2bf9e}"/>
      </w:docPartPr>
      <w:docPartBody>
        <w:p>
          <w:r>
            <w:rPr>
              <w:color w:val="808080"/>
            </w:rPr>
            <w:t>单击此处输入文字。</w:t>
          </w:r>
        </w:p>
      </w:docPartBody>
    </w:docPart>
    <w:docPart>
      <w:docPartPr>
        <w:name w:val="{c4685623-2704-4d8e-9651-59e8965d20de}"/>
        <w:style w:val=""/>
        <w:category>
          <w:name w:val="常规"/>
          <w:gallery w:val="placeholder"/>
        </w:category>
        <w:types>
          <w:type w:val="bbPlcHdr"/>
        </w:types>
        <w:behaviors>
          <w:behavior w:val="content"/>
        </w:behaviors>
        <w:description w:val=""/>
        <w:guid w:val="{c4685623-2704-4d8e-9651-59e8965d20de}"/>
      </w:docPartPr>
      <w:docPartBody>
        <w:p>
          <w:r>
            <w:rPr>
              <w:color w:val="808080"/>
            </w:rPr>
            <w:t>单击此处输入文字。</w:t>
          </w:r>
        </w:p>
      </w:docPartBody>
    </w:docPart>
    <w:docPart>
      <w:docPartPr>
        <w:name w:val="{66d36309-f128-4094-935b-c1a36666f0cd}"/>
        <w:style w:val=""/>
        <w:category>
          <w:name w:val="常规"/>
          <w:gallery w:val="placeholder"/>
        </w:category>
        <w:types>
          <w:type w:val="bbPlcHdr"/>
        </w:types>
        <w:behaviors>
          <w:behavior w:val="content"/>
        </w:behaviors>
        <w:description w:val=""/>
        <w:guid w:val="{66d36309-f128-4094-935b-c1a36666f0cd}"/>
      </w:docPartPr>
      <w:docPartBody>
        <w:p>
          <w:r>
            <w:rPr>
              <w:color w:val="808080"/>
            </w:rPr>
            <w:t>单击此处输入文字。</w:t>
          </w:r>
        </w:p>
      </w:docPartBody>
    </w:docPart>
    <w:docPart>
      <w:docPartPr>
        <w:name w:val="{90713ec6-7525-4849-9e29-6fe9cf4260a5}"/>
        <w:style w:val=""/>
        <w:category>
          <w:name w:val="常规"/>
          <w:gallery w:val="placeholder"/>
        </w:category>
        <w:types>
          <w:type w:val="bbPlcHdr"/>
        </w:types>
        <w:behaviors>
          <w:behavior w:val="content"/>
        </w:behaviors>
        <w:description w:val=""/>
        <w:guid w:val="{90713ec6-7525-4849-9e29-6fe9cf4260a5}"/>
      </w:docPartPr>
      <w:docPartBody>
        <w:p>
          <w:r>
            <w:rPr>
              <w:color w:val="808080"/>
            </w:rPr>
            <w:t>单击此处输入文字。</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compat>
    <w:useFELayout/>
    <w:splitPgBreakAndParaMark/>
    <w:compatSetting w:name="compatibilityMode" w:uri="http://schemas.microsoft.com/office/word" w:val="12"/>
  </w:compat>
  <w:rsids>
    <w:rsidRoot w:val="0000000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styl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黑体"/>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宋体"/>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4100"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85</Pages>
  <Words>43777</Words>
  <Characters>44460</Characters>
  <Lines>357</Lines>
  <Paragraphs>100</Paragraphs>
  <TotalTime>24</TotalTime>
  <ScaleCrop>false</ScaleCrop>
  <LinksUpToDate>false</LinksUpToDate>
  <CharactersWithSpaces>44669</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2022-03-07T20:01:00Z</dcterms:created>
  <dc:creator>Bao Zhang</dc:creator>
  <cp:lastModifiedBy>s琪</cp:lastModifiedBy>
  <cp:lastPrinted>2022-09-27T10:13:00Z</cp:lastPrinted>
  <dcterms:modified xsi:type="dcterms:W3CDTF">2023-10-09T07:28:52Z</dcterms:modified>
  <cp:revision>51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DEE4D139D7704BD0B3C314862B06DE33</vt:lpwstr>
  </property>
</Properties>
</file>