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8"/>
        <w:keepNext w:val="0"/>
        <w:keepLines w:val="0"/>
        <w:pageBreakBefore w:val="0"/>
        <w:widowControl/>
        <w:kinsoku/>
        <w:wordWrap/>
        <w:overflowPunct/>
        <w:topLinePunct w:val="0"/>
        <w:autoSpaceDE/>
        <w:autoSpaceDN/>
        <w:bidi w:val="0"/>
        <w:adjustRightInd/>
        <w:snapToGrid/>
        <w:spacing w:line="620" w:lineRule="atLeast"/>
        <w:textAlignment w:val="auto"/>
        <w:rPr>
          <w:rFonts w:hint="eastAsia"/>
          <w:spacing w:val="17"/>
          <w:sz w:val="30"/>
          <w:szCs w:val="30"/>
        </w:rPr>
      </w:pPr>
    </w:p>
    <w:p>
      <w:pPr>
        <w:pStyle w:val="48"/>
        <w:keepNext w:val="0"/>
        <w:keepLines w:val="0"/>
        <w:pageBreakBefore w:val="0"/>
        <w:widowControl/>
        <w:kinsoku/>
        <w:wordWrap/>
        <w:overflowPunct/>
        <w:topLinePunct w:val="0"/>
        <w:autoSpaceDE/>
        <w:autoSpaceDN/>
        <w:bidi w:val="0"/>
        <w:adjustRightInd/>
        <w:snapToGrid/>
        <w:spacing w:line="620" w:lineRule="atLeast"/>
        <w:ind w:firstLine="600"/>
        <w:jc w:val="center"/>
        <w:textAlignment w:val="auto"/>
        <w:rPr>
          <w:rFonts w:hint="eastAsia"/>
          <w:spacing w:val="17"/>
          <w:sz w:val="30"/>
          <w:szCs w:val="30"/>
        </w:rPr>
      </w:pPr>
    </w:p>
    <w:p>
      <w:pPr>
        <w:pStyle w:val="48"/>
        <w:keepNext w:val="0"/>
        <w:keepLines w:val="0"/>
        <w:pageBreakBefore w:val="0"/>
        <w:widowControl/>
        <w:kinsoku/>
        <w:wordWrap/>
        <w:overflowPunct/>
        <w:topLinePunct w:val="0"/>
        <w:autoSpaceDE/>
        <w:autoSpaceDN/>
        <w:bidi w:val="0"/>
        <w:adjustRightInd/>
        <w:snapToGrid/>
        <w:spacing w:line="620" w:lineRule="atLeast"/>
        <w:ind w:firstLine="600"/>
        <w:jc w:val="center"/>
        <w:textAlignment w:val="auto"/>
        <w:rPr>
          <w:rFonts w:hint="eastAsia"/>
          <w:spacing w:val="17"/>
          <w:sz w:val="30"/>
          <w:szCs w:val="30"/>
        </w:rPr>
      </w:pPr>
    </w:p>
    <w:p>
      <w:pPr>
        <w:pStyle w:val="48"/>
        <w:keepNext w:val="0"/>
        <w:keepLines w:val="0"/>
        <w:pageBreakBefore w:val="0"/>
        <w:widowControl/>
        <w:kinsoku/>
        <w:wordWrap/>
        <w:overflowPunct/>
        <w:topLinePunct w:val="0"/>
        <w:autoSpaceDE/>
        <w:autoSpaceDN/>
        <w:bidi w:val="0"/>
        <w:adjustRightInd/>
        <w:snapToGrid/>
        <w:spacing w:line="620" w:lineRule="atLeast"/>
        <w:ind w:firstLine="600"/>
        <w:jc w:val="center"/>
        <w:textAlignment w:val="auto"/>
        <w:rPr>
          <w:rFonts w:hint="eastAsia"/>
          <w:spacing w:val="17"/>
          <w:sz w:val="30"/>
          <w:szCs w:val="30"/>
        </w:rPr>
      </w:pPr>
    </w:p>
    <w:p>
      <w:pPr>
        <w:pStyle w:val="48"/>
        <w:keepNext w:val="0"/>
        <w:keepLines w:val="0"/>
        <w:pageBreakBefore w:val="0"/>
        <w:widowControl/>
        <w:kinsoku/>
        <w:wordWrap/>
        <w:overflowPunct/>
        <w:topLinePunct w:val="0"/>
        <w:autoSpaceDE/>
        <w:autoSpaceDN/>
        <w:bidi w:val="0"/>
        <w:adjustRightInd/>
        <w:snapToGrid/>
        <w:spacing w:line="620" w:lineRule="atLeast"/>
        <w:ind w:firstLine="600"/>
        <w:jc w:val="center"/>
        <w:textAlignment w:val="auto"/>
        <w:rPr>
          <w:rFonts w:hint="eastAsia"/>
          <w:spacing w:val="17"/>
          <w:sz w:val="30"/>
          <w:szCs w:val="30"/>
        </w:rPr>
      </w:pPr>
    </w:p>
    <w:p>
      <w:pPr>
        <w:pStyle w:val="48"/>
        <w:keepNext w:val="0"/>
        <w:keepLines w:val="0"/>
        <w:pageBreakBefore w:val="0"/>
        <w:widowControl/>
        <w:kinsoku/>
        <w:wordWrap/>
        <w:overflowPunct/>
        <w:topLinePunct w:val="0"/>
        <w:autoSpaceDE/>
        <w:autoSpaceDN/>
        <w:bidi w:val="0"/>
        <w:adjustRightInd/>
        <w:snapToGrid/>
        <w:spacing w:line="718" w:lineRule="atLeast"/>
        <w:ind w:firstLine="600"/>
        <w:jc w:val="center"/>
        <w:textAlignment w:val="auto"/>
        <w:rPr>
          <w:rFonts w:hint="eastAsia"/>
          <w:spacing w:val="17"/>
          <w:sz w:val="30"/>
          <w:szCs w:val="30"/>
        </w:rPr>
      </w:pPr>
    </w:p>
    <w:p>
      <w:pPr>
        <w:pStyle w:val="48"/>
        <w:keepNext w:val="0"/>
        <w:keepLines w:val="0"/>
        <w:pageBreakBefore w:val="0"/>
        <w:widowControl/>
        <w:kinsoku/>
        <w:wordWrap/>
        <w:overflowPunct/>
        <w:topLinePunct w:val="0"/>
        <w:autoSpaceDE/>
        <w:autoSpaceDN/>
        <w:bidi w:val="0"/>
        <w:adjustRightInd/>
        <w:snapToGrid/>
        <w:spacing w:line="718" w:lineRule="atLeast"/>
        <w:ind w:left="0" w:leftChars="0" w:firstLine="0" w:firstLineChars="0"/>
        <w:jc w:val="both"/>
        <w:textAlignment w:val="auto"/>
        <w:rPr>
          <w:rFonts w:hint="eastAsia"/>
          <w:spacing w:val="17"/>
          <w:sz w:val="30"/>
          <w:szCs w:val="30"/>
        </w:rPr>
      </w:pPr>
    </w:p>
    <w:p>
      <w:pPr>
        <w:keepNext w:val="0"/>
        <w:keepLines w:val="0"/>
        <w:pageBreakBefore w:val="0"/>
        <w:kinsoku/>
        <w:wordWrap/>
        <w:overflowPunct/>
        <w:topLinePunct w:val="0"/>
        <w:autoSpaceDE/>
        <w:autoSpaceDN/>
        <w:bidi w:val="0"/>
        <w:spacing w:before="312" w:beforeLines="100" w:line="500" w:lineRule="exact"/>
        <w:jc w:val="center"/>
        <w:textAlignment w:val="auto"/>
        <w:rPr>
          <w:rFonts w:hint="eastAsia" w:ascii="楷体" w:hAnsi="楷体" w:eastAsia="楷体" w:cs="楷体"/>
          <w:sz w:val="32"/>
          <w:lang w:eastAsia="zh-CN"/>
        </w:rPr>
      </w:pPr>
      <w:r>
        <w:rPr>
          <w:rFonts w:hint="eastAsia" w:ascii="仿宋_GB2312" w:hAnsi="仿宋_GB2312" w:eastAsia="仿宋_GB2312" w:cs="仿宋_GB2312"/>
          <w:sz w:val="32"/>
        </w:rPr>
        <w:t>锡能源字〔2022〕</w:t>
      </w:r>
      <w:r>
        <w:rPr>
          <w:rFonts w:hint="eastAsia" w:ascii="仿宋_GB2312" w:hAnsi="仿宋_GB2312" w:eastAsia="仿宋_GB2312" w:cs="仿宋_GB2312"/>
          <w:sz w:val="32"/>
          <w:lang w:val="en-US" w:eastAsia="zh-CN"/>
        </w:rPr>
        <w:t>169</w:t>
      </w:r>
      <w:r>
        <w:rPr>
          <w:rFonts w:hint="eastAsia" w:ascii="仿宋_GB2312" w:hAnsi="仿宋_GB2312" w:eastAsia="仿宋_GB2312" w:cs="仿宋_GB2312"/>
          <w:sz w:val="32"/>
        </w:rPr>
        <w:t>号</w:t>
      </w:r>
    </w:p>
    <w:p>
      <w:pPr>
        <w:pStyle w:val="48"/>
        <w:keepNext w:val="0"/>
        <w:keepLines w:val="0"/>
        <w:pageBreakBefore w:val="0"/>
        <w:kinsoku/>
        <w:wordWrap/>
        <w:overflowPunct/>
        <w:topLinePunct w:val="0"/>
        <w:autoSpaceDE/>
        <w:autoSpaceDN/>
        <w:bidi w:val="0"/>
        <w:spacing w:line="560" w:lineRule="exact"/>
        <w:ind w:firstLine="600"/>
        <w:textAlignment w:val="auto"/>
        <w:rPr>
          <w:rFonts w:hint="eastAsia"/>
          <w:spacing w:val="17"/>
          <w:sz w:val="30"/>
          <w:szCs w:val="30"/>
        </w:rPr>
      </w:pPr>
      <w:r>
        <w:rPr>
          <w:spacing w:val="17"/>
          <w:sz w:val="30"/>
          <w:szCs w:val="30"/>
        </w:rPr>
        <w:t xml:space="preserve"> </w:t>
      </w:r>
    </w:p>
    <w:p>
      <w:pPr>
        <w:keepNext w:val="0"/>
        <w:keepLines w:val="0"/>
        <w:pageBreakBefore w:val="0"/>
        <w:widowControl/>
        <w:kinsoku/>
        <w:wordWrap/>
        <w:overflowPunct/>
        <w:topLinePunct w:val="0"/>
        <w:autoSpaceDE w:val="0"/>
        <w:autoSpaceDN w:val="0"/>
        <w:bidi w:val="0"/>
        <w:adjustRightInd w:val="0"/>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关于印发《锡林郭勒盟“十四五”可再生</w:t>
      </w:r>
    </w:p>
    <w:p>
      <w:pPr>
        <w:keepNext w:val="0"/>
        <w:keepLines w:val="0"/>
        <w:pageBreakBefore w:val="0"/>
        <w:widowControl/>
        <w:kinsoku/>
        <w:wordWrap/>
        <w:overflowPunct/>
        <w:topLinePunct w:val="0"/>
        <w:autoSpaceDE w:val="0"/>
        <w:autoSpaceDN w:val="0"/>
        <w:bidi w:val="0"/>
        <w:adjustRightInd w:val="0"/>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能源发展规划》的通知</w:t>
      </w:r>
    </w:p>
    <w:p>
      <w:pPr>
        <w:spacing w:line="640" w:lineRule="exact"/>
        <w:jc w:val="center"/>
        <w:rPr>
          <w:rFonts w:hint="eastAsia" w:ascii="仿宋_GB2312" w:hAnsi="仿宋_GB2312" w:eastAsia="仿宋_GB2312" w:cs="仿宋_GB2312"/>
          <w:sz w:val="32"/>
          <w:szCs w:val="32"/>
          <w:lang w:val="en-US" w:eastAsia="zh-CN"/>
        </w:rPr>
      </w:pPr>
    </w:p>
    <w:p>
      <w:pPr>
        <w:keepNext w:val="0"/>
        <w:keepLines w:val="0"/>
        <w:pageBreakBefore w:val="0"/>
        <w:widowControl/>
        <w:kinsoku/>
        <w:wordWrap/>
        <w:overflowPunct/>
        <w:topLinePunct w:val="0"/>
        <w:autoSpaceDE/>
        <w:autoSpaceDN/>
        <w:bidi w:val="0"/>
        <w:adjustRightInd/>
        <w:snapToGrid/>
        <w:spacing w:line="600" w:lineRule="exact"/>
        <w:ind w:left="0" w:leftChars="0" w:firstLine="0" w:firstLineChars="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 w:eastAsia="zh-CN"/>
        </w:rPr>
        <w:t>盟直各相关单位</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 w:eastAsia="zh-CN"/>
        </w:rPr>
        <w:t>各旗县市（区）人民政府（管委会）：</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方正小标宋简体" w:hAnsi="方正小标宋简体" w:eastAsia="方正小标宋简体" w:cs="方正小标宋简体"/>
          <w:sz w:val="32"/>
          <w:szCs w:val="32"/>
        </w:rPr>
      </w:pPr>
      <w:r>
        <w:rPr>
          <w:rFonts w:hint="eastAsia" w:ascii="仿宋_GB2312" w:hAnsi="仿宋_GB2312" w:eastAsia="仿宋_GB2312" w:cs="仿宋_GB2312"/>
          <w:sz w:val="32"/>
          <w:szCs w:val="32"/>
          <w:lang w:val="en-US" w:eastAsia="zh-CN"/>
        </w:rPr>
        <w:t>《锡林郭勒盟“十四五”可再生能源发展规划》已经盟行署2022年第37次常务会议审议通过，现印发给你们，请结合实际认真贯彻落实。</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_GB2312" w:eastAsia="仿宋_GB2312" w:cs="仿宋_GB2312"/>
          <w:kern w:val="2"/>
          <w:sz w:val="32"/>
          <w:szCs w:val="32"/>
          <w:lang w:val="en-US" w:eastAsia="zh-CN" w:bidi="ar-SA"/>
        </w:rPr>
      </w:pP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4800" w:firstLineChars="15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锡林郭勒盟能源局</w:t>
      </w: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lang w:val="en-US" w:eastAsia="zh-CN"/>
        </w:rPr>
      </w:pPr>
      <w:r>
        <w:rPr>
          <w:rFonts w:hint="eastAsia" w:ascii="仿宋_GB2312" w:hAnsi="仿宋_GB2312" w:eastAsia="仿宋_GB2312" w:cs="仿宋_GB2312"/>
          <w:kern w:val="2"/>
          <w:sz w:val="32"/>
          <w:szCs w:val="32"/>
          <w:lang w:val="en-US" w:eastAsia="zh-CN" w:bidi="ar-SA"/>
        </w:rPr>
        <w:t>2022年12月23</w:t>
      </w:r>
    </w:p>
    <w:p>
      <w:pPr>
        <w:pStyle w:val="2"/>
      </w:pPr>
    </w:p>
    <w:p/>
    <w:p>
      <w:pPr>
        <w:autoSpaceDE w:val="0"/>
        <w:autoSpaceDN w:val="0"/>
        <w:adjustRightInd w:val="0"/>
        <w:ind w:firstLine="0" w:firstLineChars="0"/>
        <w:jc w:val="center"/>
        <w:rPr>
          <w:rFonts w:eastAsia="黑体" w:cs="Times New Roman"/>
          <w:sz w:val="44"/>
          <w:szCs w:val="44"/>
        </w:rPr>
      </w:pPr>
    </w:p>
    <w:p>
      <w:pPr>
        <w:autoSpaceDE w:val="0"/>
        <w:autoSpaceDN w:val="0"/>
        <w:adjustRightInd w:val="0"/>
        <w:ind w:firstLine="0" w:firstLineChars="0"/>
        <w:jc w:val="center"/>
        <w:rPr>
          <w:rFonts w:eastAsia="黑体" w:cs="Times New Roman"/>
          <w:sz w:val="44"/>
          <w:szCs w:val="44"/>
        </w:rPr>
      </w:pPr>
    </w:p>
    <w:p>
      <w:pPr>
        <w:autoSpaceDE w:val="0"/>
        <w:autoSpaceDN w:val="0"/>
        <w:adjustRightInd w:val="0"/>
        <w:ind w:firstLine="0" w:firstLineChars="0"/>
        <w:jc w:val="center"/>
        <w:rPr>
          <w:rFonts w:eastAsia="黑体" w:cs="Times New Roman"/>
          <w:sz w:val="44"/>
          <w:szCs w:val="44"/>
        </w:rPr>
      </w:pPr>
      <w:r>
        <w:rPr>
          <w:rFonts w:eastAsia="黑体" w:cs="Times New Roman"/>
          <w:sz w:val="44"/>
          <w:szCs w:val="44"/>
        </w:rPr>
        <w:t>锡林郭勒盟“十四五”可再生能源发展规划</w:t>
      </w:r>
    </w:p>
    <w:p>
      <w:pPr>
        <w:spacing w:before="240"/>
        <w:ind w:firstLine="880"/>
        <w:jc w:val="center"/>
        <w:rPr>
          <w:rFonts w:eastAsia="宋体" w:cs="Times New Roman"/>
          <w:sz w:val="44"/>
          <w:szCs w:val="44"/>
        </w:rPr>
      </w:pPr>
    </w:p>
    <w:p>
      <w:pPr>
        <w:spacing w:before="240"/>
        <w:ind w:firstLine="880"/>
        <w:jc w:val="center"/>
        <w:rPr>
          <w:rFonts w:eastAsia="宋体" w:cs="Times New Roman"/>
          <w:sz w:val="44"/>
          <w:szCs w:val="44"/>
        </w:rPr>
      </w:pPr>
    </w:p>
    <w:p>
      <w:pPr>
        <w:ind w:firstLine="880"/>
        <w:jc w:val="center"/>
        <w:rPr>
          <w:rFonts w:eastAsia="宋体" w:cs="Times New Roman"/>
          <w:sz w:val="44"/>
          <w:szCs w:val="44"/>
        </w:rPr>
      </w:pPr>
    </w:p>
    <w:p>
      <w:pPr>
        <w:ind w:firstLine="880"/>
        <w:jc w:val="center"/>
        <w:rPr>
          <w:rFonts w:eastAsia="宋体" w:cs="Times New Roman"/>
          <w:sz w:val="44"/>
          <w:szCs w:val="44"/>
        </w:rPr>
      </w:pPr>
    </w:p>
    <w:p>
      <w:pPr>
        <w:ind w:firstLine="880"/>
        <w:jc w:val="center"/>
        <w:rPr>
          <w:rFonts w:eastAsia="宋体" w:cs="Times New Roman"/>
          <w:sz w:val="44"/>
          <w:szCs w:val="44"/>
        </w:rPr>
      </w:pPr>
    </w:p>
    <w:p>
      <w:pPr>
        <w:ind w:firstLine="880"/>
        <w:jc w:val="center"/>
        <w:rPr>
          <w:rFonts w:eastAsia="宋体" w:cs="Times New Roman"/>
          <w:sz w:val="44"/>
          <w:szCs w:val="44"/>
        </w:rPr>
      </w:pPr>
    </w:p>
    <w:p>
      <w:pPr>
        <w:ind w:firstLine="640"/>
        <w:jc w:val="center"/>
        <w:rPr>
          <w:rFonts w:eastAsia="宋体" w:cs="Times New Roman"/>
        </w:rPr>
      </w:pPr>
    </w:p>
    <w:p>
      <w:pPr>
        <w:ind w:firstLine="640"/>
        <w:jc w:val="center"/>
        <w:rPr>
          <w:rFonts w:eastAsia="宋体" w:cs="Times New Roman"/>
        </w:rPr>
      </w:pPr>
      <w:r>
        <w:rPr>
          <w:rFonts w:eastAsia="宋体" w:cs="Times New Roman"/>
        </w:rPr>
        <w:drawing>
          <wp:anchor distT="0" distB="0" distL="114300" distR="114300" simplePos="0" relativeHeight="251659264" behindDoc="0" locked="0" layoutInCell="1" allowOverlap="1">
            <wp:simplePos x="0" y="0"/>
            <wp:positionH relativeFrom="column">
              <wp:posOffset>4733925</wp:posOffset>
            </wp:positionH>
            <wp:positionV relativeFrom="paragraph">
              <wp:posOffset>5843270</wp:posOffset>
            </wp:positionV>
            <wp:extent cx="1828800" cy="1895475"/>
            <wp:effectExtent l="0" t="0" r="0" b="9525"/>
            <wp:wrapNone/>
            <wp:docPr id="41" name="图片 41" descr="西北设计章子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西北设计章子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828800" cy="1895475"/>
                    </a:xfrm>
                    <a:prstGeom prst="rect">
                      <a:avLst/>
                    </a:prstGeom>
                    <a:noFill/>
                    <a:ln>
                      <a:noFill/>
                    </a:ln>
                  </pic:spPr>
                </pic:pic>
              </a:graphicData>
            </a:graphic>
          </wp:anchor>
        </w:drawing>
      </w:r>
    </w:p>
    <w:p>
      <w:pPr>
        <w:ind w:firstLine="640"/>
        <w:jc w:val="center"/>
        <w:rPr>
          <w:rFonts w:eastAsia="宋体" w:cs="Times New Roman"/>
        </w:rPr>
      </w:pPr>
    </w:p>
    <w:p>
      <w:pPr>
        <w:ind w:firstLine="0" w:firstLineChars="0"/>
        <w:jc w:val="center"/>
        <w:rPr>
          <w:rFonts w:eastAsia="黑体" w:cs="Times New Roman"/>
          <w:szCs w:val="32"/>
        </w:rPr>
      </w:pPr>
      <w:r>
        <w:rPr>
          <w:rFonts w:eastAsia="黑体" w:cs="Times New Roman"/>
          <w:szCs w:val="32"/>
        </w:rPr>
        <w:t>二</w:t>
      </w:r>
      <w:r>
        <w:rPr>
          <w:rFonts w:hint="eastAsia" w:eastAsia="黑体" w:cs="Times New Roman"/>
          <w:szCs w:val="32"/>
        </w:rPr>
        <w:t>〇</w:t>
      </w:r>
      <w:r>
        <w:rPr>
          <w:rFonts w:eastAsia="黑体" w:cs="Times New Roman"/>
          <w:szCs w:val="32"/>
        </w:rPr>
        <w:t>二二年</w:t>
      </w:r>
      <w:r>
        <w:rPr>
          <w:rFonts w:hint="eastAsia" w:eastAsia="黑体" w:cs="Times New Roman"/>
          <w:szCs w:val="32"/>
        </w:rPr>
        <w:t>十一</w:t>
      </w:r>
      <w:r>
        <w:rPr>
          <w:rFonts w:eastAsia="黑体" w:cs="Times New Roman"/>
          <w:szCs w:val="32"/>
        </w:rPr>
        <w:t>月</w:t>
      </w:r>
    </w:p>
    <w:p>
      <w:pPr>
        <w:ind w:firstLine="0" w:firstLineChars="0"/>
        <w:jc w:val="center"/>
        <w:rPr>
          <w:rFonts w:eastAsia="黑体" w:cs="Times New Roman"/>
          <w:szCs w:val="32"/>
        </w:rPr>
      </w:pPr>
    </w:p>
    <w:p>
      <w:pPr>
        <w:ind w:firstLine="0" w:firstLineChars="0"/>
        <w:jc w:val="center"/>
        <w:rPr>
          <w:rFonts w:eastAsia="黑体" w:cs="Times New Roman"/>
          <w:szCs w:val="32"/>
        </w:rPr>
        <w:sectPr>
          <w:footerReference r:id="rId7" w:type="first"/>
          <w:headerReference r:id="rId5" w:type="default"/>
          <w:footerReference r:id="rId6" w:type="default"/>
          <w:pgSz w:w="11906" w:h="16838"/>
          <w:pgMar w:top="1440" w:right="1800" w:bottom="1440" w:left="1800" w:header="851" w:footer="992" w:gutter="0"/>
          <w:pgNumType w:fmt="decimal" w:start="1"/>
          <w:cols w:space="425" w:num="1"/>
          <w:docGrid w:type="lines" w:linePitch="435" w:charSpace="0"/>
        </w:sectPr>
      </w:pPr>
    </w:p>
    <w:sdt>
      <w:sdtPr>
        <w:rPr>
          <w:rFonts w:ascii="Times New Roman" w:hAnsi="Times New Roman" w:eastAsia="仿宋" w:cs="Times New Roman"/>
          <w:color w:val="auto"/>
          <w:kern w:val="2"/>
          <w:szCs w:val="21"/>
          <w:lang w:val="zh-CN"/>
        </w:rPr>
        <w:id w:val="601381040"/>
        <w:docPartObj>
          <w:docPartGallery w:val="Table of Contents"/>
          <w:docPartUnique/>
        </w:docPartObj>
      </w:sdtPr>
      <w:sdtEndPr>
        <w:rPr>
          <w:rFonts w:ascii="Times New Roman" w:hAnsi="Times New Roman" w:eastAsia="仿宋" w:cs="Times New Roman"/>
          <w:b/>
          <w:bCs/>
          <w:color w:val="auto"/>
          <w:kern w:val="2"/>
          <w:szCs w:val="21"/>
          <w:lang w:val="zh-CN"/>
        </w:rPr>
      </w:sdtEndPr>
      <w:sdtContent>
        <w:p>
          <w:pPr>
            <w:pStyle w:val="41"/>
            <w:ind w:firstLine="480"/>
            <w:jc w:val="center"/>
            <w:rPr>
              <w:rFonts w:ascii="Times New Roman" w:hAnsi="Times New Roman" w:eastAsia="黑体" w:cs="Times New Roman"/>
              <w:color w:val="auto"/>
            </w:rPr>
          </w:pPr>
          <w:r>
            <w:rPr>
              <w:rFonts w:ascii="Times New Roman" w:hAnsi="Times New Roman" w:eastAsia="黑体" w:cs="Times New Roman"/>
              <w:color w:val="auto"/>
              <w:lang w:val="zh-CN"/>
            </w:rPr>
            <w:t>目   录</w:t>
          </w:r>
        </w:p>
        <w:p>
          <w:pPr>
            <w:pStyle w:val="16"/>
            <w:ind w:firstLine="560"/>
            <w:rPr>
              <w:rFonts w:asciiTheme="minorHAnsi" w:hAnsiTheme="minorHAnsi" w:eastAsiaTheme="minorEastAsia"/>
              <w:sz w:val="21"/>
              <w:szCs w:val="22"/>
            </w:rPr>
          </w:pPr>
          <w:r>
            <w:rPr>
              <w:sz w:val="28"/>
              <w:szCs w:val="28"/>
            </w:rPr>
            <w:fldChar w:fldCharType="begin"/>
          </w:r>
          <w:r>
            <w:rPr>
              <w:sz w:val="28"/>
              <w:szCs w:val="28"/>
            </w:rPr>
            <w:instrText xml:space="preserve"> TOC \o "1-3" \h \z \u </w:instrText>
          </w:r>
          <w:r>
            <w:rPr>
              <w:sz w:val="28"/>
              <w:szCs w:val="28"/>
            </w:rPr>
            <w:fldChar w:fldCharType="separate"/>
          </w:r>
          <w:r>
            <w:fldChar w:fldCharType="begin"/>
          </w:r>
          <w:r>
            <w:instrText xml:space="preserve"> HYPERLINK \l "_Toc113540758" </w:instrText>
          </w:r>
          <w:r>
            <w:fldChar w:fldCharType="separate"/>
          </w:r>
          <w:r>
            <w:rPr>
              <w:rStyle w:val="22"/>
              <w:rFonts w:cs="Times New Roman"/>
              <w:color w:val="auto"/>
            </w:rPr>
            <w:t>前  言</w:t>
          </w:r>
          <w:r>
            <w:tab/>
          </w:r>
          <w:r>
            <w:fldChar w:fldCharType="begin"/>
          </w:r>
          <w:r>
            <w:instrText xml:space="preserve"> PAGEREF _Toc113540758 \h </w:instrText>
          </w:r>
          <w:r>
            <w:fldChar w:fldCharType="separate"/>
          </w:r>
          <w:r>
            <w:t>1</w:t>
          </w:r>
          <w:r>
            <w:fldChar w:fldCharType="end"/>
          </w:r>
          <w:r>
            <w:fldChar w:fldCharType="end"/>
          </w:r>
        </w:p>
        <w:p>
          <w:pPr>
            <w:pStyle w:val="16"/>
            <w:rPr>
              <w:rFonts w:asciiTheme="minorHAnsi" w:hAnsiTheme="minorHAnsi" w:eastAsiaTheme="minorEastAsia"/>
              <w:sz w:val="21"/>
              <w:szCs w:val="22"/>
            </w:rPr>
          </w:pPr>
          <w:r>
            <w:fldChar w:fldCharType="begin"/>
          </w:r>
          <w:r>
            <w:instrText xml:space="preserve"> HYPERLINK \l "_Toc113540759" </w:instrText>
          </w:r>
          <w:r>
            <w:fldChar w:fldCharType="separate"/>
          </w:r>
          <w:r>
            <w:rPr>
              <w:rStyle w:val="22"/>
              <w:rFonts w:cs="Times New Roman"/>
              <w:color w:val="auto"/>
            </w:rPr>
            <w:t>一、 发展基础和形势</w:t>
          </w:r>
          <w:r>
            <w:tab/>
          </w:r>
          <w:r>
            <w:fldChar w:fldCharType="begin"/>
          </w:r>
          <w:r>
            <w:instrText xml:space="preserve"> PAGEREF _Toc113540759 \h </w:instrText>
          </w:r>
          <w:r>
            <w:fldChar w:fldCharType="separate"/>
          </w:r>
          <w:r>
            <w:t>2</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"_Toc113540760" </w:instrText>
          </w:r>
          <w:r>
            <w:fldChar w:fldCharType="separate"/>
          </w:r>
          <w:r>
            <w:rPr>
              <w:rStyle w:val="22"/>
              <w:rFonts w:cs="Times New Roman"/>
              <w:color w:val="auto"/>
            </w:rPr>
            <w:t>(一) 发展成就</w:t>
          </w:r>
          <w:r>
            <w:tab/>
          </w:r>
          <w:r>
            <w:fldChar w:fldCharType="begin"/>
          </w:r>
          <w:r>
            <w:instrText xml:space="preserve"> PAGEREF _Toc113540760 \h </w:instrText>
          </w:r>
          <w:r>
            <w:fldChar w:fldCharType="separate"/>
          </w:r>
          <w:r>
            <w:t>2</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"_Toc113540761" </w:instrText>
          </w:r>
          <w:r>
            <w:fldChar w:fldCharType="separate"/>
          </w:r>
          <w:r>
            <w:rPr>
              <w:rStyle w:val="22"/>
              <w:rFonts w:cs="Times New Roman"/>
              <w:color w:val="auto"/>
            </w:rPr>
            <w:t>(二) 发展机遇</w:t>
          </w:r>
          <w:r>
            <w:tab/>
          </w:r>
          <w:r>
            <w:fldChar w:fldCharType="begin"/>
          </w:r>
          <w:r>
            <w:instrText xml:space="preserve"> PAGEREF _Toc113540761 \h </w:instrText>
          </w:r>
          <w:r>
            <w:fldChar w:fldCharType="separate"/>
          </w:r>
          <w:r>
            <w:t>4</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"_Toc113540762" </w:instrText>
          </w:r>
          <w:r>
            <w:fldChar w:fldCharType="separate"/>
          </w:r>
          <w:r>
            <w:rPr>
              <w:rStyle w:val="22"/>
              <w:rFonts w:cs="Times New Roman"/>
              <w:color w:val="auto"/>
            </w:rPr>
            <w:t>(三) 面临挑战</w:t>
          </w:r>
          <w:r>
            <w:tab/>
          </w:r>
          <w:r>
            <w:fldChar w:fldCharType="begin"/>
          </w:r>
          <w:r>
            <w:instrText xml:space="preserve"> PAGEREF _Toc113540762 \h </w:instrText>
          </w:r>
          <w:r>
            <w:fldChar w:fldCharType="separate"/>
          </w:r>
          <w:r>
            <w:t>6</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"_Toc113540763" </w:instrText>
          </w:r>
          <w:r>
            <w:fldChar w:fldCharType="separate"/>
          </w:r>
          <w:r>
            <w:rPr>
              <w:rStyle w:val="22"/>
              <w:rFonts w:cs="Times New Roman"/>
              <w:color w:val="auto"/>
            </w:rPr>
            <w:t>(四) 发展优势</w:t>
          </w:r>
          <w:r>
            <w:tab/>
          </w:r>
          <w:r>
            <w:fldChar w:fldCharType="begin"/>
          </w:r>
          <w:r>
            <w:instrText xml:space="preserve"> PAGEREF _Toc113540763 \h </w:instrText>
          </w:r>
          <w:r>
            <w:fldChar w:fldCharType="separate"/>
          </w:r>
          <w:r>
            <w:t>7</w:t>
          </w:r>
          <w:r>
            <w:fldChar w:fldCharType="end"/>
          </w:r>
          <w:r>
            <w:fldChar w:fldCharType="end"/>
          </w:r>
        </w:p>
        <w:p>
          <w:pPr>
            <w:pStyle w:val="16"/>
            <w:rPr>
              <w:rFonts w:asciiTheme="minorHAnsi" w:hAnsiTheme="minorHAnsi" w:eastAsiaTheme="minorEastAsia"/>
              <w:sz w:val="21"/>
              <w:szCs w:val="22"/>
            </w:rPr>
          </w:pPr>
          <w:r>
            <w:fldChar w:fldCharType="begin"/>
          </w:r>
          <w:r>
            <w:instrText xml:space="preserve"> HYPERLINK \l "_Toc113540764" </w:instrText>
          </w:r>
          <w:r>
            <w:fldChar w:fldCharType="separate"/>
          </w:r>
          <w:r>
            <w:rPr>
              <w:rStyle w:val="22"/>
              <w:rFonts w:cs="Times New Roman"/>
              <w:color w:val="auto"/>
            </w:rPr>
            <w:t>二、 总体要求和发展目标</w:t>
          </w:r>
          <w:r>
            <w:tab/>
          </w:r>
          <w:r>
            <w:fldChar w:fldCharType="begin"/>
          </w:r>
          <w:r>
            <w:instrText xml:space="preserve"> PAGEREF _Toc113540764 \h </w:instrText>
          </w:r>
          <w:r>
            <w:fldChar w:fldCharType="separate"/>
          </w:r>
          <w:r>
            <w:t>8</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"_Toc113540765" </w:instrText>
          </w:r>
          <w:r>
            <w:fldChar w:fldCharType="separate"/>
          </w:r>
          <w:r>
            <w:rPr>
              <w:rStyle w:val="22"/>
              <w:rFonts w:cs="Times New Roman"/>
              <w:color w:val="auto"/>
            </w:rPr>
            <w:t>(一) 指导思想</w:t>
          </w:r>
          <w:r>
            <w:tab/>
          </w:r>
          <w:r>
            <w:fldChar w:fldCharType="begin"/>
          </w:r>
          <w:r>
            <w:instrText xml:space="preserve"> PAGEREF _Toc113540765 \h </w:instrText>
          </w:r>
          <w:r>
            <w:fldChar w:fldCharType="separate"/>
          </w:r>
          <w:r>
            <w:t>8</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"_Toc113540766" </w:instrText>
          </w:r>
          <w:r>
            <w:fldChar w:fldCharType="separate"/>
          </w:r>
          <w:r>
            <w:rPr>
              <w:rStyle w:val="22"/>
              <w:rFonts w:cs="Times New Roman"/>
              <w:color w:val="auto"/>
            </w:rPr>
            <w:t>(二) 基本原则</w:t>
          </w:r>
          <w:r>
            <w:tab/>
          </w:r>
          <w:r>
            <w:fldChar w:fldCharType="begin"/>
          </w:r>
          <w:r>
            <w:instrText xml:space="preserve"> PAGEREF _Toc113540766 \h </w:instrText>
          </w:r>
          <w:r>
            <w:fldChar w:fldCharType="separate"/>
          </w:r>
          <w:r>
            <w:t>9</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"_Toc113540767" </w:instrText>
          </w:r>
          <w:r>
            <w:fldChar w:fldCharType="separate"/>
          </w:r>
          <w:r>
            <w:rPr>
              <w:rStyle w:val="22"/>
              <w:rFonts w:cs="Times New Roman"/>
              <w:color w:val="auto"/>
            </w:rPr>
            <w:t>(三) 发展目标</w:t>
          </w:r>
          <w:r>
            <w:tab/>
          </w:r>
          <w:r>
            <w:fldChar w:fldCharType="begin"/>
          </w:r>
          <w:r>
            <w:instrText xml:space="preserve"> PAGEREF _Toc113540767 \h </w:instrText>
          </w:r>
          <w:r>
            <w:fldChar w:fldCharType="separate"/>
          </w:r>
          <w:r>
            <w:t>10</w:t>
          </w:r>
          <w:r>
            <w:fldChar w:fldCharType="end"/>
          </w:r>
          <w:r>
            <w:fldChar w:fldCharType="end"/>
          </w:r>
        </w:p>
        <w:p>
          <w:pPr>
            <w:keepNext w:val="0"/>
            <w:keepLines w:val="0"/>
            <w:pageBreakBefore w:val="0"/>
            <w:widowControl/>
            <w:kinsoku/>
            <w:wordWrap/>
            <w:overflowPunct/>
            <w:topLinePunct w:val="0"/>
            <w:autoSpaceDE/>
            <w:autoSpaceDN/>
            <w:bidi w:val="0"/>
            <w:adjustRightInd/>
            <w:snapToGrid/>
            <w:spacing w:line="580" w:lineRule="exact"/>
            <w:ind w:left="0" w:leftChars="0" w:firstLine="640" w:firstLineChars="200"/>
            <w:jc w:val="left"/>
            <w:textAlignment w:val="auto"/>
            <w:rPr>
              <w:rFonts w:asciiTheme="minorHAnsi" w:hAnsiTheme="minorHAnsi" w:eastAsiaTheme="minorEastAsia"/>
              <w:sz w:val="21"/>
              <w:szCs w:val="22"/>
            </w:rPr>
          </w:pPr>
          <w:r>
            <w:fldChar w:fldCharType="begin"/>
          </w:r>
          <w:r>
            <w:instrText xml:space="preserve"> HYPERLINK \l "_Toc113540768" </w:instrText>
          </w:r>
          <w:r>
            <w:fldChar w:fldCharType="separate"/>
          </w:r>
          <w:r>
            <w:rPr>
              <w:rStyle w:val="22"/>
              <w:rFonts w:cs="Times New Roman"/>
              <w:color w:val="auto"/>
            </w:rPr>
            <w:t xml:space="preserve">三、 </w:t>
          </w:r>
          <w:r>
            <w:rPr>
              <w:rStyle w:val="22"/>
              <w:rFonts w:hint="eastAsia" w:ascii="仿宋" w:hAnsi="仿宋" w:eastAsia="仿宋" w:cs="仿宋"/>
              <w:color w:val="auto"/>
              <w:kern w:val="2"/>
              <w:sz w:val="32"/>
              <w:szCs w:val="21"/>
              <w:lang w:val="en-US" w:eastAsia="zh-CN" w:bidi="ar-SA"/>
            </w:rPr>
            <w:t>全力打造国家级大型现代化清洁能源基地</w:t>
          </w:r>
          <w:r>
            <w:rPr>
              <w:rStyle w:val="22"/>
              <w:rFonts w:hint="default" w:ascii="Arial" w:hAnsi="Arial" w:cs="Arial"/>
              <w:color w:val="auto"/>
              <w:kern w:val="2"/>
              <w:sz w:val="32"/>
              <w:szCs w:val="21"/>
              <w:lang w:val="en-US" w:eastAsia="zh-CN" w:bidi="ar-SA"/>
            </w:rPr>
            <w:t>…</w:t>
          </w:r>
          <w:r>
            <w:rPr>
              <w:rStyle w:val="22"/>
              <w:rFonts w:hint="eastAsia" w:ascii="Arial" w:hAnsi="Arial" w:cs="Arial"/>
              <w:color w:val="auto"/>
              <w:kern w:val="2"/>
              <w:sz w:val="32"/>
              <w:szCs w:val="21"/>
              <w:lang w:val="en-US" w:eastAsia="zh-CN" w:bidi="ar-SA"/>
            </w:rPr>
            <w:t xml:space="preserve"> </w:t>
          </w:r>
          <w:r>
            <w:fldChar w:fldCharType="begin"/>
          </w:r>
          <w:r>
            <w:instrText xml:space="preserve"> PAGEREF _Toc113540768 \h </w:instrText>
          </w:r>
          <w:r>
            <w:fldChar w:fldCharType="separate"/>
          </w:r>
          <w:r>
            <w:t>12</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"_Toc113540769" </w:instrText>
          </w:r>
          <w:r>
            <w:fldChar w:fldCharType="separate"/>
          </w:r>
          <w:r>
            <w:rPr>
              <w:rStyle w:val="22"/>
              <w:rFonts w:cs="Times New Roman"/>
              <w:color w:val="auto"/>
            </w:rPr>
            <w:t>(一) 加快推进大型新能源外送基地建设</w:t>
          </w:r>
          <w:r>
            <w:tab/>
          </w:r>
          <w:r>
            <w:fldChar w:fldCharType="begin"/>
          </w:r>
          <w:r>
            <w:instrText xml:space="preserve"> PAGEREF _Toc113540769 \h </w:instrText>
          </w:r>
          <w:r>
            <w:fldChar w:fldCharType="separate"/>
          </w:r>
          <w:r>
            <w:t>12</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"_Toc113540770" </w:instrText>
          </w:r>
          <w:r>
            <w:fldChar w:fldCharType="separate"/>
          </w:r>
          <w:r>
            <w:rPr>
              <w:rStyle w:val="22"/>
              <w:rFonts w:cs="Times New Roman"/>
              <w:color w:val="auto"/>
            </w:rPr>
            <w:t>(二) 积极谋划市场化并网</w:t>
          </w:r>
          <w:r>
            <w:rPr>
              <w:rStyle w:val="22"/>
              <w:rFonts w:hint="eastAsia" w:cs="Times New Roman"/>
              <w:color w:val="auto"/>
              <w:lang w:eastAsia="zh-CN"/>
            </w:rPr>
            <w:t>新能源</w:t>
          </w:r>
          <w:r>
            <w:rPr>
              <w:rStyle w:val="22"/>
              <w:rFonts w:cs="Times New Roman"/>
              <w:color w:val="auto"/>
            </w:rPr>
            <w:t>项目落地</w:t>
          </w:r>
          <w:r>
            <w:tab/>
          </w:r>
          <w:r>
            <w:fldChar w:fldCharType="begin"/>
          </w:r>
          <w:r>
            <w:instrText xml:space="preserve"> PAGEREF _Toc113540770 \h </w:instrText>
          </w:r>
          <w:r>
            <w:fldChar w:fldCharType="separate"/>
          </w:r>
          <w:r>
            <w:t>13</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"_Toc113540771" </w:instrText>
          </w:r>
          <w:r>
            <w:fldChar w:fldCharType="separate"/>
          </w:r>
          <w:r>
            <w:rPr>
              <w:rStyle w:val="22"/>
              <w:rFonts w:cs="Times New Roman"/>
              <w:color w:val="auto"/>
            </w:rPr>
            <w:t>(三) 统筹</w:t>
          </w:r>
          <w:r>
            <w:rPr>
              <w:rStyle w:val="22"/>
              <w:rFonts w:hint="eastAsia" w:cs="Times New Roman"/>
              <w:color w:val="auto"/>
              <w:lang w:eastAsia="zh-CN"/>
            </w:rPr>
            <w:t>实施</w:t>
          </w:r>
          <w:r>
            <w:rPr>
              <w:rStyle w:val="22"/>
              <w:rFonts w:cs="Times New Roman"/>
              <w:color w:val="auto"/>
            </w:rPr>
            <w:t>保障性并网</w:t>
          </w:r>
          <w:r>
            <w:rPr>
              <w:rStyle w:val="22"/>
              <w:rFonts w:hint="eastAsia" w:cs="Times New Roman"/>
              <w:color w:val="auto"/>
              <w:lang w:eastAsia="zh-CN"/>
            </w:rPr>
            <w:t>新能源</w:t>
          </w:r>
          <w:r>
            <w:rPr>
              <w:rStyle w:val="22"/>
              <w:rFonts w:cs="Times New Roman"/>
              <w:color w:val="auto"/>
            </w:rPr>
            <w:t>项目</w:t>
          </w:r>
          <w:r>
            <w:tab/>
          </w:r>
          <w:r>
            <w:fldChar w:fldCharType="begin"/>
          </w:r>
          <w:r>
            <w:instrText xml:space="preserve"> PAGEREF _Toc113540771 \h </w:instrText>
          </w:r>
          <w:r>
            <w:fldChar w:fldCharType="separate"/>
          </w:r>
          <w:r>
            <w:t>14</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"_Toc113540772" </w:instrText>
          </w:r>
          <w:r>
            <w:fldChar w:fldCharType="separate"/>
          </w:r>
          <w:r>
            <w:rPr>
              <w:rStyle w:val="22"/>
              <w:rFonts w:cs="Times New Roman"/>
              <w:color w:val="auto"/>
            </w:rPr>
            <w:t>(四) 因地制宜推动其他新型能源开发利用</w:t>
          </w:r>
          <w:r>
            <w:tab/>
          </w:r>
          <w:r>
            <w:fldChar w:fldCharType="begin"/>
          </w:r>
          <w:r>
            <w:instrText xml:space="preserve"> PAGEREF _Toc113540772 \h </w:instrText>
          </w:r>
          <w:r>
            <w:fldChar w:fldCharType="separate"/>
          </w:r>
          <w:r>
            <w:t>16</w:t>
          </w:r>
          <w:r>
            <w:fldChar w:fldCharType="end"/>
          </w:r>
          <w:r>
            <w:fldChar w:fldCharType="end"/>
          </w:r>
        </w:p>
        <w:p>
          <w:pPr>
            <w:pStyle w:val="16"/>
            <w:rPr>
              <w:rFonts w:asciiTheme="minorHAnsi" w:hAnsiTheme="minorHAnsi" w:eastAsiaTheme="minorEastAsia"/>
              <w:sz w:val="21"/>
              <w:szCs w:val="22"/>
            </w:rPr>
          </w:pPr>
          <w:r>
            <w:fldChar w:fldCharType="begin"/>
          </w:r>
          <w:r>
            <w:instrText xml:space="preserve"> HYPERLINK \l "_Toc113540773" </w:instrText>
          </w:r>
          <w:r>
            <w:fldChar w:fldCharType="separate"/>
          </w:r>
          <w:r>
            <w:rPr>
              <w:rStyle w:val="22"/>
              <w:rFonts w:cs="Times New Roman"/>
              <w:color w:val="auto"/>
            </w:rPr>
            <w:t>四、 多举措提升新能源接入消纳水平</w:t>
          </w:r>
          <w:r>
            <w:tab/>
          </w:r>
          <w:r>
            <w:fldChar w:fldCharType="begin"/>
          </w:r>
          <w:r>
            <w:instrText xml:space="preserve"> PAGEREF _Toc113540773 \h </w:instrText>
          </w:r>
          <w:r>
            <w:fldChar w:fldCharType="separate"/>
          </w:r>
          <w:r>
            <w:t>16</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"_Toc113540774" </w:instrText>
          </w:r>
          <w:r>
            <w:fldChar w:fldCharType="separate"/>
          </w:r>
          <w:r>
            <w:rPr>
              <w:rStyle w:val="22"/>
              <w:rFonts w:cs="Times New Roman"/>
              <w:color w:val="auto"/>
            </w:rPr>
            <w:t xml:space="preserve">(一) </w:t>
          </w:r>
          <w:r>
            <w:rPr>
              <w:rStyle w:val="22"/>
              <w:rFonts w:hint="eastAsia" w:cs="Times New Roman"/>
              <w:color w:val="auto"/>
              <w:lang w:val="en-US" w:eastAsia="zh-CN"/>
            </w:rPr>
            <w:t>积极</w:t>
          </w:r>
          <w:r>
            <w:rPr>
              <w:rStyle w:val="22"/>
              <w:rFonts w:cs="Times New Roman"/>
              <w:color w:val="auto"/>
            </w:rPr>
            <w:t>实施特高压外送通道工程</w:t>
          </w:r>
          <w:r>
            <w:tab/>
          </w:r>
          <w:r>
            <w:fldChar w:fldCharType="begin"/>
          </w:r>
          <w:r>
            <w:instrText xml:space="preserve"> PAGEREF _Toc113540774 \h </w:instrText>
          </w:r>
          <w:r>
            <w:fldChar w:fldCharType="separate"/>
          </w:r>
          <w:r>
            <w:t>16</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"_Toc113540775" </w:instrText>
          </w:r>
          <w:r>
            <w:fldChar w:fldCharType="separate"/>
          </w:r>
          <w:r>
            <w:rPr>
              <w:rStyle w:val="22"/>
              <w:rFonts w:cs="Times New Roman"/>
              <w:color w:val="auto"/>
            </w:rPr>
            <w:t>(二) 持续强化500千伏区域网架</w:t>
          </w:r>
          <w:r>
            <w:tab/>
          </w:r>
          <w:r>
            <w:fldChar w:fldCharType="begin"/>
          </w:r>
          <w:r>
            <w:instrText xml:space="preserve"> PAGEREF _Toc113540775 \h </w:instrText>
          </w:r>
          <w:r>
            <w:fldChar w:fldCharType="separate"/>
          </w:r>
          <w:r>
            <w:t>17</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"_Toc113540776" </w:instrText>
          </w:r>
          <w:r>
            <w:fldChar w:fldCharType="separate"/>
          </w:r>
          <w:r>
            <w:rPr>
              <w:rStyle w:val="22"/>
              <w:rFonts w:cs="Times New Roman"/>
              <w:color w:val="auto"/>
            </w:rPr>
            <w:t>(三) 积极推进220及以下电网升级</w:t>
          </w:r>
          <w:r>
            <w:rPr>
              <w:rStyle w:val="22"/>
              <w:rFonts w:hint="eastAsia" w:cs="Times New Roman"/>
              <w:color w:val="auto"/>
              <w:lang w:val="en-US" w:eastAsia="zh-CN"/>
            </w:rPr>
            <w:t>建设</w:t>
          </w:r>
          <w:r>
            <w:tab/>
          </w:r>
          <w:r>
            <w:fldChar w:fldCharType="begin"/>
          </w:r>
          <w:r>
            <w:instrText xml:space="preserve"> PAGEREF _Toc113540776 \h </w:instrText>
          </w:r>
          <w:r>
            <w:fldChar w:fldCharType="separate"/>
          </w:r>
          <w:r>
            <w:t>17</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"_Toc113540778" </w:instrText>
          </w:r>
          <w:r>
            <w:fldChar w:fldCharType="separate"/>
          </w:r>
          <w:r>
            <w:rPr>
              <w:rStyle w:val="22"/>
              <w:rFonts w:cs="Times New Roman"/>
              <w:color w:val="auto"/>
            </w:rPr>
            <w:t>(</w:t>
          </w:r>
          <w:r>
            <w:rPr>
              <w:rStyle w:val="22"/>
              <w:rFonts w:hint="eastAsia" w:cs="Times New Roman"/>
              <w:color w:val="auto"/>
            </w:rPr>
            <w:t>四</w:t>
          </w:r>
          <w:r>
            <w:rPr>
              <w:rStyle w:val="22"/>
              <w:rFonts w:cs="Times New Roman"/>
              <w:color w:val="auto"/>
            </w:rPr>
            <w:t>) 多途径提高新能源</w:t>
          </w:r>
          <w:r>
            <w:rPr>
              <w:rStyle w:val="22"/>
              <w:rFonts w:hint="eastAsia" w:cs="Times New Roman"/>
              <w:color w:val="auto"/>
            </w:rPr>
            <w:t>调峰</w:t>
          </w:r>
          <w:r>
            <w:rPr>
              <w:rStyle w:val="22"/>
              <w:rFonts w:cs="Times New Roman"/>
              <w:color w:val="auto"/>
            </w:rPr>
            <w:t>能力</w:t>
          </w:r>
          <w:r>
            <w:tab/>
          </w:r>
          <w:r>
            <w:fldChar w:fldCharType="begin"/>
          </w:r>
          <w:r>
            <w:instrText xml:space="preserve"> PAGEREF _Toc113540778 \h </w:instrText>
          </w:r>
          <w:r>
            <w:fldChar w:fldCharType="separate"/>
          </w:r>
          <w:r>
            <w:t>19</w:t>
          </w:r>
          <w:r>
            <w:fldChar w:fldCharType="end"/>
          </w:r>
          <w:r>
            <w:fldChar w:fldCharType="end"/>
          </w:r>
        </w:p>
        <w:p>
          <w:pPr>
            <w:pStyle w:val="16"/>
            <w:rPr>
              <w:rFonts w:asciiTheme="minorHAnsi" w:hAnsiTheme="minorHAnsi" w:eastAsiaTheme="minorEastAsia"/>
              <w:sz w:val="21"/>
              <w:szCs w:val="22"/>
            </w:rPr>
          </w:pPr>
          <w:r>
            <w:fldChar w:fldCharType="begin"/>
          </w:r>
          <w:r>
            <w:instrText xml:space="preserve"> HYPERLINK \l "_Toc113540779" </w:instrText>
          </w:r>
          <w:r>
            <w:fldChar w:fldCharType="separate"/>
          </w:r>
          <w:r>
            <w:rPr>
              <w:rStyle w:val="22"/>
              <w:rFonts w:cs="Times New Roman"/>
              <w:color w:val="auto"/>
            </w:rPr>
            <w:t>五、 加快构建新能源优势现代产业体系</w:t>
          </w:r>
          <w:r>
            <w:tab/>
          </w:r>
          <w:r>
            <w:fldChar w:fldCharType="begin"/>
          </w:r>
          <w:r>
            <w:instrText xml:space="preserve"> PAGEREF _Toc113540779 \h </w:instrText>
          </w:r>
          <w:r>
            <w:fldChar w:fldCharType="separate"/>
          </w:r>
          <w:r>
            <w:t>21</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"_Toc113540780" </w:instrText>
          </w:r>
          <w:r>
            <w:fldChar w:fldCharType="separate"/>
          </w:r>
          <w:r>
            <w:rPr>
              <w:rStyle w:val="22"/>
              <w:rFonts w:cs="Times New Roman"/>
              <w:color w:val="auto"/>
            </w:rPr>
            <w:t>（一）持续强化风电全产业链竞争优势</w:t>
          </w:r>
          <w:r>
            <w:tab/>
          </w:r>
          <w:r>
            <w:fldChar w:fldCharType="begin"/>
          </w:r>
          <w:r>
            <w:instrText xml:space="preserve"> PAGEREF _Toc113540780 \h </w:instrText>
          </w:r>
          <w:r>
            <w:fldChar w:fldCharType="separate"/>
          </w:r>
          <w:r>
            <w:t>21</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"_Toc113540781" </w:instrText>
          </w:r>
          <w:r>
            <w:fldChar w:fldCharType="separate"/>
          </w:r>
          <w:r>
            <w:rPr>
              <w:rStyle w:val="22"/>
              <w:rFonts w:cs="Times New Roman"/>
              <w:color w:val="auto"/>
            </w:rPr>
            <w:t>（二）积极培育发展光伏储能产业</w:t>
          </w:r>
          <w:r>
            <w:tab/>
          </w:r>
          <w:r>
            <w:fldChar w:fldCharType="begin"/>
          </w:r>
          <w:r>
            <w:instrText xml:space="preserve"> PAGEREF _Toc113540781 \h </w:instrText>
          </w:r>
          <w:r>
            <w:fldChar w:fldCharType="separate"/>
          </w:r>
          <w:r>
            <w:t>21</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"_Toc113540782" </w:instrText>
          </w:r>
          <w:r>
            <w:fldChar w:fldCharType="separate"/>
          </w:r>
          <w:r>
            <w:rPr>
              <w:rStyle w:val="22"/>
              <w:rFonts w:cs="Times New Roman"/>
              <w:color w:val="auto"/>
            </w:rPr>
            <w:t>（三）着力打造特色</w:t>
          </w:r>
          <w:r>
            <w:rPr>
              <w:rStyle w:val="22"/>
              <w:rFonts w:hint="eastAsia" w:cs="Times New Roman"/>
              <w:color w:val="auto"/>
            </w:rPr>
            <w:t>制</w:t>
          </w:r>
          <w:r>
            <w:rPr>
              <w:rStyle w:val="22"/>
              <w:rFonts w:cs="Times New Roman"/>
              <w:color w:val="auto"/>
            </w:rPr>
            <w:t>氢产业</w:t>
          </w:r>
          <w:r>
            <w:tab/>
          </w:r>
          <w:r>
            <w:fldChar w:fldCharType="begin"/>
          </w:r>
          <w:r>
            <w:instrText xml:space="preserve"> PAGEREF _Toc113540782 \h </w:instrText>
          </w:r>
          <w:r>
            <w:fldChar w:fldCharType="separate"/>
          </w:r>
          <w:r>
            <w:t>22</w:t>
          </w:r>
          <w:r>
            <w:fldChar w:fldCharType="end"/>
          </w:r>
          <w:r>
            <w:fldChar w:fldCharType="end"/>
          </w:r>
        </w:p>
        <w:p>
          <w:pPr>
            <w:pStyle w:val="17"/>
            <w:ind w:left="0" w:leftChars="0" w:firstLine="1280" w:firstLineChars="400"/>
          </w:pPr>
          <w:r>
            <w:fldChar w:fldCharType="begin"/>
          </w:r>
          <w:r>
            <w:instrText xml:space="preserve"> HYPERLINK \l "_Toc113540783" </w:instrText>
          </w:r>
          <w:r>
            <w:fldChar w:fldCharType="separate"/>
          </w:r>
          <w:r>
            <w:rPr>
              <w:rStyle w:val="22"/>
              <w:rFonts w:cs="Times New Roman"/>
              <w:color w:val="auto"/>
            </w:rPr>
            <w:t>（四）</w:t>
          </w:r>
          <w:r>
            <w:rPr>
              <w:rStyle w:val="22"/>
              <w:rFonts w:hint="eastAsia" w:cs="Times New Roman"/>
              <w:color w:val="auto"/>
              <w:lang w:val="en-US" w:eastAsia="zh-CN"/>
            </w:rPr>
            <w:t>谋划发展光伏产业</w:t>
          </w:r>
          <w:r>
            <w:tab/>
          </w:r>
          <w:r>
            <w:fldChar w:fldCharType="begin"/>
          </w:r>
          <w:r>
            <w:instrText xml:space="preserve"> PAGEREF _Toc113540783 \h </w:instrText>
          </w:r>
          <w:r>
            <w:fldChar w:fldCharType="separate"/>
          </w:r>
          <w:r>
            <w:t>23</w:t>
          </w:r>
          <w:r>
            <w:fldChar w:fldCharType="end"/>
          </w:r>
          <w:r>
            <w:fldChar w:fldCharType="end"/>
          </w:r>
        </w:p>
        <w:p>
          <w:pPr>
            <w:ind w:firstLine="1280" w:firstLineChars="400"/>
          </w:pPr>
          <w:r>
            <w:fldChar w:fldCharType="begin"/>
          </w:r>
          <w:r>
            <w:instrText xml:space="preserve"> HYPERLINK \l "_Toc113540783" </w:instrText>
          </w:r>
          <w:r>
            <w:fldChar w:fldCharType="separate"/>
          </w:r>
          <w:r>
            <w:rPr>
              <w:rStyle w:val="22"/>
              <w:rFonts w:cs="Times New Roman"/>
              <w:color w:val="auto"/>
            </w:rPr>
            <w:t>（</w:t>
          </w:r>
          <w:r>
            <w:rPr>
              <w:rStyle w:val="22"/>
              <w:rFonts w:hint="eastAsia" w:cs="Times New Roman"/>
              <w:color w:val="auto"/>
              <w:lang w:eastAsia="zh-CN"/>
            </w:rPr>
            <w:t>五</w:t>
          </w:r>
          <w:r>
            <w:rPr>
              <w:rStyle w:val="22"/>
              <w:rFonts w:cs="Times New Roman"/>
              <w:color w:val="auto"/>
            </w:rPr>
            <w:t>）</w:t>
          </w:r>
          <w:r>
            <w:rPr>
              <w:rStyle w:val="22"/>
              <w:rFonts w:hint="eastAsia" w:cs="Times New Roman"/>
              <w:color w:val="auto"/>
              <w:lang w:val="en-US" w:eastAsia="zh-CN"/>
            </w:rPr>
            <w:t>多举</w:t>
          </w:r>
          <w:r>
            <w:rPr>
              <w:rStyle w:val="22"/>
              <w:rFonts w:cs="Times New Roman"/>
              <w:color w:val="auto"/>
            </w:rPr>
            <w:t>措提升产业创新能力</w:t>
          </w:r>
          <w:r>
            <w:rPr>
              <w:rStyle w:val="22"/>
              <w:rFonts w:hint="default" w:ascii="Arial" w:hAnsi="Arial" w:cs="Arial"/>
              <w:color w:val="auto"/>
            </w:rPr>
            <w:t>………………</w:t>
          </w:r>
          <w:r>
            <w:fldChar w:fldCharType="begin"/>
          </w:r>
          <w:r>
            <w:instrText xml:space="preserve"> PAGEREF _Toc113540783 \h </w:instrText>
          </w:r>
          <w:r>
            <w:fldChar w:fldCharType="separate"/>
          </w:r>
          <w:r>
            <w:t>23</w:t>
          </w:r>
          <w:r>
            <w:fldChar w:fldCharType="end"/>
          </w:r>
          <w:r>
            <w:fldChar w:fldCharType="end"/>
          </w:r>
        </w:p>
        <w:p>
          <w:pPr>
            <w:pStyle w:val="16"/>
            <w:rPr>
              <w:rFonts w:asciiTheme="minorHAnsi" w:hAnsiTheme="minorHAnsi" w:eastAsiaTheme="minorEastAsia"/>
              <w:sz w:val="21"/>
              <w:szCs w:val="22"/>
            </w:rPr>
          </w:pPr>
          <w:r>
            <w:fldChar w:fldCharType="begin"/>
          </w:r>
          <w:r>
            <w:instrText xml:space="preserve"> HYPERLINK \l "_Toc113540785" </w:instrText>
          </w:r>
          <w:r>
            <w:fldChar w:fldCharType="separate"/>
          </w:r>
          <w:r>
            <w:rPr>
              <w:rStyle w:val="22"/>
              <w:rFonts w:cs="Times New Roman"/>
              <w:color w:val="auto"/>
            </w:rPr>
            <w:t>六、 环境影响评价</w:t>
          </w:r>
          <w:r>
            <w:tab/>
          </w:r>
          <w:r>
            <w:fldChar w:fldCharType="begin"/>
          </w:r>
          <w:r>
            <w:instrText xml:space="preserve"> PAGEREF _Toc113540785 \h </w:instrText>
          </w:r>
          <w:r>
            <w:fldChar w:fldCharType="separate"/>
          </w:r>
          <w:r>
            <w:t>23</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"_Toc113540786" </w:instrText>
          </w:r>
          <w:r>
            <w:fldChar w:fldCharType="separate"/>
          </w:r>
          <w:r>
            <w:rPr>
              <w:rStyle w:val="22"/>
              <w:rFonts w:cs="Times New Roman"/>
              <w:color w:val="auto"/>
            </w:rPr>
            <w:t>(一) 环境影响分析</w:t>
          </w:r>
          <w:r>
            <w:tab/>
          </w:r>
          <w:r>
            <w:fldChar w:fldCharType="begin"/>
          </w:r>
          <w:r>
            <w:instrText xml:space="preserve"> PAGEREF _Toc113540786 \h </w:instrText>
          </w:r>
          <w:r>
            <w:fldChar w:fldCharType="separate"/>
          </w:r>
          <w:r>
            <w:t>24</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"_Toc113540787" </w:instrText>
          </w:r>
          <w:r>
            <w:fldChar w:fldCharType="separate"/>
          </w:r>
          <w:r>
            <w:rPr>
              <w:rStyle w:val="22"/>
              <w:rFonts w:cs="Times New Roman"/>
              <w:color w:val="auto"/>
            </w:rPr>
            <w:t>(二) 环境保护措施</w:t>
          </w:r>
          <w:r>
            <w:tab/>
          </w:r>
          <w:r>
            <w:fldChar w:fldCharType="begin"/>
          </w:r>
          <w:r>
            <w:instrText xml:space="preserve"> PAGEREF _Toc113540787 \h </w:instrText>
          </w:r>
          <w:r>
            <w:fldChar w:fldCharType="separate"/>
          </w:r>
          <w:r>
            <w:t>25</w:t>
          </w:r>
          <w:r>
            <w:fldChar w:fldCharType="end"/>
          </w:r>
          <w:r>
            <w:fldChar w:fldCharType="end"/>
          </w:r>
        </w:p>
        <w:p>
          <w:pPr>
            <w:pStyle w:val="16"/>
            <w:rPr>
              <w:rFonts w:asciiTheme="minorHAnsi" w:hAnsiTheme="minorHAnsi" w:eastAsiaTheme="minorEastAsia"/>
              <w:sz w:val="21"/>
              <w:szCs w:val="22"/>
            </w:rPr>
          </w:pPr>
          <w:r>
            <w:fldChar w:fldCharType="begin"/>
          </w:r>
          <w:r>
            <w:instrText xml:space="preserve"> HYPERLINK \l "_Toc113540788" </w:instrText>
          </w:r>
          <w:r>
            <w:fldChar w:fldCharType="separate"/>
          </w:r>
          <w:r>
            <w:rPr>
              <w:rStyle w:val="22"/>
              <w:rFonts w:cs="Times New Roman"/>
              <w:color w:val="auto"/>
            </w:rPr>
            <w:t>七、 投资估算和规划实施效果</w:t>
          </w:r>
          <w:r>
            <w:tab/>
          </w:r>
          <w:r>
            <w:fldChar w:fldCharType="begin"/>
          </w:r>
          <w:r>
            <w:instrText xml:space="preserve"> PAGEREF _Toc113540788 \h </w:instrText>
          </w:r>
          <w:r>
            <w:fldChar w:fldCharType="separate"/>
          </w:r>
          <w:r>
            <w:t>25</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"_Toc113540789" </w:instrText>
          </w:r>
          <w:r>
            <w:fldChar w:fldCharType="separate"/>
          </w:r>
          <w:r>
            <w:rPr>
              <w:rStyle w:val="22"/>
              <w:rFonts w:cs="Times New Roman"/>
              <w:color w:val="auto"/>
            </w:rPr>
            <w:t>(一) 投资估算</w:t>
          </w:r>
          <w:r>
            <w:tab/>
          </w:r>
          <w:r>
            <w:fldChar w:fldCharType="begin"/>
          </w:r>
          <w:r>
            <w:instrText xml:space="preserve"> PAGEREF _Toc113540789 \h </w:instrText>
          </w:r>
          <w:r>
            <w:fldChar w:fldCharType="separate"/>
          </w:r>
          <w:r>
            <w:t>25</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"_Toc113540790" </w:instrText>
          </w:r>
          <w:r>
            <w:fldChar w:fldCharType="separate"/>
          </w:r>
          <w:r>
            <w:rPr>
              <w:rStyle w:val="22"/>
              <w:rFonts w:cs="Times New Roman"/>
              <w:color w:val="auto"/>
            </w:rPr>
            <w:t>(二) 规划实施效果评估</w:t>
          </w:r>
          <w:r>
            <w:tab/>
          </w:r>
          <w:r>
            <w:fldChar w:fldCharType="begin"/>
          </w:r>
          <w:r>
            <w:instrText xml:space="preserve"> PAGEREF _Toc113540790 \h </w:instrText>
          </w:r>
          <w:r>
            <w:fldChar w:fldCharType="separate"/>
          </w:r>
          <w:r>
            <w:t>25</w:t>
          </w:r>
          <w:r>
            <w:fldChar w:fldCharType="end"/>
          </w:r>
          <w:r>
            <w:fldChar w:fldCharType="end"/>
          </w:r>
        </w:p>
        <w:p>
          <w:pPr>
            <w:pStyle w:val="16"/>
          </w:pPr>
          <w:r>
            <w:fldChar w:fldCharType="begin"/>
          </w:r>
          <w:r>
            <w:instrText xml:space="preserve"> HYPERLINK \l "_Toc113540791" </w:instrText>
          </w:r>
          <w:r>
            <w:fldChar w:fldCharType="separate"/>
          </w:r>
          <w:r>
            <w:rPr>
              <w:rStyle w:val="22"/>
              <w:rFonts w:cs="Times New Roman"/>
              <w:color w:val="auto"/>
            </w:rPr>
            <w:t>八、 保障措施</w:t>
          </w:r>
          <w:r>
            <w:tab/>
          </w:r>
          <w:r>
            <w:fldChar w:fldCharType="begin"/>
          </w:r>
          <w:r>
            <w:instrText xml:space="preserve"> PAGEREF _Toc113540791 \h </w:instrText>
          </w:r>
          <w:r>
            <w:fldChar w:fldCharType="separate"/>
          </w:r>
          <w:r>
            <w:t>26</w:t>
          </w:r>
          <w:r>
            <w:fldChar w:fldCharType="end"/>
          </w:r>
          <w:r>
            <w:fldChar w:fldCharType="end"/>
          </w:r>
        </w:p>
        <w:p>
          <w:pPr>
            <w:ind w:firstLine="1280" w:firstLineChars="400"/>
          </w:pPr>
          <w:r>
            <w:rPr>
              <w:rStyle w:val="22"/>
              <w:rFonts w:cs="Times New Roman"/>
              <w:color w:val="auto"/>
            </w:rPr>
            <w:t xml:space="preserve">(一) </w:t>
          </w:r>
          <w:r>
            <w:rPr>
              <w:rStyle w:val="22"/>
              <w:rFonts w:hint="eastAsia" w:cs="Times New Roman"/>
              <w:color w:val="auto"/>
              <w:lang w:eastAsia="zh-CN"/>
            </w:rPr>
            <w:t>加强组织协调</w:t>
          </w:r>
          <w:r>
            <w:rPr>
              <w:rStyle w:val="22"/>
              <w:rFonts w:hint="eastAsia" w:cs="Times New Roman"/>
              <w:color w:val="auto"/>
              <w:lang w:val="en-US" w:eastAsia="zh-CN"/>
            </w:rPr>
            <w:t xml:space="preserve"> </w:t>
          </w:r>
          <w:r>
            <w:rPr>
              <w:rStyle w:val="22"/>
              <w:rFonts w:hint="default" w:ascii="Arial" w:hAnsi="Arial" w:cs="Arial"/>
              <w:color w:val="auto"/>
              <w:lang w:eastAsia="zh-CN"/>
            </w:rPr>
            <w:t>……………………………</w:t>
          </w:r>
          <w:r>
            <w:fldChar w:fldCharType="begin"/>
          </w:r>
          <w:r>
            <w:instrText xml:space="preserve"> PAGEREF _Toc113540792 \h </w:instrText>
          </w:r>
          <w:r>
            <w:fldChar w:fldCharType="separate"/>
          </w:r>
          <w:r>
            <w:t>26</w:t>
          </w:r>
          <w:r>
            <w:fldChar w:fldCharType="end"/>
          </w:r>
        </w:p>
        <w:p>
          <w:pPr>
            <w:pStyle w:val="17"/>
            <w:rPr>
              <w:rFonts w:asciiTheme="minorHAnsi" w:hAnsiTheme="minorHAnsi" w:eastAsiaTheme="minorEastAsia"/>
              <w:sz w:val="21"/>
              <w:szCs w:val="22"/>
            </w:rPr>
          </w:pPr>
          <w:r>
            <w:fldChar w:fldCharType="begin"/>
          </w:r>
          <w:r>
            <w:instrText xml:space="preserve"> HYPERLINK \l "_Toc113540792" </w:instrText>
          </w:r>
          <w:r>
            <w:fldChar w:fldCharType="separate"/>
          </w:r>
          <w:r>
            <w:rPr>
              <w:rStyle w:val="22"/>
              <w:rFonts w:cs="Times New Roman"/>
              <w:color w:val="auto"/>
            </w:rPr>
            <w:t>(</w:t>
          </w:r>
          <w:r>
            <w:rPr>
              <w:rStyle w:val="22"/>
              <w:rFonts w:hint="eastAsia" w:cs="Times New Roman"/>
              <w:color w:val="auto"/>
              <w:lang w:eastAsia="zh-CN"/>
            </w:rPr>
            <w:t>二</w:t>
          </w:r>
          <w:r>
            <w:rPr>
              <w:rStyle w:val="22"/>
              <w:rFonts w:cs="Times New Roman"/>
              <w:color w:val="auto"/>
            </w:rPr>
            <w:t>) 完善政策支持</w:t>
          </w:r>
          <w:r>
            <w:tab/>
          </w:r>
          <w:r>
            <w:fldChar w:fldCharType="begin"/>
          </w:r>
          <w:r>
            <w:instrText xml:space="preserve"> PAGEREF _Toc113540792 \h </w:instrText>
          </w:r>
          <w:r>
            <w:fldChar w:fldCharType="separate"/>
          </w:r>
          <w:r>
            <w:t>26</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"_Toc113540793" </w:instrText>
          </w:r>
          <w:r>
            <w:fldChar w:fldCharType="separate"/>
          </w:r>
          <w:r>
            <w:rPr>
              <w:rStyle w:val="22"/>
              <w:rFonts w:cs="Times New Roman"/>
              <w:color w:val="auto"/>
            </w:rPr>
            <w:t>(</w:t>
          </w:r>
          <w:r>
            <w:rPr>
              <w:rStyle w:val="22"/>
              <w:rFonts w:hint="eastAsia" w:cs="Times New Roman"/>
              <w:color w:val="auto"/>
              <w:lang w:eastAsia="zh-CN"/>
            </w:rPr>
            <w:t>三</w:t>
          </w:r>
          <w:r>
            <w:rPr>
              <w:rStyle w:val="22"/>
              <w:rFonts w:cs="Times New Roman"/>
              <w:color w:val="auto"/>
            </w:rPr>
            <w:t xml:space="preserve">) </w:t>
          </w:r>
          <w:r>
            <w:rPr>
              <w:rStyle w:val="22"/>
              <w:rFonts w:hint="eastAsia" w:cs="Times New Roman"/>
              <w:color w:val="auto"/>
              <w:lang w:eastAsia="zh-CN"/>
            </w:rPr>
            <w:t>提高</w:t>
          </w:r>
          <w:r>
            <w:rPr>
              <w:rStyle w:val="22"/>
              <w:rFonts w:cs="Times New Roman"/>
              <w:color w:val="auto"/>
            </w:rPr>
            <w:t>电网</w:t>
          </w:r>
          <w:r>
            <w:rPr>
              <w:rStyle w:val="22"/>
              <w:rFonts w:hint="eastAsia" w:cs="Times New Roman"/>
              <w:color w:val="auto"/>
              <w:lang w:eastAsia="zh-CN"/>
            </w:rPr>
            <w:t>保障能力</w:t>
          </w:r>
          <w:r>
            <w:tab/>
          </w:r>
          <w:r>
            <w:fldChar w:fldCharType="begin"/>
          </w:r>
          <w:r>
            <w:instrText xml:space="preserve"> PAGEREF _Toc113540793 \h </w:instrText>
          </w:r>
          <w:r>
            <w:fldChar w:fldCharType="separate"/>
          </w:r>
          <w:r>
            <w:t>27</w:t>
          </w:r>
          <w:r>
            <w:fldChar w:fldCharType="end"/>
          </w:r>
          <w:r>
            <w:fldChar w:fldCharType="end"/>
          </w:r>
        </w:p>
        <w:p>
          <w:pPr>
            <w:pStyle w:val="17"/>
          </w:pPr>
          <w:r>
            <w:fldChar w:fldCharType="begin"/>
          </w:r>
          <w:r>
            <w:instrText xml:space="preserve"> HYPERLINK \l "_Toc113540794" </w:instrText>
          </w:r>
          <w:r>
            <w:fldChar w:fldCharType="separate"/>
          </w:r>
          <w:r>
            <w:rPr>
              <w:rStyle w:val="22"/>
              <w:rFonts w:cs="Times New Roman"/>
              <w:color w:val="auto"/>
            </w:rPr>
            <w:t>(</w:t>
          </w:r>
          <w:r>
            <w:rPr>
              <w:rStyle w:val="22"/>
              <w:rFonts w:hint="eastAsia" w:cs="Times New Roman"/>
              <w:color w:val="auto"/>
              <w:lang w:eastAsia="zh-CN"/>
            </w:rPr>
            <w:t>四</w:t>
          </w:r>
          <w:r>
            <w:rPr>
              <w:rStyle w:val="22"/>
              <w:rFonts w:cs="Times New Roman"/>
              <w:color w:val="auto"/>
            </w:rPr>
            <w:t>) 加强</w:t>
          </w:r>
          <w:r>
            <w:rPr>
              <w:rStyle w:val="22"/>
              <w:rFonts w:hint="eastAsia" w:cs="Times New Roman"/>
              <w:color w:val="auto"/>
              <w:lang w:eastAsia="zh-CN"/>
            </w:rPr>
            <w:t>用地支撑</w:t>
          </w:r>
          <w:r>
            <w:tab/>
          </w:r>
          <w:r>
            <w:fldChar w:fldCharType="begin"/>
          </w:r>
          <w:r>
            <w:instrText xml:space="preserve"> PAGEREF _Toc113540794 \h </w:instrText>
          </w:r>
          <w:r>
            <w:fldChar w:fldCharType="separate"/>
          </w:r>
          <w:r>
            <w:t>26</w:t>
          </w:r>
          <w:r>
            <w:fldChar w:fldCharType="end"/>
          </w:r>
          <w:r>
            <w:fldChar w:fldCharType="end"/>
          </w:r>
        </w:p>
        <w:p>
          <w:pPr>
            <w:ind w:firstLine="1280" w:firstLineChars="400"/>
            <w:jc w:val="both"/>
          </w:pPr>
          <w:r>
            <w:fldChar w:fldCharType="begin"/>
          </w:r>
          <w:r>
            <w:instrText xml:space="preserve"> HYPERLINK \l "_Toc113540794" </w:instrText>
          </w:r>
          <w:r>
            <w:fldChar w:fldCharType="separate"/>
          </w:r>
          <w:r>
            <w:rPr>
              <w:rStyle w:val="22"/>
              <w:rFonts w:cs="Times New Roman"/>
              <w:color w:val="auto"/>
            </w:rPr>
            <w:t>(</w:t>
          </w:r>
          <w:r>
            <w:rPr>
              <w:rStyle w:val="22"/>
              <w:rFonts w:hint="eastAsia" w:cs="Times New Roman"/>
              <w:color w:val="auto"/>
              <w:lang w:eastAsia="zh-CN"/>
            </w:rPr>
            <w:t>五</w:t>
          </w:r>
          <w:r>
            <w:rPr>
              <w:rStyle w:val="22"/>
              <w:rFonts w:cs="Times New Roman"/>
              <w:color w:val="auto"/>
            </w:rPr>
            <w:t>) 加强</w:t>
          </w:r>
          <w:r>
            <w:rPr>
              <w:rStyle w:val="22"/>
              <w:rFonts w:hint="eastAsia" w:cs="Times New Roman"/>
              <w:color w:val="auto"/>
              <w:lang w:eastAsia="zh-CN"/>
            </w:rPr>
            <w:t>实施评估</w:t>
          </w:r>
          <w:r>
            <w:rPr>
              <w:rStyle w:val="22"/>
              <w:rFonts w:hint="eastAsia" w:cs="Times New Roman"/>
              <w:color w:val="auto"/>
              <w:lang w:val="en-US" w:eastAsia="zh-CN"/>
            </w:rPr>
            <w:t xml:space="preserve"> </w:t>
          </w:r>
          <w:r>
            <w:rPr>
              <w:rStyle w:val="22"/>
              <w:rFonts w:hint="default" w:ascii="Arial" w:hAnsi="Arial" w:cs="Arial"/>
              <w:color w:val="auto"/>
              <w:lang w:eastAsia="zh-CN"/>
            </w:rPr>
            <w:t>……………………………</w:t>
          </w:r>
          <w:r>
            <w:fldChar w:fldCharType="begin"/>
          </w:r>
          <w:r>
            <w:instrText xml:space="preserve"> PAGEREF _Toc113540795 \h </w:instrText>
          </w:r>
          <w:r>
            <w:fldChar w:fldCharType="separate"/>
          </w:r>
          <w:r>
            <w:t>28</w:t>
          </w:r>
          <w:r>
            <w:fldChar w:fldCharType="end"/>
          </w:r>
          <w:r>
            <w:fldChar w:fldCharType="end"/>
          </w:r>
        </w:p>
        <w:p>
          <w:pPr>
            <w:pStyle w:val="17"/>
            <w:rPr>
              <w:rFonts w:asciiTheme="minorHAnsi" w:hAnsiTheme="minorHAnsi" w:eastAsiaTheme="minorEastAsia"/>
              <w:sz w:val="21"/>
              <w:szCs w:val="22"/>
            </w:rPr>
          </w:pPr>
          <w:r>
            <w:fldChar w:fldCharType="begin"/>
          </w:r>
          <w:r>
            <w:instrText xml:space="preserve"> HYPERLINK \l "_Toc113540795" </w:instrText>
          </w:r>
          <w:r>
            <w:fldChar w:fldCharType="separate"/>
          </w:r>
          <w:r>
            <w:rPr>
              <w:rStyle w:val="22"/>
              <w:rFonts w:cs="Times New Roman"/>
              <w:color w:val="auto"/>
            </w:rPr>
            <w:t>(</w:t>
          </w:r>
          <w:r>
            <w:rPr>
              <w:rStyle w:val="22"/>
              <w:rFonts w:hint="eastAsia" w:cs="Times New Roman"/>
              <w:color w:val="auto"/>
              <w:lang w:eastAsia="zh-CN"/>
            </w:rPr>
            <w:t>六</w:t>
          </w:r>
          <w:r>
            <w:rPr>
              <w:rStyle w:val="22"/>
              <w:rFonts w:cs="Times New Roman"/>
              <w:color w:val="auto"/>
            </w:rPr>
            <w:t>) 落实产业保障和激励措施</w:t>
          </w:r>
          <w:r>
            <w:tab/>
          </w:r>
          <w:r>
            <w:fldChar w:fldCharType="begin"/>
          </w:r>
          <w:r>
            <w:instrText xml:space="preserve"> PAGEREF _Toc113540795 \h </w:instrText>
          </w:r>
          <w:r>
            <w:fldChar w:fldCharType="separate"/>
          </w:r>
          <w:r>
            <w:t>28</w:t>
          </w:r>
          <w:r>
            <w:fldChar w:fldCharType="end"/>
          </w:r>
          <w:r>
            <w:fldChar w:fldCharType="end"/>
          </w:r>
        </w:p>
        <w:p>
          <w:pPr>
            <w:ind w:firstLine="0" w:firstLineChars="0"/>
            <w:jc w:val="left"/>
            <w:rPr>
              <w:rFonts w:cs="Times New Roman"/>
            </w:rPr>
          </w:pPr>
          <w:r>
            <w:rPr>
              <w:rFonts w:cs="Times New Roman"/>
              <w:bCs/>
              <w:szCs w:val="28"/>
              <w:lang w:val="zh-CN"/>
            </w:rPr>
            <w:fldChar w:fldCharType="end"/>
          </w:r>
        </w:p>
      </w:sdtContent>
    </w:sdt>
    <w:p>
      <w:pPr>
        <w:ind w:firstLine="0" w:firstLineChars="0"/>
        <w:jc w:val="center"/>
        <w:rPr>
          <w:rFonts w:eastAsia="黑体" w:cs="Times New Roman"/>
          <w:sz w:val="40"/>
          <w:szCs w:val="32"/>
        </w:rPr>
        <w:sectPr>
          <w:footerReference r:id="rId8" w:type="default"/>
          <w:pgSz w:w="11906" w:h="16838"/>
          <w:pgMar w:top="1440" w:right="1800" w:bottom="1440" w:left="1800" w:header="851" w:footer="992" w:gutter="0"/>
          <w:pgNumType w:fmt="upperRoman" w:start="1"/>
          <w:cols w:space="425" w:num="1"/>
          <w:docGrid w:type="lines" w:linePitch="312" w:charSpace="0"/>
        </w:sectPr>
      </w:pPr>
    </w:p>
    <w:p>
      <w:pPr>
        <w:pStyle w:val="4"/>
        <w:numPr>
          <w:ilvl w:val="0"/>
          <w:numId w:val="0"/>
        </w:numPr>
        <w:spacing w:line="580" w:lineRule="exact"/>
        <w:rPr>
          <w:rFonts w:cs="Times New Roman"/>
          <w:bCs w:val="0"/>
          <w:sz w:val="32"/>
          <w:szCs w:val="32"/>
        </w:rPr>
      </w:pPr>
      <w:bookmarkStart w:id="0" w:name="_Toc113540758"/>
      <w:bookmarkStart w:id="1" w:name="_Toc21349"/>
      <w:bookmarkStart w:id="2" w:name="_Toc30389"/>
      <w:r>
        <w:rPr>
          <w:rFonts w:cs="Times New Roman"/>
          <w:bCs w:val="0"/>
          <w:sz w:val="32"/>
          <w:szCs w:val="32"/>
        </w:rPr>
        <w:t>前  言</w:t>
      </w:r>
      <w:bookmarkEnd w:id="0"/>
      <w:bookmarkEnd w:id="1"/>
      <w:bookmarkEnd w:id="2"/>
    </w:p>
    <w:p>
      <w:pPr>
        <w:pStyle w:val="43"/>
        <w:spacing w:line="580" w:lineRule="exact"/>
        <w:ind w:firstLine="642"/>
        <w:jc w:val="both"/>
        <w:rPr>
          <w:rFonts w:hint="default" w:ascii="Times New Roman" w:hAnsi="Times New Roman" w:eastAsia="仿宋"/>
          <w:color w:val="auto"/>
          <w:kern w:val="2"/>
          <w:sz w:val="32"/>
          <w:szCs w:val="21"/>
        </w:rPr>
      </w:pP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十四五</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时期是我国开启全面建设社会主义现代化国家新征程、向第二个百年奋斗目标进军的第一个五年，也是我国推进“碳达峰、碳中和”战略的第一个五年。面对新形势、新要求，要全面落实习近平总书记关于内蒙古能源工作重要讲话重要指示批示精神，立足</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两个屏障、两个基地、一个桥头堡</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战略定位，围绕自治区</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两率先、两超过</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目标任务，逐步建立以新能源为主体的能源供给体系。</w:t>
      </w:r>
    </w:p>
    <w:p>
      <w:pPr>
        <w:pStyle w:val="43"/>
        <w:spacing w:line="580" w:lineRule="exact"/>
        <w:ind w:firstLine="642"/>
        <w:jc w:val="both"/>
        <w:rPr>
          <w:rFonts w:hint="default"/>
          <w:color w:val="auto"/>
          <w:szCs w:val="21"/>
        </w:rPr>
      </w:pPr>
      <w:r>
        <w:rPr>
          <w:rFonts w:ascii="Times New Roman" w:hAnsi="Times New Roman" w:eastAsia="仿宋"/>
          <w:color w:val="auto"/>
          <w:kern w:val="2"/>
          <w:sz w:val="32"/>
          <w:szCs w:val="21"/>
        </w:rPr>
        <w:t>本规划按照国家发展改革委、国家能源局、财政部、自然资源局、生态环境部、住房和城乡建设部、农业农村部、中国气象局、国家林业和草原局等多部委关于印发《“十四五”可再生能源发展规划的通知》要求，衔接《内蒙古自治区</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十四五</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可再生能源发展规划》《推动全区风电光伏新能源产业高质量发展的意见》和《锡林郭勒盟国民经济和社会发展第十四个五年规划和二</w:t>
      </w:r>
      <w:r>
        <w:rPr>
          <w:rFonts w:hint="default" w:ascii="Times New Roman" w:hAnsi="Times New Roman" w:eastAsia="仿宋"/>
          <w:color w:val="auto"/>
          <w:kern w:val="2"/>
          <w:sz w:val="32"/>
          <w:szCs w:val="21"/>
        </w:rPr>
        <w:t>Ο</w:t>
      </w:r>
      <w:r>
        <w:rPr>
          <w:rFonts w:ascii="Times New Roman" w:hAnsi="Times New Roman" w:eastAsia="仿宋"/>
          <w:color w:val="auto"/>
          <w:kern w:val="2"/>
          <w:sz w:val="32"/>
          <w:szCs w:val="21"/>
        </w:rPr>
        <w:t>三五年远景目标纲要》等相关文件，结合锡林郭勒盟实际制定本规划。</w:t>
      </w:r>
    </w:p>
    <w:p>
      <w:pPr>
        <w:pStyle w:val="43"/>
        <w:spacing w:line="580" w:lineRule="exact"/>
        <w:ind w:firstLine="642"/>
        <w:jc w:val="both"/>
        <w:rPr>
          <w:rFonts w:hint="default"/>
          <w:color w:val="auto"/>
          <w:szCs w:val="32"/>
          <w:lang w:bidi="ar"/>
        </w:rPr>
        <w:sectPr>
          <w:footerReference r:id="rId9" w:type="default"/>
          <w:pgSz w:w="11906" w:h="16838"/>
          <w:pgMar w:top="1440" w:right="1800" w:bottom="1440" w:left="1800" w:header="851" w:footer="992" w:gutter="0"/>
          <w:pgNumType w:fmt="decimal" w:start="1"/>
          <w:cols w:space="720" w:num="1"/>
          <w:docGrid w:type="lines" w:linePitch="312" w:charSpace="0"/>
        </w:sectPr>
      </w:pPr>
      <w:r>
        <w:rPr>
          <w:rFonts w:ascii="Times New Roman" w:hAnsi="Times New Roman" w:eastAsia="仿宋"/>
          <w:color w:val="auto"/>
          <w:kern w:val="2"/>
          <w:sz w:val="32"/>
          <w:szCs w:val="21"/>
        </w:rPr>
        <w:t>本规划涉及的可再生能源涵盖风能、太阳能、氢能、储能、生物质能等主要类型，明确了</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十四五</w:t>
      </w:r>
      <w:r>
        <w:rPr>
          <w:rFonts w:hint="default" w:ascii="Times New Roman" w:hAnsi="Times New Roman" w:eastAsia="仿宋"/>
          <w:color w:val="auto"/>
          <w:kern w:val="2"/>
          <w:sz w:val="32"/>
          <w:szCs w:val="21"/>
        </w:rPr>
        <w:t>”</w:t>
      </w:r>
      <w:r>
        <w:rPr>
          <w:rFonts w:ascii="Times New Roman" w:hAnsi="Times New Roman" w:eastAsia="仿宋"/>
          <w:color w:val="auto"/>
          <w:kern w:val="2"/>
          <w:sz w:val="32"/>
          <w:szCs w:val="21"/>
        </w:rPr>
        <w:t>时期锡林郭勒盟可再生能源发展的指导思想、基本原则、发展目标、主要任务和保障措施。规划实施过程中，适时进行评估和调整。</w:t>
      </w:r>
    </w:p>
    <w:p>
      <w:pPr>
        <w:ind w:firstLine="720"/>
        <w:rPr>
          <w:rFonts w:ascii="黑体" w:hAnsi="黑体" w:eastAsia="黑体" w:cs="黑体"/>
          <w:sz w:val="36"/>
          <w:szCs w:val="36"/>
        </w:rPr>
      </w:pPr>
      <w:bookmarkStart w:id="3" w:name="_Toc113540759"/>
      <w:r>
        <w:rPr>
          <w:rFonts w:hint="eastAsia" w:ascii="黑体" w:hAnsi="黑体" w:eastAsia="黑体" w:cs="黑体"/>
          <w:sz w:val="36"/>
          <w:szCs w:val="36"/>
        </w:rPr>
        <w:t>一、发展基础和形势</w:t>
      </w:r>
      <w:bookmarkEnd w:id="3"/>
      <w:bookmarkStart w:id="4" w:name="_Toc113540760"/>
    </w:p>
    <w:p>
      <w:pPr>
        <w:ind w:firstLine="640"/>
        <w:rPr>
          <w:rFonts w:ascii="黑体" w:hAnsi="黑体" w:eastAsia="黑体" w:cs="黑体"/>
        </w:rPr>
      </w:pPr>
      <w:r>
        <w:rPr>
          <w:rFonts w:hint="eastAsia" w:ascii="黑体" w:hAnsi="黑体" w:eastAsia="黑体" w:cs="黑体"/>
        </w:rPr>
        <w:t>（一）发展成就</w:t>
      </w:r>
      <w:bookmarkEnd w:id="4"/>
    </w:p>
    <w:p>
      <w:pPr>
        <w:spacing w:line="580" w:lineRule="exact"/>
        <w:ind w:firstLine="640"/>
        <w:rPr>
          <w:rFonts w:cs="Times New Roman"/>
        </w:rPr>
      </w:pPr>
      <w:r>
        <w:rPr>
          <w:rFonts w:hint="eastAsia" w:cs="Times New Roman"/>
        </w:rPr>
        <w:t>锡林郭勒盟煤炭、风能和太阳能资源丰富，是国家规划建设的14个亿吨级大型煤炭基地、9个千万千瓦级大型煤电基地和9个大型现代风电基地之一，对于保障华北、华东、东北能源安全具有重要的战略地位。全盟预测煤炭资源量2</w:t>
      </w:r>
      <w:r>
        <w:rPr>
          <w:rFonts w:cs="Times New Roman"/>
        </w:rPr>
        <w:t>600</w:t>
      </w:r>
      <w:r>
        <w:rPr>
          <w:rFonts w:hint="eastAsia" w:cs="Times New Roman"/>
        </w:rPr>
        <w:t>亿吨，已开展前期工作的煤电项目约5</w:t>
      </w:r>
      <w:r>
        <w:rPr>
          <w:rFonts w:cs="Times New Roman"/>
        </w:rPr>
        <w:t>400</w:t>
      </w:r>
      <w:r>
        <w:rPr>
          <w:rFonts w:hint="eastAsia" w:cs="Times New Roman"/>
        </w:rPr>
        <w:t>万千瓦，风电可规模化开发量约6</w:t>
      </w:r>
      <w:r>
        <w:rPr>
          <w:rFonts w:cs="Times New Roman"/>
        </w:rPr>
        <w:t>000</w:t>
      </w:r>
      <w:r>
        <w:rPr>
          <w:rFonts w:hint="eastAsia" w:cs="Times New Roman"/>
        </w:rPr>
        <w:t>万千瓦，光伏可规模化开发量约</w:t>
      </w:r>
      <w:r>
        <w:rPr>
          <w:rFonts w:cs="Times New Roman"/>
        </w:rPr>
        <w:t>49000</w:t>
      </w:r>
      <w:r>
        <w:rPr>
          <w:rFonts w:hint="eastAsia" w:cs="Times New Roman"/>
        </w:rPr>
        <w:t>万千瓦，是内蒙古西部重要的煤电及新能源基地。</w:t>
      </w:r>
      <w:r>
        <w:rPr>
          <w:rFonts w:cs="Times New Roman"/>
        </w:rPr>
        <w:t>“十三五”期间，锡林郭勒盟立足新能源资源条件</w:t>
      </w:r>
      <w:r>
        <w:rPr>
          <w:rFonts w:hint="eastAsia" w:cs="Times New Roman"/>
        </w:rPr>
        <w:t>和电网条件</w:t>
      </w:r>
      <w:r>
        <w:rPr>
          <w:rFonts w:cs="Times New Roman"/>
        </w:rPr>
        <w:t>，贯彻落实国家和自治区新能源发展政策，着力推进新能源</w:t>
      </w:r>
      <w:r>
        <w:rPr>
          <w:rFonts w:hint="eastAsia" w:cs="Times New Roman"/>
        </w:rPr>
        <w:t>项目</w:t>
      </w:r>
      <w:r>
        <w:rPr>
          <w:rFonts w:cs="Times New Roman"/>
        </w:rPr>
        <w:t>建设，</w:t>
      </w:r>
      <w:r>
        <w:rPr>
          <w:rFonts w:hint="eastAsia" w:cs="Times New Roman"/>
        </w:rPr>
        <w:t>新能源产业发展取得了丰硕成果</w:t>
      </w:r>
      <w:r>
        <w:rPr>
          <w:rFonts w:cs="Times New Roman"/>
        </w:rPr>
        <w:t>。</w:t>
      </w:r>
    </w:p>
    <w:p>
      <w:pPr>
        <w:spacing w:line="580" w:lineRule="exact"/>
        <w:ind w:firstLine="643"/>
        <w:rPr>
          <w:rFonts w:cs="Times New Roman"/>
        </w:rPr>
      </w:pPr>
      <w:r>
        <w:rPr>
          <w:rFonts w:hint="eastAsia" w:cs="Times New Roman"/>
          <w:b/>
          <w:bCs/>
        </w:rPr>
        <w:t>一是新能源装机规模持续扩大，千万千瓦级新能源基地全面建成。</w:t>
      </w:r>
      <w:r>
        <w:rPr>
          <w:rFonts w:cs="Times New Roman"/>
        </w:rPr>
        <w:t>截</w:t>
      </w:r>
      <w:r>
        <w:rPr>
          <w:rFonts w:hint="eastAsia" w:cs="Times New Roman"/>
        </w:rPr>
        <w:t>止</w:t>
      </w:r>
      <w:r>
        <w:rPr>
          <w:rFonts w:cs="Times New Roman"/>
        </w:rPr>
        <w:t>2020年底，</w:t>
      </w:r>
      <w:r>
        <w:rPr>
          <w:rFonts w:hint="eastAsia" w:cs="Times New Roman"/>
        </w:rPr>
        <w:t>全盟新能源装机规模达到</w:t>
      </w:r>
      <w:r>
        <w:rPr>
          <w:rFonts w:cs="Times New Roman"/>
        </w:rPr>
        <w:t>1038</w:t>
      </w:r>
      <w:r>
        <w:rPr>
          <w:rFonts w:hint="eastAsia" w:cs="Times New Roman"/>
        </w:rPr>
        <w:t>万千瓦，是“十二五”末的3倍，</w:t>
      </w:r>
      <w:r>
        <w:rPr>
          <w:rFonts w:cs="Times New Roman"/>
        </w:rPr>
        <w:t>占</w:t>
      </w:r>
      <w:r>
        <w:rPr>
          <w:rFonts w:hint="eastAsia" w:cs="Times New Roman"/>
        </w:rPr>
        <w:t>全盟</w:t>
      </w:r>
      <w:r>
        <w:rPr>
          <w:rFonts w:cs="Times New Roman"/>
        </w:rPr>
        <w:t>电力总装机的45.5%</w:t>
      </w:r>
      <w:r>
        <w:rPr>
          <w:rFonts w:hint="eastAsia" w:cs="Times New Roman"/>
        </w:rPr>
        <w:t>，</w:t>
      </w:r>
      <w:r>
        <w:rPr>
          <w:rFonts w:cs="Times New Roman"/>
        </w:rPr>
        <w:t>占</w:t>
      </w:r>
      <w:r>
        <w:rPr>
          <w:rFonts w:hint="eastAsia" w:cs="Times New Roman"/>
        </w:rPr>
        <w:t>自治区</w:t>
      </w:r>
      <w:r>
        <w:rPr>
          <w:rFonts w:cs="Times New Roman"/>
        </w:rPr>
        <w:t>新能源装机的20%，</w:t>
      </w:r>
      <w:r>
        <w:rPr>
          <w:rFonts w:hint="eastAsia" w:cs="Times New Roman"/>
        </w:rPr>
        <w:t>位居全区第一位，在全区率先建成千万千瓦级新能源基地。</w:t>
      </w:r>
      <w:r>
        <w:rPr>
          <w:rFonts w:cs="Times New Roman"/>
        </w:rPr>
        <w:t>其中：接入蒙西电网</w:t>
      </w:r>
      <w:r>
        <w:rPr>
          <w:rFonts w:hint="eastAsia" w:cs="Times New Roman"/>
        </w:rPr>
        <w:t>风电</w:t>
      </w:r>
      <w:r>
        <w:rPr>
          <w:rFonts w:cs="Times New Roman"/>
        </w:rPr>
        <w:t>372万千瓦</w:t>
      </w:r>
      <w:r>
        <w:rPr>
          <w:rFonts w:hint="eastAsia" w:cs="Times New Roman"/>
        </w:rPr>
        <w:t>、</w:t>
      </w:r>
      <w:r>
        <w:rPr>
          <w:rFonts w:cs="Times New Roman"/>
        </w:rPr>
        <w:t>光伏71万千瓦</w:t>
      </w:r>
      <w:r>
        <w:rPr>
          <w:rFonts w:hint="eastAsia" w:cs="Times New Roman"/>
        </w:rPr>
        <w:t>，接入</w:t>
      </w:r>
      <w:r>
        <w:rPr>
          <w:rFonts w:cs="Times New Roman"/>
        </w:rPr>
        <w:t>特高压风电595万千瓦</w:t>
      </w:r>
      <w:r>
        <w:rPr>
          <w:rFonts w:hint="eastAsia" w:cs="Times New Roman"/>
        </w:rPr>
        <w:t>。</w:t>
      </w:r>
    </w:p>
    <w:p>
      <w:pPr>
        <w:spacing w:line="580" w:lineRule="exact"/>
        <w:ind w:firstLine="643"/>
        <w:rPr>
          <w:rFonts w:cs="Times New Roman"/>
        </w:rPr>
      </w:pPr>
      <w:r>
        <w:rPr>
          <w:rFonts w:hint="eastAsia" w:cs="Times New Roman"/>
          <w:b/>
          <w:bCs/>
        </w:rPr>
        <w:t>二是绿色能源的名片更加亮丽，绿色发展成效显现</w:t>
      </w:r>
      <w:r>
        <w:rPr>
          <w:rFonts w:hint="eastAsia" w:cs="Times New Roman"/>
        </w:rPr>
        <w:t>。在新能源开发过程中，我们坚决把草原生态保护挺在前面，按照东部严格管控，西部、南部重点发展，中部适度发展的思路，新上新能源重点布局在西部荒漠半荒漠化地区和南部浑善达克沙地、丘陵半丘陵地区。推广使用大容量风机，统筹规划输电廊道，有效减少了草原征占用面积，最大程度地保护地保护草原生态环境。积极推进可再生能源替代，启动实施风光制氢一体化、工业园区绿色供电、源网荷储一体化、全额自发自用、火电灵活性改造等项目，促进节能降碳，引领工业经济高质量发展。</w:t>
      </w:r>
    </w:p>
    <w:p>
      <w:pPr>
        <w:spacing w:line="580" w:lineRule="exact"/>
        <w:ind w:firstLine="643"/>
        <w:rPr>
          <w:rFonts w:cs="Times New Roman"/>
        </w:rPr>
      </w:pPr>
      <w:r>
        <w:rPr>
          <w:rFonts w:hint="eastAsia" w:cs="Times New Roman"/>
          <w:b/>
        </w:rPr>
        <w:t>三是网架结构不断强化，能源外送通道更加稳固。</w:t>
      </w:r>
      <w:r>
        <w:rPr>
          <w:rFonts w:hint="eastAsia" w:cs="Times New Roman"/>
        </w:rPr>
        <w:t>“十三五”期间，锡林郭勒盟建成了“一交一直”特高压外送通道，锡盟~山东1</w:t>
      </w:r>
      <w:r>
        <w:rPr>
          <w:rFonts w:cs="Times New Roman"/>
        </w:rPr>
        <w:t>000</w:t>
      </w:r>
      <w:r>
        <w:rPr>
          <w:rFonts w:hint="eastAsia" w:cs="Times New Roman"/>
        </w:rPr>
        <w:t>千伏特高压交流通道和锡盟~江苏</w:t>
      </w:r>
      <w:r>
        <w:rPr>
          <w:rFonts w:hint="eastAsia" w:ascii="仿宋" w:hAnsi="仿宋" w:cs="Times New Roman"/>
        </w:rPr>
        <w:t>±</w:t>
      </w:r>
      <w:r>
        <w:rPr>
          <w:rFonts w:hint="eastAsia" w:cs="Times New Roman"/>
        </w:rPr>
        <w:t>8</w:t>
      </w:r>
      <w:r>
        <w:rPr>
          <w:rFonts w:cs="Times New Roman"/>
        </w:rPr>
        <w:t>00</w:t>
      </w:r>
      <w:r>
        <w:rPr>
          <w:rFonts w:hint="eastAsia" w:cs="Times New Roman"/>
        </w:rPr>
        <w:t>千伏特高压直流通道分工程分别于</w:t>
      </w:r>
      <w:r>
        <w:rPr>
          <w:rFonts w:cs="Times New Roman"/>
        </w:rPr>
        <w:t>2016</w:t>
      </w:r>
      <w:r>
        <w:rPr>
          <w:rFonts w:hint="eastAsia" w:cs="Times New Roman"/>
        </w:rPr>
        <w:t>年7月和</w:t>
      </w:r>
      <w:r>
        <w:rPr>
          <w:rFonts w:cs="Times New Roman"/>
        </w:rPr>
        <w:t>2017</w:t>
      </w:r>
      <w:r>
        <w:rPr>
          <w:rFonts w:hint="eastAsia" w:cs="Times New Roman"/>
        </w:rPr>
        <w:t>年</w:t>
      </w:r>
      <w:r>
        <w:rPr>
          <w:rFonts w:cs="Times New Roman"/>
        </w:rPr>
        <w:t>9</w:t>
      </w:r>
      <w:r>
        <w:rPr>
          <w:rFonts w:hint="eastAsia" w:cs="Times New Roman"/>
        </w:rPr>
        <w:t>月建成投运。为汇集送出锡盟特高压通道第一批配套7</w:t>
      </w:r>
      <w:r>
        <w:rPr>
          <w:rFonts w:cs="Times New Roman"/>
        </w:rPr>
        <w:t>00</w:t>
      </w:r>
      <w:r>
        <w:rPr>
          <w:rFonts w:hint="eastAsia" w:cs="Times New Roman"/>
        </w:rPr>
        <w:t>万千瓦风电，锡盟地区已建成“五站五线”工程，其中宝力根和巴彦杭盖汇集站各以1回5</w:t>
      </w:r>
      <w:r>
        <w:rPr>
          <w:rFonts w:cs="Times New Roman"/>
        </w:rPr>
        <w:t>00</w:t>
      </w:r>
      <w:r>
        <w:rPr>
          <w:rFonts w:hint="eastAsia" w:cs="Times New Roman"/>
        </w:rPr>
        <w:t>千伏线路接至锡盟换流站，别力古台汇集站以1回5</w:t>
      </w:r>
      <w:r>
        <w:rPr>
          <w:rFonts w:cs="Times New Roman"/>
        </w:rPr>
        <w:t>00</w:t>
      </w:r>
      <w:r>
        <w:rPr>
          <w:rFonts w:hint="eastAsia" w:cs="Times New Roman"/>
        </w:rPr>
        <w:t>千伏线路接至胜利特高压站，阿尔善图和白音查干汇集站各以1回5</w:t>
      </w:r>
      <w:r>
        <w:rPr>
          <w:rFonts w:cs="Times New Roman"/>
        </w:rPr>
        <w:t>00</w:t>
      </w:r>
      <w:r>
        <w:rPr>
          <w:rFonts w:hint="eastAsia" w:cs="Times New Roman"/>
        </w:rPr>
        <w:t>千伏线路接到锡盟特高压站。此外，随着白音郭勒变电站、汗白Ⅱ线、白腾Ⅱ线的投产，全盟能源外送通道更加稳固，</w:t>
      </w:r>
      <w:r>
        <w:rPr>
          <w:rFonts w:cs="Times New Roman"/>
        </w:rPr>
        <w:t>500</w:t>
      </w:r>
      <w:r>
        <w:rPr>
          <w:rFonts w:hint="eastAsia" w:cs="Times New Roman"/>
        </w:rPr>
        <w:t>千伏网架得到加强，</w:t>
      </w:r>
      <w:r>
        <w:rPr>
          <w:rFonts w:cs="Times New Roman"/>
        </w:rPr>
        <w:t>220</w:t>
      </w:r>
      <w:r>
        <w:rPr>
          <w:rFonts w:hint="eastAsia" w:cs="Times New Roman"/>
        </w:rPr>
        <w:t>千伏及以下网络进一步向纵深延伸。</w:t>
      </w:r>
    </w:p>
    <w:p>
      <w:pPr>
        <w:spacing w:line="580" w:lineRule="exact"/>
        <w:ind w:firstLine="643"/>
        <w:rPr>
          <w:rFonts w:cs="Times New Roman"/>
        </w:rPr>
      </w:pPr>
      <w:r>
        <w:rPr>
          <w:rFonts w:hint="eastAsia" w:cs="Times New Roman"/>
          <w:b/>
          <w:bCs/>
        </w:rPr>
        <w:t>四是新能源产业规模逐步壮大，协同发展格局总体形成。</w:t>
      </w:r>
      <w:r>
        <w:rPr>
          <w:rFonts w:hint="eastAsia" w:cs="Times New Roman"/>
        </w:rPr>
        <w:t>在大力发展新能源项目的同时，同步培育发展装备制造和运维服务业，推动上下游全产业链一体化高质量发展。</w:t>
      </w:r>
      <w:r>
        <w:rPr>
          <w:rFonts w:cs="Times New Roman"/>
        </w:rPr>
        <w:t>2020</w:t>
      </w:r>
      <w:r>
        <w:rPr>
          <w:rFonts w:hint="eastAsia" w:cs="Times New Roman"/>
        </w:rPr>
        <w:t>年全盟风电装备生产能力达到</w:t>
      </w:r>
      <w:r>
        <w:rPr>
          <w:rFonts w:cs="Times New Roman"/>
        </w:rPr>
        <w:t>400</w:t>
      </w:r>
      <w:r>
        <w:rPr>
          <w:rFonts w:hint="eastAsia" w:cs="Times New Roman"/>
        </w:rPr>
        <w:t>万千瓦</w:t>
      </w:r>
      <w:r>
        <w:rPr>
          <w:rFonts w:cs="Times New Roman"/>
        </w:rPr>
        <w:t>/</w:t>
      </w:r>
      <w:r>
        <w:rPr>
          <w:rFonts w:hint="eastAsia" w:cs="Times New Roman"/>
        </w:rPr>
        <w:t>年，年产值达到</w:t>
      </w:r>
      <w:r>
        <w:rPr>
          <w:rFonts w:cs="Times New Roman"/>
        </w:rPr>
        <w:t>81.3</w:t>
      </w:r>
      <w:r>
        <w:rPr>
          <w:rFonts w:hint="eastAsia" w:cs="Times New Roman"/>
        </w:rPr>
        <w:t>亿元，占规模以上工业产值的比重达到</w:t>
      </w:r>
      <w:r>
        <w:rPr>
          <w:rFonts w:cs="Times New Roman"/>
        </w:rPr>
        <w:t>12%</w:t>
      </w:r>
      <w:r>
        <w:rPr>
          <w:rFonts w:hint="eastAsia" w:cs="Times New Roman"/>
        </w:rPr>
        <w:t>。已引进金风、明阳、上海电气、海装、中车等大型现代装备制造企业，形成主机、塔筒、叶片、轮毂、机舱罩、变压器等风电全产业链发展模式。</w:t>
      </w:r>
      <w:r>
        <w:rPr>
          <w:rFonts w:cs="Times New Roman"/>
        </w:rPr>
        <w:t>2020</w:t>
      </w:r>
      <w:r>
        <w:rPr>
          <w:rFonts w:hint="eastAsia" w:cs="Times New Roman"/>
        </w:rPr>
        <w:t>年下线的明阳新能源</w:t>
      </w:r>
      <w:r>
        <w:rPr>
          <w:rFonts w:cs="Times New Roman"/>
        </w:rPr>
        <w:t>5.2</w:t>
      </w:r>
      <w:r>
        <w:rPr>
          <w:rFonts w:hint="eastAsia" w:cs="Times New Roman"/>
        </w:rPr>
        <w:t>兆瓦机组刷新了亚洲陆上风机单机容量纪录。产品销售辐射周边盟市，远销吉林、辽宁、河北、山西、陕西、宁夏、甘肃、新疆等省份，区域竞争优势显现。</w:t>
      </w:r>
    </w:p>
    <w:p>
      <w:pPr>
        <w:pStyle w:val="5"/>
        <w:numPr>
          <w:ilvl w:val="1"/>
          <w:numId w:val="0"/>
        </w:numPr>
        <w:spacing w:line="580" w:lineRule="exact"/>
        <w:ind w:firstLine="600" w:firstLineChars="200"/>
        <w:rPr>
          <w:rFonts w:cs="Times New Roman"/>
        </w:rPr>
      </w:pPr>
      <w:bookmarkStart w:id="5" w:name="_Toc113540761"/>
      <w:r>
        <w:rPr>
          <w:rFonts w:hint="eastAsia" w:cs="Times New Roman"/>
        </w:rPr>
        <w:t>（二）发展机遇</w:t>
      </w:r>
      <w:bookmarkEnd w:id="5"/>
    </w:p>
    <w:p>
      <w:pPr>
        <w:spacing w:line="580" w:lineRule="exact"/>
        <w:ind w:firstLine="640"/>
        <w:rPr>
          <w:rFonts w:cs="Times New Roman"/>
          <w:b/>
        </w:rPr>
      </w:pPr>
      <w:r>
        <w:rPr>
          <w:rFonts w:hint="eastAsia" w:cs="Times New Roman"/>
          <w:bCs/>
        </w:rPr>
        <w:t>新形势下，锡林郭勒盟可再生能源发展将在高质量发展中推进高水平保护、在高水平保护中促进高质量发展，谋划建立“多元发展、多级支撑”的现代能源经济体系，面临四方面新趋势和新机遇。</w:t>
      </w:r>
    </w:p>
    <w:p>
      <w:pPr>
        <w:spacing w:line="580" w:lineRule="exact"/>
        <w:ind w:firstLine="643"/>
        <w:rPr>
          <w:rFonts w:cs="Times New Roman"/>
        </w:rPr>
      </w:pPr>
      <w:r>
        <w:rPr>
          <w:rFonts w:hint="eastAsia" w:cs="Times New Roman"/>
          <w:b/>
        </w:rPr>
        <w:t>一是双碳目标驱动新能源发展呈现新速度。</w:t>
      </w:r>
      <w:r>
        <w:rPr>
          <w:rFonts w:cs="Times New Roman"/>
        </w:rPr>
        <w:t>当前国际形势日趋复杂，世界能源格局深刻</w:t>
      </w:r>
      <w:r>
        <w:rPr>
          <w:rFonts w:hint="eastAsia" w:cs="Times New Roman"/>
        </w:rPr>
        <w:t>变化</w:t>
      </w:r>
      <w:r>
        <w:rPr>
          <w:rFonts w:cs="Times New Roman"/>
        </w:rPr>
        <w:t>，我国能源安全</w:t>
      </w:r>
      <w:r>
        <w:rPr>
          <w:rFonts w:hint="eastAsia" w:cs="Times New Roman"/>
        </w:rPr>
        <w:t>面临挑战</w:t>
      </w:r>
      <w:r>
        <w:rPr>
          <w:rFonts w:cs="Times New Roman"/>
        </w:rPr>
        <w:t>。</w:t>
      </w:r>
      <w:r>
        <w:rPr>
          <w:rFonts w:hint="eastAsia" w:cs="Times New Roman"/>
        </w:rPr>
        <w:t>加快发展可再生能源、逐步减轻和替代化石能源消费，已经成为全球各国政府以及能源企业的一致行动。目前，全球140多个国家和地区，近70%的国家和地区已经相继明确了碳达峰、碳中和的时间表。我国提出力争2030年前实现碳达峰，2060年前实现碳中和。到2030年新能源装机将达到12亿千瓦，较2020年新增约7亿千瓦，创造了更加广阔的发展空间。“十四五”是碳达峰的关键期、窗口期，锡林郭勒盟作为国家清洁能源保障基地之一，开发优势明显，是内蒙古西部新能源开发的首选，是我国快速大规模发展清洁能源的重要保证。</w:t>
      </w:r>
    </w:p>
    <w:p>
      <w:pPr>
        <w:spacing w:line="580" w:lineRule="exact"/>
        <w:ind w:firstLine="643"/>
        <w:rPr>
          <w:rFonts w:cs="Times New Roman"/>
        </w:rPr>
      </w:pPr>
      <w:r>
        <w:rPr>
          <w:rFonts w:hint="eastAsia" w:cs="Times New Roman"/>
          <w:b/>
          <w:bCs/>
        </w:rPr>
        <w:t>二是基地开发模式催生新能源发展新空间。</w:t>
      </w:r>
      <w:r>
        <w:rPr>
          <w:rFonts w:hint="eastAsia" w:cs="Times New Roman"/>
          <w:bCs/>
        </w:rPr>
        <w:t>锡林郭勒盟拥有得天独厚的新能源资源禀赋、生态环境和区位条件，100米高平均风速在8.5米/秒以上，全年光照时间在1800小时左右，风光资源都属于国家认定的I类资源区。全盟土地面积2</w:t>
      </w:r>
      <w:r>
        <w:rPr>
          <w:rFonts w:cs="Times New Roman"/>
          <w:bCs/>
        </w:rPr>
        <w:t>0.3</w:t>
      </w:r>
      <w:r>
        <w:rPr>
          <w:rFonts w:hint="eastAsia" w:cs="Times New Roman"/>
          <w:bCs/>
        </w:rPr>
        <w:t>万平方公里，地势平坦，人口稀少，适宜建设大型清洁能源基地。除已建成的项目外，已在中西部荒漠、半荒漠化地区预留近2.2万平方公里的新能源开发规划区，避让了生态红线、基本农田等敏感性因素，正在争取调出基本草原范围，完全满足后续发展需求。且西部地区拥有浑善达克沙地以及大面积荒漠化地区，“十四五”期间，随着一系列重大能源发展战略实施，国家将进一步加快以沙漠、戈壁、荒漠地区为重点的大型风电、光伏基地建设，锡林郭勒盟必将催生多重发展空间。</w:t>
      </w:r>
    </w:p>
    <w:p>
      <w:pPr>
        <w:spacing w:line="580" w:lineRule="exact"/>
        <w:ind w:firstLine="643"/>
        <w:rPr>
          <w:rFonts w:cs="Times New Roman"/>
        </w:rPr>
      </w:pPr>
      <w:r>
        <w:rPr>
          <w:rFonts w:hint="eastAsia" w:cs="Times New Roman"/>
          <w:b/>
          <w:bCs/>
        </w:rPr>
        <w:t>三是装备制造和市场化并网激发新能源发展新活力。</w:t>
      </w:r>
      <w:r>
        <w:rPr>
          <w:rFonts w:hint="eastAsia" w:cs="Times New Roman"/>
          <w:bCs/>
        </w:rPr>
        <w:t>“十四五”期间，</w:t>
      </w:r>
      <w:r>
        <w:rPr>
          <w:rFonts w:hint="eastAsia" w:cs="Times New Roman"/>
        </w:rPr>
        <w:t>自治区推动产业基地化布局，在全盟现有风电年产能基础上，重点打造锡林浩特市、苏尼特右旗、正镶白旗三个风电制造、运维和检修基地，持续强化全盟风电全产业链竞争优势。全面推广源网荷储、自发自用、园区绿电替代等市场化并网项目，推动资源优势和绿色产业集群发展优势协同发展，以绿色低价低碳的电力供应，吸引新材料制造及下游应用产业聚集。促进与新能源装备制造业、可再生能源微电网发展相适应的国内外先进技术成果在锡林郭勒盟率先实现产业化应用，必将激发新能源发展新活力。</w:t>
      </w:r>
    </w:p>
    <w:p>
      <w:pPr>
        <w:spacing w:line="580" w:lineRule="exact"/>
        <w:ind w:firstLine="643"/>
        <w:rPr>
          <w:rFonts w:cs="Times New Roman"/>
        </w:rPr>
      </w:pPr>
      <w:r>
        <w:rPr>
          <w:rFonts w:hint="eastAsia" w:cs="Times New Roman"/>
          <w:b/>
          <w:bCs/>
        </w:rPr>
        <w:t>四是分布式发电和民生工程提供新能源发展新方向。</w:t>
      </w:r>
      <w:r>
        <w:rPr>
          <w:rFonts w:hint="eastAsia" w:cs="Times New Roman"/>
        </w:rPr>
        <w:t>在锡林郭勒盟农牧区，发展分布式光伏、集中式光伏扶贫电站，增加嘎查村集体经济收入，是脱贫攻坚的一个亮点。增加新能源电力装机规模的同时，优化项目布局，切实提高电网末端地区农牧民用电保障水平，改善生产、生活条件。以太仆寺旗光伏扶贫电站为代表的电网末端“分布式发电和新能源+民生工程”为全盟新能源发展提供新思路、新方向。</w:t>
      </w:r>
    </w:p>
    <w:p>
      <w:pPr>
        <w:pStyle w:val="5"/>
        <w:numPr>
          <w:ilvl w:val="1"/>
          <w:numId w:val="0"/>
        </w:numPr>
        <w:spacing w:line="580" w:lineRule="exact"/>
        <w:ind w:firstLine="600" w:firstLineChars="200"/>
        <w:rPr>
          <w:rFonts w:cs="Times New Roman"/>
        </w:rPr>
      </w:pPr>
      <w:bookmarkStart w:id="6" w:name="_Toc113290998"/>
      <w:bookmarkEnd w:id="6"/>
      <w:bookmarkStart w:id="7" w:name="_Toc113290999"/>
      <w:bookmarkEnd w:id="7"/>
      <w:bookmarkStart w:id="8" w:name="_Toc113302965"/>
      <w:bookmarkEnd w:id="8"/>
      <w:bookmarkStart w:id="9" w:name="_Toc113302966"/>
      <w:bookmarkEnd w:id="9"/>
      <w:bookmarkStart w:id="10" w:name="_Toc113540762"/>
      <w:r>
        <w:rPr>
          <w:rFonts w:hint="eastAsia" w:cs="Times New Roman"/>
        </w:rPr>
        <w:t>（三）</w:t>
      </w:r>
      <w:r>
        <w:rPr>
          <w:rFonts w:cs="Times New Roman"/>
        </w:rPr>
        <w:t>面临</w:t>
      </w:r>
      <w:r>
        <w:rPr>
          <w:rFonts w:hint="eastAsia" w:cs="Times New Roman"/>
        </w:rPr>
        <w:t>挑战</w:t>
      </w:r>
      <w:bookmarkEnd w:id="10"/>
    </w:p>
    <w:p>
      <w:pPr>
        <w:spacing w:line="580" w:lineRule="exact"/>
        <w:ind w:firstLine="643"/>
        <w:rPr>
          <w:rFonts w:cs="Times New Roman"/>
          <w:b/>
          <w:bCs/>
        </w:rPr>
      </w:pPr>
      <w:r>
        <w:rPr>
          <w:rFonts w:hint="eastAsia" w:cs="Times New Roman"/>
          <w:b/>
          <w:bCs/>
        </w:rPr>
        <w:t>一是新能源高比例高质量发展面临新挑战。</w:t>
      </w:r>
      <w:r>
        <w:rPr>
          <w:rFonts w:hint="eastAsia" w:cs="Times New Roman"/>
        </w:rPr>
        <w:t>“十四五”时期是我国应对气候变化、实现碳达峰目标的关键期和窗口期。自治区坚决扛起“双碳”政治责任，新能源发展以风电和光伏为主，加速发展面临较大的并网消纳压力，亟需构建以新能源为主体的新型电力系统。锡林郭勒盟位于蒙西电网东部末端，亟需进一步优化布局网架和调节电源点支撑；为满足远期新能源电力送出需要，需补强现有锡盟“一交一直”通道，加快推进张北~胜利1</w:t>
      </w:r>
      <w:r>
        <w:rPr>
          <w:rFonts w:cs="Times New Roman"/>
        </w:rPr>
        <w:t>000</w:t>
      </w:r>
      <w:r>
        <w:rPr>
          <w:rFonts w:hint="eastAsia" w:cs="Times New Roman"/>
        </w:rPr>
        <w:t>千伏特高压交流输变电工程建设。同时，新能源技术核心竞争力有待增强，适应新能源发展的产业体系、市场机制、管理办法有待进一步完善。</w:t>
      </w:r>
    </w:p>
    <w:p>
      <w:pPr>
        <w:spacing w:line="580" w:lineRule="exact"/>
        <w:ind w:firstLine="643"/>
        <w:rPr>
          <w:rFonts w:cs="Times New Roman"/>
        </w:rPr>
      </w:pPr>
      <w:r>
        <w:rPr>
          <w:rFonts w:hint="eastAsia" w:cs="Times New Roman"/>
          <w:b/>
          <w:bCs/>
        </w:rPr>
        <w:t>二是生态文明建设对新能源开发提出新要求。</w:t>
      </w:r>
      <w:r>
        <w:rPr>
          <w:rFonts w:hint="eastAsia" w:cs="Times New Roman"/>
        </w:rPr>
        <w:t>在碳达峰碳中和目标下，国家积极推进沙漠、戈壁、荒漠区域为主的大型风电、光伏基地建设，我区将规模化、集约化开发新能源。同时，自治区也是我国北方重要的生态安全屏障，需要统筹好生态安全屏障建设和新能源发展的关系，实现国土空间开发保护与新能源协同发展。</w:t>
      </w:r>
    </w:p>
    <w:p>
      <w:pPr>
        <w:spacing w:line="580" w:lineRule="exact"/>
        <w:ind w:firstLine="643"/>
        <w:rPr>
          <w:rFonts w:cs="Times New Roman"/>
        </w:rPr>
      </w:pPr>
      <w:r>
        <w:rPr>
          <w:rFonts w:hint="eastAsia" w:cs="Times New Roman"/>
          <w:b/>
          <w:bCs/>
        </w:rPr>
        <w:t>三是氢能、地热能、生物质能等新型能源尚处于起步阶段。</w:t>
      </w:r>
      <w:r>
        <w:rPr>
          <w:rFonts w:hint="eastAsia" w:cs="Times New Roman"/>
        </w:rPr>
        <w:t>锡林郭勒盟氢能产业链条构建尚处于起步阶段，缺少规划统筹，上下游企业联系不够紧密，未形成有效的供需联动。地热能资源未开展过系统的地热资源勘查工作，制约下一步开发工作。生物质能利用处于起步阶段，生物质能资源有限，缺少产业支撑。</w:t>
      </w:r>
    </w:p>
    <w:p>
      <w:pPr>
        <w:pStyle w:val="5"/>
        <w:numPr>
          <w:ilvl w:val="1"/>
          <w:numId w:val="0"/>
        </w:numPr>
        <w:spacing w:line="580" w:lineRule="exact"/>
        <w:ind w:firstLine="600" w:firstLineChars="200"/>
        <w:rPr>
          <w:rFonts w:cs="Times New Roman"/>
        </w:rPr>
      </w:pPr>
      <w:bookmarkStart w:id="11" w:name="_Toc113540763"/>
      <w:r>
        <w:rPr>
          <w:rFonts w:hint="eastAsia" w:cs="Times New Roman"/>
        </w:rPr>
        <w:t>（四）发展优势</w:t>
      </w:r>
      <w:bookmarkEnd w:id="11"/>
    </w:p>
    <w:p>
      <w:pPr>
        <w:spacing w:line="580" w:lineRule="exact"/>
        <w:ind w:firstLine="643"/>
        <w:rPr>
          <w:rFonts w:hint="eastAsia" w:cs="Times New Roman"/>
        </w:rPr>
      </w:pPr>
      <w:r>
        <w:rPr>
          <w:rFonts w:hint="eastAsia" w:cs="Times New Roman"/>
          <w:b/>
          <w:bCs/>
        </w:rPr>
        <w:t>一是风光开发潜力巨大。</w:t>
      </w:r>
      <w:r>
        <w:rPr>
          <w:rFonts w:hint="eastAsia" w:cs="Times New Roman"/>
        </w:rPr>
        <w:t>锡林郭勒盟全境均为可利用风能区，区域1</w:t>
      </w:r>
      <w:r>
        <w:rPr>
          <w:rFonts w:cs="Times New Roman"/>
        </w:rPr>
        <w:t>00</w:t>
      </w:r>
      <w:r>
        <w:rPr>
          <w:rFonts w:hint="eastAsia" w:cs="Times New Roman"/>
        </w:rPr>
        <w:t>米高度年平均风速在</w:t>
      </w:r>
      <w:r>
        <w:rPr>
          <w:rFonts w:cs="Times New Roman"/>
        </w:rPr>
        <w:t>6</w:t>
      </w:r>
      <w:r>
        <w:rPr>
          <w:rFonts w:hint="eastAsia" w:cs="Times New Roman"/>
        </w:rPr>
        <w:t>～</w:t>
      </w:r>
      <w:r>
        <w:rPr>
          <w:rFonts w:cs="Times New Roman"/>
        </w:rPr>
        <w:t>10</w:t>
      </w:r>
      <w:r>
        <w:rPr>
          <w:rFonts w:hint="eastAsia" w:cs="Times New Roman"/>
        </w:rPr>
        <w:t>米/秒之间。锡林郭勒盟太阳能资源丰富，大部分地区年平均太阳总辐射在</w:t>
      </w:r>
      <w:r>
        <w:rPr>
          <w:rFonts w:cs="Times New Roman"/>
        </w:rPr>
        <w:t>5400~6400</w:t>
      </w:r>
      <w:r>
        <w:rPr>
          <w:rFonts w:hint="eastAsia" w:cs="Times New Roman"/>
        </w:rPr>
        <w:t>兆焦/平方米之间。全盟风电可规模化开发量约6</w:t>
      </w:r>
      <w:r>
        <w:rPr>
          <w:rFonts w:cs="Times New Roman"/>
        </w:rPr>
        <w:t>000</w:t>
      </w:r>
      <w:r>
        <w:rPr>
          <w:rFonts w:hint="eastAsia" w:cs="Times New Roman"/>
        </w:rPr>
        <w:t>万千瓦，光伏可规模化开发量约4.9亿千瓦。</w:t>
      </w:r>
    </w:p>
    <w:p>
      <w:pPr>
        <w:spacing w:line="580" w:lineRule="exact"/>
        <w:ind w:firstLine="643"/>
        <w:rPr>
          <w:rFonts w:hint="eastAsia" w:cs="Times New Roman"/>
          <w:sz w:val="28"/>
          <w:szCs w:val="28"/>
        </w:rPr>
      </w:pPr>
      <w:r>
        <w:rPr>
          <w:rFonts w:hint="eastAsia" w:eastAsia="仿宋" w:cs="Times New Roman"/>
          <w:b/>
          <w:bCs/>
          <w:sz w:val="32"/>
          <w:szCs w:val="21"/>
        </w:rPr>
        <w:t>二是土地资源有力支持。</w:t>
      </w:r>
      <w:r>
        <w:rPr>
          <w:rFonts w:hint="eastAsia" w:eastAsia="仿宋" w:cs="Times New Roman"/>
          <w:sz w:val="32"/>
          <w:szCs w:val="21"/>
        </w:rPr>
        <w:t>全盟行政区划面积约20.26万平方公里，其中评估完善后的生态保护红线面积约13万平方公里，红线占比64.18%，生态红线外土地面积约7.26万平方公里。锡盟绝大部分土地类型为天然牧草地，面积约17.15万平方公里，占全盟国土面积的84.65%。剔除生态红线、政策限制类土地及不宜开发区域，结合地形地貌、风光资源条件可用于新能源规模化开发的国土面积约2.2万平方公里，适宜新能源基地化开发。</w:t>
      </w:r>
    </w:p>
    <w:p>
      <w:pPr>
        <w:pStyle w:val="8"/>
        <w:keepNext/>
        <w:jc w:val="center"/>
        <w:rPr>
          <w:rFonts w:hint="eastAsia" w:cs="Times New Roman"/>
          <w:sz w:val="28"/>
          <w:szCs w:val="28"/>
        </w:rPr>
      </w:pPr>
    </w:p>
    <w:p>
      <w:pPr>
        <w:pStyle w:val="8"/>
        <w:keepNext/>
        <w:jc w:val="center"/>
        <w:rPr>
          <w:rFonts w:hint="eastAsia" w:cs="Times New Roman"/>
          <w:sz w:val="28"/>
          <w:szCs w:val="28"/>
        </w:rPr>
      </w:pPr>
    </w:p>
    <w:p>
      <w:pPr>
        <w:pStyle w:val="8"/>
        <w:keepNext/>
        <w:jc w:val="center"/>
        <w:rPr>
          <w:rFonts w:hint="eastAsia" w:cs="Times New Roman"/>
          <w:sz w:val="28"/>
          <w:szCs w:val="28"/>
        </w:rPr>
      </w:pPr>
    </w:p>
    <w:p>
      <w:pPr>
        <w:pStyle w:val="8"/>
        <w:keepNext/>
        <w:jc w:val="center"/>
        <w:rPr>
          <w:rFonts w:hint="eastAsia" w:cs="Times New Roman"/>
          <w:sz w:val="28"/>
          <w:szCs w:val="28"/>
        </w:rPr>
      </w:pPr>
    </w:p>
    <w:p>
      <w:pPr>
        <w:pStyle w:val="8"/>
        <w:keepNext/>
        <w:jc w:val="center"/>
        <w:rPr>
          <w:rFonts w:hint="eastAsia" w:cs="Times New Roman"/>
          <w:sz w:val="28"/>
          <w:szCs w:val="28"/>
        </w:rPr>
      </w:pPr>
    </w:p>
    <w:p>
      <w:pPr>
        <w:pStyle w:val="8"/>
        <w:keepNext/>
        <w:jc w:val="both"/>
        <w:rPr>
          <w:rFonts w:hint="eastAsia" w:cs="Times New Roman"/>
          <w:sz w:val="28"/>
          <w:szCs w:val="28"/>
        </w:rPr>
      </w:pPr>
    </w:p>
    <w:p>
      <w:pPr>
        <w:rPr>
          <w:rFonts w:hint="eastAsia"/>
        </w:rPr>
      </w:pPr>
    </w:p>
    <w:p>
      <w:pPr>
        <w:pStyle w:val="8"/>
        <w:keepNext/>
        <w:tabs>
          <w:tab w:val="left" w:pos="1746"/>
        </w:tabs>
        <w:jc w:val="left"/>
        <w:rPr>
          <w:rFonts w:hint="eastAsia" w:eastAsia="黑体" w:cs="Times New Roman"/>
          <w:sz w:val="28"/>
          <w:szCs w:val="28"/>
          <w:lang w:eastAsia="zh-CN"/>
        </w:rPr>
      </w:pPr>
    </w:p>
    <w:p>
      <w:pPr>
        <w:rPr>
          <w:rFonts w:hint="eastAsia"/>
          <w:lang w:eastAsia="zh-CN"/>
        </w:rPr>
      </w:pPr>
    </w:p>
    <w:p>
      <w:pPr>
        <w:pStyle w:val="8"/>
        <w:keepNext/>
        <w:jc w:val="center"/>
        <w:rPr>
          <w:rFonts w:cs="Times New Roman"/>
          <w:sz w:val="28"/>
          <w:szCs w:val="28"/>
        </w:rPr>
      </w:pPr>
      <w:r>
        <w:rPr>
          <w:rFonts w:hint="eastAsia" w:cs="Times New Roman"/>
          <w:sz w:val="28"/>
          <w:szCs w:val="28"/>
        </w:rPr>
        <w:t>专栏1</w:t>
      </w:r>
      <w:r>
        <w:rPr>
          <w:rFonts w:cs="Times New Roman"/>
          <w:sz w:val="28"/>
          <w:szCs w:val="28"/>
        </w:rPr>
        <w:t xml:space="preserve">  </w:t>
      </w:r>
      <w:r>
        <w:rPr>
          <w:rFonts w:hint="eastAsia" w:cs="Times New Roman"/>
          <w:sz w:val="28"/>
          <w:szCs w:val="28"/>
        </w:rPr>
        <w:t>锡林郭勒盟风能太阳能资源开发潜力</w:t>
      </w:r>
    </w:p>
    <w:tbl>
      <w:tblPr>
        <w:tblStyle w:val="20"/>
        <w:tblW w:w="79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1"/>
        <w:gridCol w:w="1559"/>
        <w:gridCol w:w="1560"/>
        <w:gridCol w:w="1275"/>
        <w:gridCol w:w="1560"/>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vMerge w:val="restart"/>
            <w:shd w:val="clear" w:color="auto" w:fill="auto"/>
            <w:tcMar>
              <w:left w:w="28" w:type="dxa"/>
              <w:right w:w="28" w:type="dxa"/>
            </w:tcMar>
            <w:vAlign w:val="center"/>
          </w:tcPr>
          <w:p>
            <w:pPr>
              <w:adjustRightInd w:val="0"/>
              <w:snapToGrid w:val="0"/>
              <w:spacing w:line="288" w:lineRule="auto"/>
              <w:ind w:firstLine="0" w:firstLineChars="0"/>
              <w:jc w:val="center"/>
              <w:rPr>
                <w:rFonts w:cs="Times New Roman"/>
                <w:b/>
                <w:bCs/>
                <w:sz w:val="24"/>
                <w:szCs w:val="24"/>
              </w:rPr>
            </w:pPr>
            <w:r>
              <w:rPr>
                <w:rFonts w:cs="Times New Roman"/>
                <w:b/>
                <w:bCs/>
                <w:sz w:val="24"/>
                <w:szCs w:val="24"/>
              </w:rPr>
              <w:t>序号</w:t>
            </w:r>
          </w:p>
        </w:tc>
        <w:tc>
          <w:tcPr>
            <w:tcW w:w="1559" w:type="dxa"/>
            <w:vMerge w:val="restart"/>
            <w:shd w:val="clear" w:color="auto" w:fill="auto"/>
            <w:tcMar>
              <w:left w:w="28" w:type="dxa"/>
              <w:right w:w="28" w:type="dxa"/>
            </w:tcMar>
            <w:vAlign w:val="center"/>
          </w:tcPr>
          <w:p>
            <w:pPr>
              <w:adjustRightInd w:val="0"/>
              <w:snapToGrid w:val="0"/>
              <w:spacing w:line="288" w:lineRule="auto"/>
              <w:ind w:firstLine="0" w:firstLineChars="0"/>
              <w:jc w:val="center"/>
              <w:rPr>
                <w:rFonts w:cs="Times New Roman"/>
                <w:b/>
                <w:bCs/>
                <w:sz w:val="24"/>
                <w:szCs w:val="24"/>
              </w:rPr>
            </w:pPr>
            <w:r>
              <w:rPr>
                <w:rFonts w:cs="Times New Roman"/>
                <w:b/>
                <w:bCs/>
                <w:sz w:val="24"/>
                <w:szCs w:val="24"/>
              </w:rPr>
              <w:t>旗县</w:t>
            </w:r>
          </w:p>
        </w:tc>
        <w:tc>
          <w:tcPr>
            <w:tcW w:w="2835" w:type="dxa"/>
            <w:gridSpan w:val="2"/>
            <w:shd w:val="clear" w:color="auto" w:fill="auto"/>
            <w:vAlign w:val="center"/>
          </w:tcPr>
          <w:p>
            <w:pPr>
              <w:adjustRightInd w:val="0"/>
              <w:snapToGrid w:val="0"/>
              <w:spacing w:line="288" w:lineRule="auto"/>
              <w:ind w:firstLine="0" w:firstLineChars="0"/>
              <w:jc w:val="center"/>
              <w:rPr>
                <w:rFonts w:cs="Times New Roman"/>
                <w:b/>
                <w:bCs/>
                <w:sz w:val="24"/>
                <w:szCs w:val="24"/>
              </w:rPr>
            </w:pPr>
            <w:r>
              <w:rPr>
                <w:rFonts w:cs="Times New Roman"/>
                <w:b/>
                <w:bCs/>
                <w:sz w:val="24"/>
                <w:szCs w:val="24"/>
              </w:rPr>
              <w:t>风电</w:t>
            </w:r>
          </w:p>
        </w:tc>
        <w:tc>
          <w:tcPr>
            <w:tcW w:w="2835" w:type="dxa"/>
            <w:gridSpan w:val="2"/>
            <w:shd w:val="clear" w:color="auto" w:fill="auto"/>
            <w:vAlign w:val="center"/>
          </w:tcPr>
          <w:p>
            <w:pPr>
              <w:adjustRightInd w:val="0"/>
              <w:snapToGrid w:val="0"/>
              <w:spacing w:line="288" w:lineRule="auto"/>
              <w:ind w:firstLine="0" w:firstLineChars="0"/>
              <w:jc w:val="center"/>
              <w:rPr>
                <w:rFonts w:cs="Times New Roman"/>
                <w:b/>
                <w:bCs/>
                <w:sz w:val="24"/>
                <w:szCs w:val="24"/>
              </w:rPr>
            </w:pPr>
            <w:r>
              <w:rPr>
                <w:rFonts w:cs="Times New Roman"/>
                <w:b/>
                <w:bCs/>
                <w:sz w:val="24"/>
                <w:szCs w:val="24"/>
              </w:rPr>
              <w:t>光伏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671" w:type="dxa"/>
            <w:vMerge w:val="continue"/>
            <w:shd w:val="clear" w:color="auto" w:fill="auto"/>
            <w:tcMar>
              <w:left w:w="28" w:type="dxa"/>
              <w:right w:w="28" w:type="dxa"/>
            </w:tcMar>
            <w:vAlign w:val="center"/>
          </w:tcPr>
          <w:p>
            <w:pPr>
              <w:adjustRightInd w:val="0"/>
              <w:snapToGrid w:val="0"/>
              <w:spacing w:line="288" w:lineRule="auto"/>
              <w:ind w:firstLine="0" w:firstLineChars="0"/>
              <w:jc w:val="center"/>
              <w:rPr>
                <w:rFonts w:cs="Times New Roman"/>
                <w:b/>
                <w:bCs/>
                <w:sz w:val="24"/>
                <w:szCs w:val="24"/>
              </w:rPr>
            </w:pPr>
          </w:p>
        </w:tc>
        <w:tc>
          <w:tcPr>
            <w:tcW w:w="1559" w:type="dxa"/>
            <w:vMerge w:val="continue"/>
            <w:shd w:val="clear" w:color="auto" w:fill="auto"/>
            <w:tcMar>
              <w:left w:w="28" w:type="dxa"/>
              <w:right w:w="28" w:type="dxa"/>
            </w:tcMar>
            <w:vAlign w:val="center"/>
          </w:tcPr>
          <w:p>
            <w:pPr>
              <w:adjustRightInd w:val="0"/>
              <w:snapToGrid w:val="0"/>
              <w:spacing w:line="288" w:lineRule="auto"/>
              <w:ind w:firstLine="0" w:firstLineChars="0"/>
              <w:jc w:val="center"/>
              <w:rPr>
                <w:rFonts w:cs="Times New Roman"/>
                <w:b/>
                <w:bCs/>
                <w:sz w:val="24"/>
                <w:szCs w:val="24"/>
              </w:rPr>
            </w:pP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b/>
                <w:bCs/>
                <w:sz w:val="24"/>
                <w:szCs w:val="24"/>
              </w:rPr>
            </w:pPr>
            <w:r>
              <w:rPr>
                <w:rFonts w:cs="Times New Roman"/>
                <w:b/>
                <w:bCs/>
                <w:sz w:val="24"/>
                <w:szCs w:val="24"/>
              </w:rPr>
              <w:t>剩余可开发</w:t>
            </w:r>
          </w:p>
          <w:p>
            <w:pPr>
              <w:adjustRightInd w:val="0"/>
              <w:snapToGrid w:val="0"/>
              <w:spacing w:line="288" w:lineRule="auto"/>
              <w:ind w:firstLine="0" w:firstLineChars="0"/>
              <w:jc w:val="center"/>
              <w:rPr>
                <w:rFonts w:cs="Times New Roman"/>
                <w:b/>
                <w:bCs/>
                <w:sz w:val="24"/>
                <w:szCs w:val="24"/>
              </w:rPr>
            </w:pPr>
            <w:r>
              <w:rPr>
                <w:rFonts w:cs="Times New Roman"/>
                <w:b/>
                <w:bCs/>
                <w:sz w:val="24"/>
                <w:szCs w:val="24"/>
              </w:rPr>
              <w:t>面积</w:t>
            </w:r>
          </w:p>
          <w:p>
            <w:pPr>
              <w:adjustRightInd w:val="0"/>
              <w:snapToGrid w:val="0"/>
              <w:spacing w:line="288" w:lineRule="auto"/>
              <w:ind w:firstLine="0" w:firstLineChars="0"/>
              <w:jc w:val="center"/>
              <w:rPr>
                <w:rFonts w:cs="Times New Roman"/>
                <w:b/>
                <w:bCs/>
                <w:sz w:val="24"/>
                <w:szCs w:val="24"/>
              </w:rPr>
            </w:pPr>
            <w:r>
              <w:rPr>
                <w:rFonts w:cs="Times New Roman"/>
                <w:b/>
                <w:bCs/>
                <w:sz w:val="24"/>
                <w:szCs w:val="24"/>
              </w:rPr>
              <w:t>（平方公里）</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b/>
                <w:bCs/>
                <w:sz w:val="24"/>
                <w:szCs w:val="24"/>
              </w:rPr>
            </w:pPr>
            <w:r>
              <w:rPr>
                <w:rFonts w:hint="eastAsia" w:cs="Times New Roman"/>
                <w:b/>
                <w:bCs/>
                <w:sz w:val="24"/>
                <w:szCs w:val="24"/>
              </w:rPr>
              <w:t>可规模化开发量</w:t>
            </w:r>
          </w:p>
          <w:p>
            <w:pPr>
              <w:adjustRightInd w:val="0"/>
              <w:snapToGrid w:val="0"/>
              <w:spacing w:line="288" w:lineRule="auto"/>
              <w:ind w:firstLine="0" w:firstLineChars="0"/>
              <w:jc w:val="center"/>
              <w:rPr>
                <w:rFonts w:cs="Times New Roman"/>
                <w:b/>
                <w:bCs/>
                <w:sz w:val="24"/>
                <w:szCs w:val="24"/>
              </w:rPr>
            </w:pPr>
            <w:r>
              <w:rPr>
                <w:rFonts w:cs="Times New Roman"/>
                <w:b/>
                <w:bCs/>
                <w:sz w:val="24"/>
                <w:szCs w:val="24"/>
              </w:rPr>
              <w:t>（万千瓦）</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b/>
                <w:bCs/>
                <w:sz w:val="24"/>
                <w:szCs w:val="24"/>
              </w:rPr>
            </w:pPr>
            <w:r>
              <w:rPr>
                <w:rFonts w:cs="Times New Roman"/>
                <w:b/>
                <w:bCs/>
                <w:sz w:val="24"/>
                <w:szCs w:val="24"/>
              </w:rPr>
              <w:t>剩余可开发</w:t>
            </w:r>
          </w:p>
          <w:p>
            <w:pPr>
              <w:adjustRightInd w:val="0"/>
              <w:snapToGrid w:val="0"/>
              <w:spacing w:line="288" w:lineRule="auto"/>
              <w:ind w:firstLine="0" w:firstLineChars="0"/>
              <w:jc w:val="center"/>
              <w:rPr>
                <w:rFonts w:cs="Times New Roman"/>
                <w:b/>
                <w:bCs/>
                <w:sz w:val="24"/>
                <w:szCs w:val="24"/>
              </w:rPr>
            </w:pPr>
            <w:r>
              <w:rPr>
                <w:rFonts w:cs="Times New Roman"/>
                <w:b/>
                <w:bCs/>
                <w:sz w:val="24"/>
                <w:szCs w:val="24"/>
              </w:rPr>
              <w:t>面积</w:t>
            </w:r>
          </w:p>
          <w:p>
            <w:pPr>
              <w:adjustRightInd w:val="0"/>
              <w:snapToGrid w:val="0"/>
              <w:spacing w:line="288" w:lineRule="auto"/>
              <w:ind w:firstLine="0" w:firstLineChars="0"/>
              <w:jc w:val="center"/>
              <w:rPr>
                <w:rFonts w:cs="Times New Roman"/>
                <w:b/>
                <w:bCs/>
                <w:sz w:val="24"/>
                <w:szCs w:val="24"/>
              </w:rPr>
            </w:pPr>
            <w:r>
              <w:rPr>
                <w:rFonts w:cs="Times New Roman"/>
                <w:b/>
                <w:bCs/>
                <w:sz w:val="24"/>
                <w:szCs w:val="24"/>
              </w:rPr>
              <w:t>（平方公里）</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b/>
                <w:bCs/>
                <w:sz w:val="24"/>
                <w:szCs w:val="24"/>
              </w:rPr>
            </w:pPr>
            <w:r>
              <w:rPr>
                <w:rFonts w:hint="eastAsia" w:cs="Times New Roman"/>
                <w:b/>
                <w:bCs/>
                <w:sz w:val="24"/>
                <w:szCs w:val="24"/>
              </w:rPr>
              <w:t>可规模化开发量</w:t>
            </w:r>
          </w:p>
          <w:p>
            <w:pPr>
              <w:adjustRightInd w:val="0"/>
              <w:snapToGrid w:val="0"/>
              <w:spacing w:line="288" w:lineRule="auto"/>
              <w:ind w:firstLine="0" w:firstLineChars="0"/>
              <w:jc w:val="center"/>
              <w:rPr>
                <w:rFonts w:cs="Times New Roman"/>
                <w:b/>
                <w:bCs/>
                <w:sz w:val="24"/>
                <w:szCs w:val="24"/>
              </w:rPr>
            </w:pPr>
            <w:r>
              <w:rPr>
                <w:rFonts w:cs="Times New Roman"/>
                <w:b/>
                <w:bCs/>
                <w:sz w:val="24"/>
                <w:szCs w:val="24"/>
              </w:rPr>
              <w:t>（万千瓦）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1</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二连浩特</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1899</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eastAsia="等线" w:cs="Times New Roman"/>
                <w:bCs/>
                <w:sz w:val="21"/>
              </w:rPr>
              <w:t>3</w:t>
            </w:r>
            <w:r>
              <w:rPr>
                <w:rFonts w:eastAsia="等线" w:cs="Times New Roman"/>
                <w:bCs/>
                <w:sz w:val="21"/>
              </w:rPr>
              <w:t>80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1461</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4380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2</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苏尼特左旗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4451</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eastAsia="等线" w:cs="Times New Roman"/>
                <w:bCs/>
                <w:sz w:val="21"/>
              </w:rPr>
              <w:t>1400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3720</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11670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3</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苏尼特右旗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4874</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eastAsia="等线" w:cs="Times New Roman"/>
                <w:bCs/>
                <w:sz w:val="21"/>
              </w:rPr>
              <w:t>1300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3377</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10140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4</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阿巴嘎旗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2733</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sz w:val="21"/>
              </w:rPr>
              <w:t>540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2817</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8450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5</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锡林浩特市</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218</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eastAsia="等线" w:cs="Times New Roman"/>
                <w:bCs/>
                <w:sz w:val="21"/>
              </w:rPr>
              <w:t>1</w:t>
            </w:r>
            <w:r>
              <w:rPr>
                <w:rFonts w:eastAsia="等线" w:cs="Times New Roman"/>
                <w:bCs/>
                <w:sz w:val="21"/>
              </w:rPr>
              <w:t>20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2591</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7770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6</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镶黄旗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1315</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eastAsia="等线" w:cs="Times New Roman"/>
                <w:bCs/>
                <w:sz w:val="21"/>
              </w:rPr>
              <w:t>3</w:t>
            </w:r>
            <w:r>
              <w:rPr>
                <w:rFonts w:eastAsia="等线" w:cs="Times New Roman"/>
                <w:bCs/>
                <w:sz w:val="21"/>
              </w:rPr>
              <w:t>60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704</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2720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7</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正镶白旗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2798</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eastAsia="等线" w:cs="Times New Roman"/>
                <w:bCs/>
                <w:sz w:val="21"/>
              </w:rPr>
              <w:t>8</w:t>
            </w:r>
            <w:r>
              <w:rPr>
                <w:rFonts w:eastAsia="等线" w:cs="Times New Roman"/>
                <w:bCs/>
                <w:sz w:val="21"/>
              </w:rPr>
              <w:t>60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512</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1780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8</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多伦县</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1024</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sz w:val="21"/>
              </w:rPr>
              <w:t>170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29</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9</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太仆寺旗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468</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eastAsia="等线" w:cs="Times New Roman"/>
                <w:bCs/>
                <w:sz w:val="21"/>
              </w:rPr>
              <w:t>12</w:t>
            </w:r>
            <w:r>
              <w:rPr>
                <w:rFonts w:eastAsia="等线" w:cs="Times New Roman"/>
                <w:bCs/>
                <w:sz w:val="21"/>
              </w:rPr>
              <w:t>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15</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1</w:t>
            </w:r>
            <w:r>
              <w:rPr>
                <w:rFonts w:cs="Times New Roman"/>
                <w:sz w:val="24"/>
                <w:szCs w:val="24"/>
              </w:rPr>
              <w:t>0</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正蓝旗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624</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eastAsia="等线" w:cs="Times New Roman"/>
                <w:bCs/>
                <w:sz w:val="21"/>
              </w:rPr>
              <w:t>6</w:t>
            </w:r>
            <w:r>
              <w:rPr>
                <w:rFonts w:eastAsia="等线" w:cs="Times New Roman"/>
                <w:bCs/>
                <w:sz w:val="21"/>
              </w:rPr>
              <w:t>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sz w:val="21"/>
              </w:rPr>
              <w:t>529</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eastAsia="等线" w:cs="Times New Roman"/>
                <w:bCs/>
                <w:kern w:val="0"/>
                <w:sz w:val="21"/>
              </w:rPr>
              <w:t>1710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11</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西乌珠穆沁旗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eastAsia="等线" w:cs="Times New Roman"/>
                <w:sz w:val="21"/>
              </w:rPr>
            </w:pPr>
            <w:r>
              <w:rPr>
                <w:rFonts w:eastAsia="等线" w:cs="Times New Roman"/>
                <w:sz w:val="21"/>
              </w:rPr>
              <w:t>248</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eastAsia="等线" w:cs="Times New Roman"/>
                <w:bCs/>
                <w:sz w:val="21"/>
              </w:rPr>
            </w:pPr>
            <w:r>
              <w:rPr>
                <w:rFonts w:hint="eastAsia" w:eastAsia="等线" w:cs="Times New Roman"/>
                <w:bCs/>
                <w:sz w:val="21"/>
              </w:rPr>
              <w:t>500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eastAsia="等线" w:cs="Times New Roman"/>
                <w:sz w:val="21"/>
              </w:rPr>
            </w:pPr>
            <w:r>
              <w:rPr>
                <w:rFonts w:hint="eastAsia" w:eastAsia="等线" w:cs="Times New Roman"/>
                <w:sz w:val="21"/>
              </w:rPr>
              <w:t>47</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eastAsia="等线" w:cs="Times New Roman"/>
                <w:bCs/>
                <w:kern w:val="0"/>
                <w:sz w:val="21"/>
              </w:rPr>
            </w:pPr>
            <w:r>
              <w:rPr>
                <w:rFonts w:hint="eastAsia" w:eastAsia="等线" w:cs="Times New Roman"/>
                <w:bCs/>
                <w:kern w:val="0"/>
                <w:sz w:val="21"/>
              </w:rPr>
              <w:t>116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1"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12</w:t>
            </w:r>
          </w:p>
        </w:tc>
        <w:tc>
          <w:tcPr>
            <w:tcW w:w="1559" w:type="dxa"/>
            <w:shd w:val="clear" w:color="auto" w:fill="auto"/>
            <w:tcMar>
              <w:left w:w="28" w:type="dxa"/>
              <w:right w:w="28" w:type="dxa"/>
            </w:tcMar>
            <w:vAlign w:val="center"/>
          </w:tcPr>
          <w:p>
            <w:pPr>
              <w:adjustRightInd w:val="0"/>
              <w:snapToGrid w:val="0"/>
              <w:spacing w:line="288" w:lineRule="auto"/>
              <w:ind w:firstLine="0" w:firstLineChars="0"/>
              <w:jc w:val="center"/>
              <w:rPr>
                <w:rFonts w:cs="Times New Roman"/>
                <w:sz w:val="24"/>
                <w:szCs w:val="24"/>
              </w:rPr>
            </w:pPr>
            <w:r>
              <w:rPr>
                <w:rFonts w:hint="eastAsia" w:cs="Times New Roman"/>
                <w:sz w:val="24"/>
                <w:szCs w:val="24"/>
              </w:rPr>
              <w:t>东乌珠穆沁旗</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eastAsia="等线" w:cs="Times New Roman"/>
                <w:sz w:val="21"/>
              </w:rPr>
            </w:pPr>
            <w:r>
              <w:rPr>
                <w:rFonts w:hint="eastAsia" w:eastAsia="等线" w:cs="Times New Roman"/>
                <w:sz w:val="21"/>
              </w:rPr>
              <w:t>1125</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eastAsia="等线" w:cs="Times New Roman"/>
                <w:bCs/>
                <w:sz w:val="21"/>
              </w:rPr>
            </w:pPr>
            <w:r>
              <w:rPr>
                <w:rFonts w:hint="eastAsia" w:eastAsia="等线" w:cs="Times New Roman"/>
                <w:bCs/>
                <w:sz w:val="21"/>
              </w:rPr>
              <w:t>210</w:t>
            </w:r>
          </w:p>
        </w:tc>
        <w:tc>
          <w:tcPr>
            <w:tcW w:w="1560" w:type="dxa"/>
            <w:shd w:val="clear" w:color="auto" w:fill="auto"/>
            <w:tcMar>
              <w:left w:w="28" w:type="dxa"/>
              <w:right w:w="28" w:type="dxa"/>
            </w:tcMar>
            <w:vAlign w:val="center"/>
          </w:tcPr>
          <w:p>
            <w:pPr>
              <w:adjustRightInd w:val="0"/>
              <w:snapToGrid w:val="0"/>
              <w:spacing w:line="288" w:lineRule="auto"/>
              <w:ind w:firstLine="0" w:firstLineChars="0"/>
              <w:jc w:val="center"/>
              <w:rPr>
                <w:rFonts w:eastAsia="等线" w:cs="Times New Roman"/>
                <w:sz w:val="21"/>
              </w:rPr>
            </w:pPr>
            <w:r>
              <w:rPr>
                <w:rFonts w:hint="eastAsia" w:eastAsia="等线" w:cs="Times New Roman"/>
                <w:sz w:val="21"/>
              </w:rPr>
              <w:t>15</w:t>
            </w:r>
          </w:p>
        </w:tc>
        <w:tc>
          <w:tcPr>
            <w:tcW w:w="1275" w:type="dxa"/>
            <w:shd w:val="clear" w:color="auto" w:fill="auto"/>
            <w:tcMar>
              <w:left w:w="28" w:type="dxa"/>
              <w:right w:w="28" w:type="dxa"/>
            </w:tcMar>
            <w:vAlign w:val="center"/>
          </w:tcPr>
          <w:p>
            <w:pPr>
              <w:adjustRightInd w:val="0"/>
              <w:snapToGrid w:val="0"/>
              <w:spacing w:line="288" w:lineRule="auto"/>
              <w:ind w:firstLine="0" w:firstLineChars="0"/>
              <w:jc w:val="center"/>
              <w:rPr>
                <w:rFonts w:eastAsia="等线" w:cs="Times New Roman"/>
                <w:bCs/>
                <w:kern w:val="0"/>
                <w:sz w:val="21"/>
              </w:rPr>
            </w:pPr>
            <w:r>
              <w:rPr>
                <w:rFonts w:hint="eastAsia" w:eastAsia="等线" w:cs="Times New Roman"/>
                <w:bCs/>
                <w:kern w:val="0"/>
                <w:sz w:val="21"/>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0" w:type="dxa"/>
            <w:gridSpan w:val="2"/>
            <w:shd w:val="clear" w:color="auto" w:fill="auto"/>
            <w:vAlign w:val="center"/>
          </w:tcPr>
          <w:p>
            <w:pPr>
              <w:adjustRightInd w:val="0"/>
              <w:snapToGrid w:val="0"/>
              <w:spacing w:line="288" w:lineRule="auto"/>
              <w:ind w:firstLine="0" w:firstLineChars="0"/>
              <w:jc w:val="center"/>
              <w:rPr>
                <w:rFonts w:cs="Times New Roman"/>
                <w:sz w:val="24"/>
                <w:szCs w:val="24"/>
              </w:rPr>
            </w:pPr>
            <w:r>
              <w:rPr>
                <w:rFonts w:cs="Times New Roman"/>
                <w:sz w:val="24"/>
                <w:szCs w:val="24"/>
              </w:rPr>
              <w:t>合计</w:t>
            </w:r>
          </w:p>
        </w:tc>
        <w:tc>
          <w:tcPr>
            <w:tcW w:w="1560" w:type="dxa"/>
            <w:shd w:val="clear" w:color="auto" w:fill="auto"/>
            <w:vAlign w:val="center"/>
          </w:tcPr>
          <w:p>
            <w:pPr>
              <w:adjustRightInd w:val="0"/>
              <w:snapToGrid w:val="0"/>
              <w:spacing w:line="288" w:lineRule="auto"/>
              <w:ind w:firstLine="0" w:firstLineChars="0"/>
              <w:jc w:val="center"/>
              <w:rPr>
                <w:rFonts w:eastAsia="等线" w:cs="Times New Roman"/>
                <w:b/>
                <w:sz w:val="21"/>
              </w:rPr>
            </w:pPr>
            <w:r>
              <w:rPr>
                <w:rFonts w:eastAsia="等线" w:cs="Times New Roman"/>
                <w:b/>
                <w:sz w:val="21"/>
              </w:rPr>
              <w:t>21777</w:t>
            </w:r>
          </w:p>
        </w:tc>
        <w:tc>
          <w:tcPr>
            <w:tcW w:w="1275" w:type="dxa"/>
            <w:shd w:val="clear" w:color="auto" w:fill="auto"/>
            <w:vAlign w:val="center"/>
          </w:tcPr>
          <w:p>
            <w:pPr>
              <w:adjustRightInd w:val="0"/>
              <w:snapToGrid w:val="0"/>
              <w:spacing w:line="288" w:lineRule="auto"/>
              <w:ind w:firstLine="0" w:firstLineChars="0"/>
              <w:jc w:val="center"/>
              <w:rPr>
                <w:rFonts w:eastAsia="等线" w:cs="Times New Roman"/>
                <w:b/>
                <w:sz w:val="21"/>
              </w:rPr>
            </w:pPr>
            <w:r>
              <w:rPr>
                <w:rFonts w:hint="eastAsia" w:eastAsia="等线" w:cs="Times New Roman"/>
                <w:b/>
                <w:sz w:val="21"/>
              </w:rPr>
              <w:t>6020</w:t>
            </w:r>
          </w:p>
        </w:tc>
        <w:tc>
          <w:tcPr>
            <w:tcW w:w="1560" w:type="dxa"/>
            <w:shd w:val="clear" w:color="auto" w:fill="auto"/>
            <w:vAlign w:val="center"/>
          </w:tcPr>
          <w:p>
            <w:pPr>
              <w:adjustRightInd w:val="0"/>
              <w:snapToGrid w:val="0"/>
              <w:spacing w:line="288" w:lineRule="auto"/>
              <w:ind w:firstLine="0" w:firstLineChars="0"/>
              <w:jc w:val="center"/>
              <w:rPr>
                <w:rFonts w:eastAsia="等线" w:cs="Times New Roman"/>
                <w:b/>
                <w:sz w:val="21"/>
              </w:rPr>
            </w:pPr>
            <w:r>
              <w:rPr>
                <w:rFonts w:eastAsia="等线" w:cs="Times New Roman"/>
                <w:b/>
                <w:sz w:val="21"/>
              </w:rPr>
              <w:t>15817</w:t>
            </w:r>
          </w:p>
        </w:tc>
        <w:tc>
          <w:tcPr>
            <w:tcW w:w="1275" w:type="dxa"/>
            <w:shd w:val="clear" w:color="auto" w:fill="auto"/>
            <w:vAlign w:val="center"/>
          </w:tcPr>
          <w:p>
            <w:pPr>
              <w:adjustRightInd w:val="0"/>
              <w:snapToGrid w:val="0"/>
              <w:spacing w:line="288" w:lineRule="auto"/>
              <w:ind w:firstLine="0" w:firstLineChars="0"/>
              <w:jc w:val="center"/>
              <w:rPr>
                <w:rFonts w:eastAsia="等线" w:cs="Times New Roman"/>
                <w:b/>
                <w:sz w:val="21"/>
              </w:rPr>
            </w:pPr>
            <w:r>
              <w:rPr>
                <w:rFonts w:eastAsia="等线" w:cs="Times New Roman"/>
                <w:b/>
                <w:bCs/>
                <w:kern w:val="0"/>
                <w:sz w:val="21"/>
              </w:rPr>
              <w:t>48936</w:t>
            </w:r>
          </w:p>
        </w:tc>
      </w:tr>
    </w:tbl>
    <w:p>
      <w:pPr>
        <w:spacing w:line="580" w:lineRule="exact"/>
        <w:ind w:firstLine="643"/>
        <w:rPr>
          <w:rFonts w:ascii="黑体" w:hAnsi="黑体" w:eastAsia="黑体" w:cs="黑体"/>
          <w:sz w:val="36"/>
          <w:szCs w:val="36"/>
        </w:rPr>
      </w:pPr>
      <w:r>
        <w:rPr>
          <w:rFonts w:hint="eastAsia" w:cs="Times New Roman"/>
          <w:b/>
          <w:bCs/>
        </w:rPr>
        <w:t>三是电网结构逐步完善。</w:t>
      </w:r>
      <w:r>
        <w:rPr>
          <w:rFonts w:hint="eastAsia" w:cs="Times New Roman"/>
        </w:rPr>
        <w:t>已建成锡盟至山东、锡盟至江苏泰州</w:t>
      </w:r>
      <w:r>
        <w:rPr>
          <w:rFonts w:cs="Times New Roman"/>
        </w:rPr>
        <w:t>2</w:t>
      </w:r>
      <w:r>
        <w:rPr>
          <w:rFonts w:hint="eastAsia" w:cs="Times New Roman"/>
        </w:rPr>
        <w:t>条特高压电力外送通道，上都至承德、白音华至大板</w:t>
      </w:r>
      <w:r>
        <w:rPr>
          <w:rFonts w:cs="Times New Roman"/>
        </w:rPr>
        <w:t>2</w:t>
      </w:r>
      <w:r>
        <w:rPr>
          <w:rFonts w:hint="eastAsia" w:cs="Times New Roman"/>
        </w:rPr>
        <w:t>条超高压电力外送通道，投运特高压站</w:t>
      </w:r>
      <w:r>
        <w:rPr>
          <w:rFonts w:cs="Times New Roman"/>
        </w:rPr>
        <w:t>3</w:t>
      </w:r>
      <w:r>
        <w:rPr>
          <w:rFonts w:hint="eastAsia" w:cs="Times New Roman"/>
        </w:rPr>
        <w:t>座，外送电规模近</w:t>
      </w:r>
      <w:r>
        <w:rPr>
          <w:rFonts w:cs="Times New Roman"/>
        </w:rPr>
        <w:t>2000</w:t>
      </w:r>
      <w:r>
        <w:rPr>
          <w:rFonts w:hint="eastAsia" w:cs="Times New Roman"/>
        </w:rPr>
        <w:t>万千瓦。盟内初步形成以</w:t>
      </w:r>
      <w:r>
        <w:rPr>
          <w:rFonts w:cs="Times New Roman"/>
        </w:rPr>
        <w:t>500</w:t>
      </w:r>
      <w:r>
        <w:rPr>
          <w:rFonts w:hint="eastAsia" w:cs="Times New Roman"/>
        </w:rPr>
        <w:t>千伏为骨干、</w:t>
      </w:r>
      <w:r>
        <w:rPr>
          <w:rFonts w:cs="Times New Roman"/>
        </w:rPr>
        <w:t>220</w:t>
      </w:r>
      <w:r>
        <w:rPr>
          <w:rFonts w:hint="eastAsia" w:cs="Times New Roman"/>
        </w:rPr>
        <w:t>千伏为支撑、</w:t>
      </w:r>
      <w:r>
        <w:rPr>
          <w:rFonts w:cs="Times New Roman"/>
        </w:rPr>
        <w:t>110</w:t>
      </w:r>
      <w:r>
        <w:rPr>
          <w:rFonts w:hint="eastAsia" w:cs="Times New Roman"/>
        </w:rPr>
        <w:t>千伏为延伸的主体网架结构，投运</w:t>
      </w:r>
      <w:r>
        <w:rPr>
          <w:rFonts w:cs="Times New Roman"/>
        </w:rPr>
        <w:t>500</w:t>
      </w:r>
      <w:r>
        <w:rPr>
          <w:rFonts w:hint="eastAsia" w:cs="Times New Roman"/>
        </w:rPr>
        <w:t>千伏、</w:t>
      </w:r>
      <w:r>
        <w:rPr>
          <w:rFonts w:cs="Times New Roman"/>
        </w:rPr>
        <w:t>220</w:t>
      </w:r>
      <w:r>
        <w:rPr>
          <w:rFonts w:hint="eastAsia" w:cs="Times New Roman"/>
        </w:rPr>
        <w:t>千伏、</w:t>
      </w:r>
      <w:r>
        <w:rPr>
          <w:rFonts w:cs="Times New Roman"/>
        </w:rPr>
        <w:t>110</w:t>
      </w:r>
      <w:r>
        <w:rPr>
          <w:rFonts w:hint="eastAsia" w:cs="Times New Roman"/>
        </w:rPr>
        <w:t>千伏、</w:t>
      </w:r>
      <w:r>
        <w:rPr>
          <w:rFonts w:cs="Times New Roman"/>
        </w:rPr>
        <w:t>35</w:t>
      </w:r>
      <w:r>
        <w:rPr>
          <w:rFonts w:hint="eastAsia" w:cs="Times New Roman"/>
        </w:rPr>
        <w:t>千伏变电站分别达到</w:t>
      </w:r>
      <w:r>
        <w:rPr>
          <w:rFonts w:cs="Times New Roman"/>
        </w:rPr>
        <w:t>3</w:t>
      </w:r>
      <w:r>
        <w:rPr>
          <w:rFonts w:hint="eastAsia" w:cs="Times New Roman"/>
        </w:rPr>
        <w:t>、</w:t>
      </w:r>
      <w:r>
        <w:rPr>
          <w:rFonts w:cs="Times New Roman"/>
        </w:rPr>
        <w:t>18</w:t>
      </w:r>
      <w:r>
        <w:rPr>
          <w:rFonts w:hint="eastAsia" w:cs="Times New Roman"/>
        </w:rPr>
        <w:t>、</w:t>
      </w:r>
      <w:r>
        <w:rPr>
          <w:rFonts w:cs="Times New Roman"/>
        </w:rPr>
        <w:t>63</w:t>
      </w:r>
      <w:r>
        <w:rPr>
          <w:rFonts w:hint="eastAsia" w:cs="Times New Roman"/>
        </w:rPr>
        <w:t>、</w:t>
      </w:r>
      <w:r>
        <w:rPr>
          <w:rFonts w:cs="Times New Roman"/>
        </w:rPr>
        <w:t>92</w:t>
      </w:r>
      <w:r>
        <w:rPr>
          <w:rFonts w:hint="eastAsia" w:cs="Times New Roman"/>
        </w:rPr>
        <w:t>座，电网结构进一步优化后可更好服务新能源发展。</w:t>
      </w:r>
      <w:bookmarkStart w:id="12" w:name="_Toc113540764"/>
    </w:p>
    <w:p>
      <w:pPr>
        <w:keepNext w:val="0"/>
        <w:keepLines w:val="0"/>
        <w:pageBreakBefore w:val="0"/>
        <w:widowControl/>
        <w:kinsoku/>
        <w:wordWrap/>
        <w:overflowPunct/>
        <w:topLinePunct w:val="0"/>
        <w:autoSpaceDE/>
        <w:autoSpaceDN/>
        <w:bidi w:val="0"/>
        <w:adjustRightInd/>
        <w:snapToGrid/>
        <w:spacing w:line="580" w:lineRule="exact"/>
        <w:ind w:firstLine="720"/>
        <w:jc w:val="left"/>
        <w:textAlignment w:val="auto"/>
        <w:rPr>
          <w:rFonts w:ascii="黑体" w:hAnsi="黑体" w:eastAsia="黑体" w:cs="黑体"/>
          <w:sz w:val="36"/>
          <w:szCs w:val="36"/>
        </w:rPr>
      </w:pPr>
      <w:r>
        <w:rPr>
          <w:rFonts w:hint="eastAsia" w:ascii="黑体" w:hAnsi="黑体" w:eastAsia="黑体" w:cs="黑体"/>
          <w:sz w:val="36"/>
          <w:szCs w:val="36"/>
        </w:rPr>
        <w:t>二、总体要求和发展目标</w:t>
      </w:r>
      <w:bookmarkEnd w:id="12"/>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cs="Times New Roman"/>
        </w:rPr>
      </w:pPr>
      <w:bookmarkStart w:id="13" w:name="_Toc113540765"/>
      <w:r>
        <w:rPr>
          <w:rFonts w:hint="eastAsia" w:cs="Times New Roman"/>
        </w:rPr>
        <w:t>（一）</w:t>
      </w:r>
      <w:r>
        <w:rPr>
          <w:rFonts w:cs="Times New Roman"/>
        </w:rPr>
        <w:t>指导思想</w:t>
      </w:r>
      <w:bookmarkEnd w:id="13"/>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cs="Times New Roman"/>
        </w:rPr>
      </w:pPr>
      <w:r>
        <w:rPr>
          <w:rFonts w:cs="Times New Roman"/>
        </w:rPr>
        <w:t>以习近平新时代中国特色社会主义思想为指导，全面贯彻党的</w:t>
      </w:r>
      <w:bookmarkStart w:id="94" w:name="_GoBack"/>
      <w:bookmarkEnd w:id="94"/>
      <w:r>
        <w:rPr>
          <w:rFonts w:hint="eastAsia" w:cs="Times New Roman"/>
        </w:rPr>
        <w:t>二十大</w:t>
      </w:r>
      <w:r>
        <w:rPr>
          <w:rFonts w:cs="Times New Roman"/>
        </w:rPr>
        <w:t>精神，全面落实习近平总书记关于内蒙古能源工作重要讲话重要指示批示精神</w:t>
      </w:r>
      <w:r>
        <w:rPr>
          <w:rFonts w:hint="eastAsia" w:cs="Times New Roman"/>
        </w:rPr>
        <w:t>，</w:t>
      </w:r>
      <w:r>
        <w:rPr>
          <w:rFonts w:cs="Times New Roman"/>
        </w:rPr>
        <w:t>推进</w:t>
      </w:r>
      <w:r>
        <w:rPr>
          <w:rFonts w:hint="eastAsia" w:cs="Times New Roman"/>
        </w:rPr>
        <w:t>实施“</w:t>
      </w:r>
      <w:r>
        <w:rPr>
          <w:rFonts w:cs="Times New Roman"/>
        </w:rPr>
        <w:t>碳达峰、碳中和</w:t>
      </w:r>
      <w:r>
        <w:rPr>
          <w:rFonts w:hint="eastAsia" w:cs="Times New Roman"/>
        </w:rPr>
        <w:t>”发展战略，</w:t>
      </w:r>
      <w:r>
        <w:rPr>
          <w:rFonts w:cs="Times New Roman"/>
        </w:rPr>
        <w:t>立足“两个屏障”、“两个基地”和“一个桥头堡”战略定位</w:t>
      </w:r>
      <w:r>
        <w:rPr>
          <w:rFonts w:hint="eastAsia" w:cs="Times New Roman"/>
        </w:rPr>
        <w:t>，</w:t>
      </w:r>
      <w:r>
        <w:rPr>
          <w:rFonts w:cs="Times New Roman"/>
        </w:rPr>
        <w:t>以供给侧结构性改革为主线，</w:t>
      </w:r>
      <w:r>
        <w:rPr>
          <w:rFonts w:hint="eastAsia" w:cs="Times New Roman"/>
        </w:rPr>
        <w:t>以生态优先、绿色发展为导向，以促进新能源消纳为抓手，广泛拓展新能源场景应用，显著提高新能源在能源生产和消费中的比重，在全国率先建成以新能源为主体的能源供给体系、率先构建以新能源为主体的新型电力系统，推动新能源产业实现高质量发展</w:t>
      </w:r>
      <w:r>
        <w:rPr>
          <w:rFonts w:cs="Times New Roman"/>
        </w:rPr>
        <w:t>。</w:t>
      </w:r>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cs="Times New Roman"/>
        </w:rPr>
      </w:pPr>
      <w:bookmarkStart w:id="14" w:name="_Toc113540766"/>
      <w:r>
        <w:rPr>
          <w:rFonts w:hint="eastAsia" w:cs="Times New Roman"/>
        </w:rPr>
        <w:t>（二）</w:t>
      </w:r>
      <w:r>
        <w:rPr>
          <w:rFonts w:cs="Times New Roman"/>
        </w:rPr>
        <w:t>基本原则</w:t>
      </w:r>
      <w:bookmarkEnd w:id="14"/>
    </w:p>
    <w:p>
      <w:pPr>
        <w:keepNext w:val="0"/>
        <w:keepLines w:val="0"/>
        <w:pageBreakBefore w:val="0"/>
        <w:widowControl/>
        <w:kinsoku/>
        <w:wordWrap/>
        <w:overflowPunct/>
        <w:topLinePunct w:val="0"/>
        <w:autoSpaceDE/>
        <w:autoSpaceDN/>
        <w:bidi w:val="0"/>
        <w:adjustRightInd/>
        <w:snapToGrid/>
        <w:spacing w:line="580" w:lineRule="exact"/>
        <w:ind w:firstLine="643"/>
        <w:textAlignment w:val="auto"/>
        <w:rPr>
          <w:rFonts w:cs="Times New Roman"/>
        </w:rPr>
      </w:pPr>
      <w:r>
        <w:rPr>
          <w:rFonts w:hint="eastAsia" w:cs="Times New Roman"/>
          <w:b/>
          <w:bCs/>
        </w:rPr>
        <w:t>生态优先，绿色发展。</w:t>
      </w:r>
      <w:r>
        <w:rPr>
          <w:rFonts w:hint="eastAsia" w:cs="Times New Roman"/>
        </w:rPr>
        <w:t>以生态优先、绿色发展为导向，统筹新能源开发与生态环境保护、国土空间利用等关系。严格落实自治区关于征占用草原林地分区管控的规定，重点在西部荒漠半荒漠地区和南部丘陵地区集约开发风光资源，积极统筹谋划生态治理类光伏项目。</w:t>
      </w:r>
    </w:p>
    <w:p>
      <w:pPr>
        <w:keepNext w:val="0"/>
        <w:keepLines w:val="0"/>
        <w:pageBreakBefore w:val="0"/>
        <w:widowControl/>
        <w:kinsoku/>
        <w:wordWrap/>
        <w:overflowPunct/>
        <w:topLinePunct w:val="0"/>
        <w:autoSpaceDE/>
        <w:autoSpaceDN/>
        <w:bidi w:val="0"/>
        <w:adjustRightInd/>
        <w:snapToGrid/>
        <w:spacing w:line="580" w:lineRule="exact"/>
        <w:ind w:firstLine="643"/>
        <w:textAlignment w:val="auto"/>
        <w:rPr>
          <w:rFonts w:cs="Times New Roman"/>
          <w:b/>
          <w:bCs/>
        </w:rPr>
      </w:pPr>
      <w:r>
        <w:rPr>
          <w:rFonts w:hint="eastAsia" w:cs="Times New Roman"/>
          <w:b/>
          <w:bCs/>
        </w:rPr>
        <w:t>完善机制，高效发展。</w:t>
      </w:r>
      <w:r>
        <w:rPr>
          <w:rFonts w:hint="eastAsia" w:cs="Times New Roman"/>
        </w:rPr>
        <w:t>充分发挥市场在资源优化配置中的决定性作用，完善新能源发展机制。优先支持全额自发自用和不占用调峰空间的市场化并网消纳项目，有序推动新能源参与市场化交易，发挥电力市场对能源清洁低碳转型的支撑作用，有序组织保障性并网消纳项目。落实各项支持科技创新发展的政策措施，提升科技创新水平，促进高效发展。</w:t>
      </w:r>
    </w:p>
    <w:p>
      <w:pPr>
        <w:keepNext w:val="0"/>
        <w:keepLines w:val="0"/>
        <w:pageBreakBefore w:val="0"/>
        <w:widowControl/>
        <w:kinsoku/>
        <w:wordWrap/>
        <w:overflowPunct/>
        <w:topLinePunct w:val="0"/>
        <w:autoSpaceDE/>
        <w:autoSpaceDN/>
        <w:bidi w:val="0"/>
        <w:adjustRightInd/>
        <w:snapToGrid/>
        <w:spacing w:line="580" w:lineRule="exact"/>
        <w:ind w:firstLine="643"/>
        <w:textAlignment w:val="auto"/>
        <w:rPr>
          <w:rFonts w:cs="Times New Roman"/>
        </w:rPr>
      </w:pPr>
      <w:r>
        <w:rPr>
          <w:rFonts w:hint="eastAsia" w:cs="Times New Roman"/>
          <w:b/>
          <w:bCs/>
        </w:rPr>
        <w:t>统筹兼顾，协调发展。</w:t>
      </w:r>
      <w:r>
        <w:rPr>
          <w:rFonts w:hint="eastAsia" w:cs="Times New Roman"/>
        </w:rPr>
        <w:t>统筹新能源开发与常规电源、储能设施和电网建设的关系，提升能源电力系统的发展质量和效益；统筹自用与外送电源开发建设，形成本地消纳与外送协调发展的新格局。积极探索地区光热发电、抽水蓄能等储能形式，提升电力系统调节能力。</w:t>
      </w:r>
    </w:p>
    <w:p>
      <w:pPr>
        <w:keepNext w:val="0"/>
        <w:keepLines w:val="0"/>
        <w:pageBreakBefore w:val="0"/>
        <w:widowControl/>
        <w:kinsoku/>
        <w:wordWrap/>
        <w:overflowPunct/>
        <w:topLinePunct w:val="0"/>
        <w:autoSpaceDE/>
        <w:autoSpaceDN/>
        <w:bidi w:val="0"/>
        <w:adjustRightInd/>
        <w:snapToGrid/>
        <w:spacing w:line="580" w:lineRule="exact"/>
        <w:ind w:firstLine="643"/>
        <w:textAlignment w:val="auto"/>
        <w:rPr>
          <w:rFonts w:cs="Times New Roman"/>
        </w:rPr>
      </w:pPr>
      <w:r>
        <w:rPr>
          <w:rFonts w:hint="eastAsia" w:cs="Times New Roman"/>
          <w:b/>
          <w:bCs/>
        </w:rPr>
        <w:t>拓展应用，创新发展。</w:t>
      </w:r>
      <w:r>
        <w:rPr>
          <w:rFonts w:hint="eastAsia" w:cs="Times New Roman"/>
        </w:rPr>
        <w:t>加快探索一体化参与电力系统运行机制，加快构建以新能源为主体的新型电力系统。持续强化锡盟风电全产业链竞争优势，主攻风机核心零部件制造。充分利用尖端能源技术，加强技术研究，培育新能源新技术、新模式、新业态，不断拓展新能源应用场景。</w:t>
      </w:r>
    </w:p>
    <w:p>
      <w:pPr>
        <w:keepNext w:val="0"/>
        <w:keepLines w:val="0"/>
        <w:pageBreakBefore w:val="0"/>
        <w:widowControl/>
        <w:kinsoku/>
        <w:wordWrap/>
        <w:overflowPunct/>
        <w:topLinePunct w:val="0"/>
        <w:autoSpaceDE/>
        <w:autoSpaceDN/>
        <w:bidi w:val="0"/>
        <w:adjustRightInd/>
        <w:snapToGrid/>
        <w:spacing w:line="580" w:lineRule="exact"/>
        <w:ind w:firstLine="643"/>
        <w:textAlignment w:val="auto"/>
        <w:rPr>
          <w:rFonts w:cs="Times New Roman"/>
        </w:rPr>
      </w:pPr>
      <w:r>
        <w:rPr>
          <w:rFonts w:hint="eastAsia" w:cs="Times New Roman"/>
          <w:b/>
          <w:bCs/>
        </w:rPr>
        <w:t>惠民利民，共享发展。</w:t>
      </w:r>
      <w:r>
        <w:rPr>
          <w:rFonts w:hint="eastAsia" w:cs="Times New Roman"/>
        </w:rPr>
        <w:t>推动新能源与乡村振兴深度融合，积极发展“千乡万村驭风行动”“千家万户沐光行动”，在电网末端及偏远地区，积极有序发展分布式风光电、生物质能、清洁取暖等惠民工程。支持地方国有企业参与能源项目投资建设，创新推行“新能源+共享型集体经济”发展新模式，有效提高集体经济项目效益，巩固脱贫攻坚成果、助力乡村振兴，共享新能源发展成果。</w:t>
      </w:r>
    </w:p>
    <w:p>
      <w:pPr>
        <w:pStyle w:val="5"/>
        <w:keepNext w:val="0"/>
        <w:keepLines w:val="0"/>
        <w:pageBreakBefore w:val="0"/>
        <w:widowControl/>
        <w:numPr>
          <w:ilvl w:val="255"/>
          <w:numId w:val="0"/>
        </w:numPr>
        <w:kinsoku/>
        <w:wordWrap/>
        <w:overflowPunct/>
        <w:topLinePunct w:val="0"/>
        <w:autoSpaceDE/>
        <w:autoSpaceDN/>
        <w:bidi w:val="0"/>
        <w:adjustRightInd/>
        <w:snapToGrid/>
        <w:spacing w:line="580" w:lineRule="exact"/>
        <w:ind w:left="640" w:leftChars="200"/>
        <w:textAlignment w:val="auto"/>
        <w:rPr>
          <w:rFonts w:cs="Times New Roman"/>
        </w:rPr>
      </w:pPr>
      <w:bookmarkStart w:id="15" w:name="_Toc113302972"/>
      <w:bookmarkEnd w:id="15"/>
      <w:bookmarkStart w:id="16" w:name="_Toc113291005"/>
      <w:bookmarkEnd w:id="16"/>
      <w:bookmarkStart w:id="17" w:name="_Toc113540767"/>
      <w:r>
        <w:rPr>
          <w:rFonts w:hint="eastAsia" w:cs="Times New Roman"/>
        </w:rPr>
        <w:t>（三）发展目标</w:t>
      </w:r>
      <w:bookmarkEnd w:id="17"/>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hint="eastAsia" w:cs="Times New Roman"/>
        </w:rPr>
      </w:pPr>
      <w:r>
        <w:rPr>
          <w:rFonts w:cs="Times New Roman"/>
        </w:rPr>
        <w:t>“十四五”期间，加快构建以新能源为主体的能源供给体系，重点提升能源高质量供给水平，着力</w:t>
      </w:r>
      <w:r>
        <w:rPr>
          <w:rFonts w:hint="eastAsia" w:cs="Times New Roman"/>
        </w:rPr>
        <w:t>打造</w:t>
      </w:r>
      <w:r>
        <w:rPr>
          <w:rFonts w:cs="Times New Roman"/>
        </w:rPr>
        <w:t>新能源开发与生态修复融合发展示范</w:t>
      </w:r>
      <w:r>
        <w:rPr>
          <w:rFonts w:hint="eastAsia" w:cs="Times New Roman"/>
        </w:rPr>
        <w:t>基地</w:t>
      </w:r>
      <w:r>
        <w:rPr>
          <w:rFonts w:cs="Times New Roman"/>
        </w:rPr>
        <w:t>。到2025年</w:t>
      </w:r>
      <w:r>
        <w:rPr>
          <w:rFonts w:hint="eastAsia" w:cs="Times New Roman"/>
        </w:rPr>
        <w:t>，</w:t>
      </w:r>
      <w:r>
        <w:rPr>
          <w:rFonts w:cs="Times New Roman"/>
        </w:rPr>
        <w:t>全盟电力装机</w:t>
      </w:r>
      <w:r>
        <w:rPr>
          <w:rFonts w:hint="eastAsia" w:cs="Times New Roman"/>
        </w:rPr>
        <w:t>规模</w:t>
      </w:r>
      <w:r>
        <w:rPr>
          <w:rFonts w:cs="Times New Roman"/>
        </w:rPr>
        <w:t>达到4</w:t>
      </w:r>
      <w:r>
        <w:rPr>
          <w:rFonts w:hint="eastAsia" w:cs="Times New Roman"/>
        </w:rPr>
        <w:t>2</w:t>
      </w:r>
      <w:r>
        <w:rPr>
          <w:rFonts w:cs="Times New Roman"/>
        </w:rPr>
        <w:t>00万千瓦，其中火电</w:t>
      </w:r>
      <w:r>
        <w:rPr>
          <w:rFonts w:hint="eastAsia" w:cs="Times New Roman"/>
        </w:rPr>
        <w:t>19</w:t>
      </w:r>
      <w:r>
        <w:rPr>
          <w:rFonts w:cs="Times New Roman"/>
        </w:rPr>
        <w:t>00万千瓦、占比4</w:t>
      </w:r>
      <w:r>
        <w:rPr>
          <w:rFonts w:hint="eastAsia" w:cs="Times New Roman"/>
        </w:rPr>
        <w:t>5</w:t>
      </w:r>
      <w:r>
        <w:rPr>
          <w:rFonts w:cs="Times New Roman"/>
        </w:rPr>
        <w:t>%，新能源2</w:t>
      </w:r>
      <w:r>
        <w:rPr>
          <w:rFonts w:hint="eastAsia" w:cs="Times New Roman"/>
        </w:rPr>
        <w:t>3</w:t>
      </w:r>
      <w:r>
        <w:rPr>
          <w:rFonts w:cs="Times New Roman"/>
        </w:rPr>
        <w:t>00万千瓦</w:t>
      </w:r>
      <w:r>
        <w:rPr>
          <w:rFonts w:hint="eastAsia" w:cs="Times New Roman"/>
          <w:lang w:eastAsia="zh-CN"/>
        </w:rPr>
        <w:t>，</w:t>
      </w:r>
      <w:r>
        <w:rPr>
          <w:rFonts w:cs="Times New Roman"/>
        </w:rPr>
        <w:t>占比5</w:t>
      </w:r>
      <w:r>
        <w:rPr>
          <w:rFonts w:hint="eastAsia" w:cs="Times New Roman"/>
        </w:rPr>
        <w:t>5</w:t>
      </w:r>
      <w:r>
        <w:rPr>
          <w:rFonts w:cs="Times New Roman"/>
        </w:rPr>
        <w:t>%、</w:t>
      </w:r>
      <w:r>
        <w:rPr>
          <w:rFonts w:hint="eastAsia" w:cs="Times New Roman"/>
        </w:rPr>
        <w:t>装机规模率先</w:t>
      </w:r>
      <w:r>
        <w:rPr>
          <w:rFonts w:cs="Times New Roman"/>
        </w:rPr>
        <w:t>超过火电装机规模。</w:t>
      </w:r>
      <w:r>
        <w:rPr>
          <w:rFonts w:hint="eastAsia" w:cs="Times New Roman"/>
        </w:rPr>
        <w:t>风光总发电量达到6</w:t>
      </w:r>
      <w:r>
        <w:rPr>
          <w:rFonts w:cs="Times New Roman"/>
        </w:rPr>
        <w:t>00</w:t>
      </w:r>
      <w:r>
        <w:rPr>
          <w:rFonts w:hint="eastAsia" w:cs="Times New Roman"/>
        </w:rPr>
        <w:t>亿千瓦时/年，其中风电发电量5</w:t>
      </w:r>
      <w:r>
        <w:rPr>
          <w:rFonts w:cs="Times New Roman"/>
        </w:rPr>
        <w:t>50</w:t>
      </w:r>
      <w:r>
        <w:rPr>
          <w:rFonts w:hint="eastAsia" w:cs="Times New Roman"/>
        </w:rPr>
        <w:t>亿千瓦时、光伏发电量5</w:t>
      </w:r>
      <w:r>
        <w:rPr>
          <w:rFonts w:cs="Times New Roman"/>
        </w:rPr>
        <w:t>0</w:t>
      </w:r>
      <w:r>
        <w:rPr>
          <w:rFonts w:hint="eastAsia" w:cs="Times New Roman"/>
        </w:rPr>
        <w:t>亿千瓦时</w:t>
      </w:r>
      <w:r>
        <w:rPr>
          <w:rFonts w:cs="Times New Roman"/>
        </w:rPr>
        <w:t>。</w:t>
      </w:r>
      <w:r>
        <w:rPr>
          <w:rFonts w:hint="eastAsia" w:cs="Times New Roman"/>
        </w:rPr>
        <w:t>全盟新能源在更大规模发展的情况下实现合理消纳利用</w:t>
      </w:r>
      <w:r>
        <w:rPr>
          <w:rFonts w:cs="Times New Roman"/>
        </w:rPr>
        <w:t>，</w:t>
      </w:r>
      <w:r>
        <w:rPr>
          <w:rFonts w:hint="eastAsia" w:cs="Times New Roman"/>
        </w:rPr>
        <w:t>平均利用</w:t>
      </w:r>
      <w:r>
        <w:rPr>
          <w:rFonts w:cs="Times New Roman"/>
        </w:rPr>
        <w:t>率</w:t>
      </w:r>
      <w:r>
        <w:rPr>
          <w:rFonts w:hint="eastAsia" w:cs="Times New Roman"/>
        </w:rPr>
        <w:t>保持在</w:t>
      </w:r>
      <w:r>
        <w:rPr>
          <w:rFonts w:cs="Times New Roman"/>
        </w:rPr>
        <w:t>90%</w:t>
      </w:r>
      <w:r>
        <w:rPr>
          <w:rFonts w:hint="eastAsia" w:cs="Times New Roman"/>
        </w:rPr>
        <w:t>左右</w:t>
      </w:r>
      <w:r>
        <w:rPr>
          <w:rFonts w:cs="Times New Roman"/>
        </w:rPr>
        <w:t>。</w:t>
      </w:r>
      <w:r>
        <w:rPr>
          <w:rFonts w:hint="eastAsia" w:cs="Times New Roman"/>
        </w:rPr>
        <w:t>到2030年新能源装机达到3700万千瓦以上，年发电水平达到990亿千瓦时，占总发电量的比重达到55%以上，实现新能源发电总量超过火电发电总量的目标，构建形成以新能源为主体的新型电力系统。</w:t>
      </w:r>
    </w:p>
    <w:p>
      <w:pPr>
        <w:pStyle w:val="8"/>
        <w:keepNext/>
        <w:rPr>
          <w:rFonts w:cs="Times New Roman"/>
          <w:sz w:val="28"/>
          <w:szCs w:val="28"/>
        </w:rPr>
      </w:pPr>
    </w:p>
    <w:p>
      <w:pPr>
        <w:pStyle w:val="8"/>
        <w:keepNext/>
        <w:rPr>
          <w:rFonts w:cs="Times New Roman"/>
          <w:sz w:val="28"/>
          <w:szCs w:val="28"/>
        </w:rPr>
      </w:pPr>
      <w:r>
        <w:rPr>
          <w:rFonts w:cs="Times New Roman"/>
          <w:sz w:val="28"/>
          <w:szCs w:val="28"/>
        </w:rPr>
        <w:t>专栏</w:t>
      </w:r>
      <w:r>
        <w:rPr>
          <w:rFonts w:hint="eastAsia" w:cs="Times New Roman"/>
          <w:sz w:val="28"/>
          <w:szCs w:val="28"/>
        </w:rPr>
        <w:t>2</w:t>
      </w:r>
      <w:r>
        <w:rPr>
          <w:rFonts w:cs="Times New Roman"/>
          <w:sz w:val="28"/>
          <w:szCs w:val="28"/>
        </w:rPr>
        <w:t xml:space="preserve">  “十四五”可再生能源发展目标</w:t>
      </w:r>
    </w:p>
    <w:tbl>
      <w:tblPr>
        <w:tblStyle w:val="20"/>
        <w:tblW w:w="85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3"/>
        <w:gridCol w:w="2235"/>
        <w:gridCol w:w="1043"/>
        <w:gridCol w:w="1322"/>
        <w:gridCol w:w="132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883"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序号</w:t>
            </w:r>
          </w:p>
        </w:tc>
        <w:tc>
          <w:tcPr>
            <w:tcW w:w="2235"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类别</w:t>
            </w:r>
          </w:p>
        </w:tc>
        <w:tc>
          <w:tcPr>
            <w:tcW w:w="1043"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单位</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2020</w:t>
            </w:r>
            <w:r>
              <w:rPr>
                <w:rFonts w:hint="eastAsia" w:cs="Times New Roman"/>
                <w:sz w:val="24"/>
                <w:szCs w:val="24"/>
              </w:rPr>
              <w:t>年</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2025</w:t>
            </w:r>
            <w:r>
              <w:rPr>
                <w:rFonts w:hint="eastAsia" w:cs="Times New Roman"/>
                <w:sz w:val="24"/>
                <w:szCs w:val="24"/>
              </w:rPr>
              <w:t>年</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“十四五”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b/>
                <w:bCs/>
                <w:sz w:val="24"/>
                <w:szCs w:val="24"/>
              </w:rPr>
            </w:pPr>
            <w:r>
              <w:rPr>
                <w:rFonts w:hint="eastAsia" w:cs="Times New Roman"/>
                <w:b/>
                <w:bCs/>
                <w:sz w:val="24"/>
                <w:szCs w:val="24"/>
              </w:rPr>
              <w:t>一</w:t>
            </w:r>
          </w:p>
        </w:tc>
        <w:tc>
          <w:tcPr>
            <w:tcW w:w="7622" w:type="dxa"/>
            <w:gridSpan w:val="5"/>
            <w:tcMar>
              <w:left w:w="28" w:type="dxa"/>
              <w:right w:w="28" w:type="dxa"/>
            </w:tcMar>
          </w:tcPr>
          <w:p>
            <w:pPr>
              <w:spacing w:line="240" w:lineRule="auto"/>
              <w:ind w:firstLine="0" w:firstLineChars="0"/>
              <w:rPr>
                <w:rFonts w:cs="Times New Roman"/>
                <w:b/>
                <w:bCs/>
                <w:sz w:val="24"/>
                <w:szCs w:val="24"/>
              </w:rPr>
            </w:pPr>
            <w:r>
              <w:rPr>
                <w:rFonts w:hint="eastAsia" w:cs="Times New Roman"/>
                <w:b/>
                <w:bCs/>
                <w:sz w:val="24"/>
                <w:szCs w:val="24"/>
              </w:rPr>
              <w:t>总体指标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sz w:val="24"/>
                <w:szCs w:val="24"/>
              </w:rPr>
            </w:pPr>
            <w:r>
              <w:rPr>
                <w:rFonts w:cs="Times New Roman"/>
                <w:sz w:val="24"/>
                <w:szCs w:val="24"/>
              </w:rPr>
              <w:t>1.1</w:t>
            </w:r>
          </w:p>
        </w:tc>
        <w:tc>
          <w:tcPr>
            <w:tcW w:w="2235"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新能源装机占比</w:t>
            </w:r>
          </w:p>
        </w:tc>
        <w:tc>
          <w:tcPr>
            <w:tcW w:w="1043" w:type="dxa"/>
            <w:tcMar>
              <w:left w:w="28" w:type="dxa"/>
              <w:right w:w="28" w:type="dxa"/>
            </w:tcMar>
          </w:tcPr>
          <w:p>
            <w:pPr>
              <w:spacing w:line="240" w:lineRule="auto"/>
              <w:ind w:firstLine="0" w:firstLineChars="0"/>
              <w:rPr>
                <w:rFonts w:cs="Times New Roman"/>
                <w:sz w:val="24"/>
                <w:szCs w:val="24"/>
              </w:rPr>
            </w:pPr>
            <w:r>
              <w:rPr>
                <w:rFonts w:cs="Times New Roman"/>
                <w:sz w:val="24"/>
                <w:szCs w:val="24"/>
              </w:rPr>
              <w:t>%</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45.5</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&gt;50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sz w:val="24"/>
                <w:szCs w:val="24"/>
              </w:rPr>
            </w:pPr>
            <w:r>
              <w:rPr>
                <w:rFonts w:cs="Times New Roman"/>
                <w:sz w:val="24"/>
                <w:szCs w:val="24"/>
              </w:rPr>
              <w:t>1.2</w:t>
            </w:r>
          </w:p>
        </w:tc>
        <w:tc>
          <w:tcPr>
            <w:tcW w:w="2235"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新能源电力消纳权重</w:t>
            </w:r>
          </w:p>
        </w:tc>
        <w:tc>
          <w:tcPr>
            <w:tcW w:w="1043" w:type="dxa"/>
            <w:tcMar>
              <w:left w:w="28" w:type="dxa"/>
              <w:right w:w="28" w:type="dxa"/>
            </w:tcMar>
          </w:tcPr>
          <w:p>
            <w:pPr>
              <w:spacing w:line="240" w:lineRule="auto"/>
              <w:ind w:firstLine="0" w:firstLineChars="0"/>
              <w:rPr>
                <w:rFonts w:cs="Times New Roman"/>
                <w:sz w:val="24"/>
                <w:szCs w:val="24"/>
              </w:rPr>
            </w:pPr>
            <w:r>
              <w:rPr>
                <w:rFonts w:cs="Times New Roman"/>
                <w:sz w:val="24"/>
                <w:szCs w:val="24"/>
              </w:rPr>
              <w:t>%</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52.7</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&gt;</w:t>
            </w:r>
            <w:r>
              <w:rPr>
                <w:rFonts w:cs="Times New Roman"/>
                <w:sz w:val="24"/>
                <w:szCs w:val="24"/>
              </w:rPr>
              <w:t>36</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sz w:val="24"/>
                <w:szCs w:val="24"/>
              </w:rPr>
            </w:pPr>
            <w:r>
              <w:rPr>
                <w:rFonts w:cs="Times New Roman"/>
                <w:sz w:val="24"/>
                <w:szCs w:val="24"/>
              </w:rPr>
              <w:t>1.3</w:t>
            </w:r>
          </w:p>
        </w:tc>
        <w:tc>
          <w:tcPr>
            <w:tcW w:w="2235"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新能源消费占比</w:t>
            </w:r>
          </w:p>
        </w:tc>
        <w:tc>
          <w:tcPr>
            <w:tcW w:w="1043" w:type="dxa"/>
            <w:tcMar>
              <w:left w:w="28" w:type="dxa"/>
              <w:right w:w="28" w:type="dxa"/>
            </w:tcMar>
          </w:tcPr>
          <w:p>
            <w:pPr>
              <w:spacing w:line="240" w:lineRule="auto"/>
              <w:ind w:firstLine="0" w:firstLineChars="0"/>
              <w:rPr>
                <w:rFonts w:cs="Times New Roman"/>
                <w:sz w:val="24"/>
                <w:szCs w:val="24"/>
              </w:rPr>
            </w:pPr>
            <w:r>
              <w:rPr>
                <w:rFonts w:cs="Times New Roman"/>
                <w:sz w:val="24"/>
                <w:szCs w:val="24"/>
              </w:rPr>
              <w:t>%</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2</w:t>
            </w:r>
            <w:r>
              <w:rPr>
                <w:rFonts w:cs="Times New Roman"/>
                <w:sz w:val="24"/>
                <w:szCs w:val="24"/>
              </w:rPr>
              <w:t>2.6</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&gt;</w:t>
            </w:r>
            <w:r>
              <w:rPr>
                <w:rFonts w:cs="Times New Roman"/>
                <w:sz w:val="24"/>
                <w:szCs w:val="24"/>
              </w:rPr>
              <w:t>18</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b/>
                <w:bCs/>
                <w:sz w:val="24"/>
                <w:szCs w:val="24"/>
              </w:rPr>
            </w:pPr>
            <w:r>
              <w:rPr>
                <w:rFonts w:hint="eastAsia" w:cs="Times New Roman"/>
                <w:b/>
                <w:bCs/>
                <w:sz w:val="24"/>
                <w:szCs w:val="24"/>
              </w:rPr>
              <w:t>二</w:t>
            </w:r>
          </w:p>
        </w:tc>
        <w:tc>
          <w:tcPr>
            <w:tcW w:w="7622" w:type="dxa"/>
            <w:gridSpan w:val="5"/>
            <w:tcMar>
              <w:left w:w="28" w:type="dxa"/>
              <w:right w:w="28" w:type="dxa"/>
            </w:tcMar>
          </w:tcPr>
          <w:p>
            <w:pPr>
              <w:spacing w:line="240" w:lineRule="auto"/>
              <w:ind w:firstLine="0" w:firstLineChars="0"/>
              <w:rPr>
                <w:rFonts w:cs="Times New Roman"/>
                <w:b/>
                <w:bCs/>
                <w:sz w:val="24"/>
                <w:szCs w:val="24"/>
              </w:rPr>
            </w:pPr>
            <w:r>
              <w:rPr>
                <w:rFonts w:hint="eastAsia" w:cs="Times New Roman"/>
                <w:b/>
                <w:bCs/>
                <w:sz w:val="24"/>
                <w:szCs w:val="24"/>
              </w:rPr>
              <w:t>新能源发电装机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8" w:type="dxa"/>
            <w:gridSpan w:val="2"/>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总计</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万千瓦</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1038</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2300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1262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b/>
                <w:bCs/>
                <w:sz w:val="24"/>
                <w:szCs w:val="24"/>
              </w:rPr>
            </w:pPr>
            <w:r>
              <w:rPr>
                <w:rFonts w:cs="Times New Roman"/>
                <w:b/>
                <w:bCs/>
                <w:sz w:val="24"/>
                <w:szCs w:val="24"/>
              </w:rPr>
              <w:t>2.1</w:t>
            </w:r>
          </w:p>
        </w:tc>
        <w:tc>
          <w:tcPr>
            <w:tcW w:w="2235" w:type="dxa"/>
            <w:tcMar>
              <w:left w:w="28" w:type="dxa"/>
              <w:right w:w="28" w:type="dxa"/>
            </w:tcMar>
          </w:tcPr>
          <w:p>
            <w:pPr>
              <w:spacing w:line="240" w:lineRule="auto"/>
              <w:ind w:firstLine="0" w:firstLineChars="0"/>
              <w:rPr>
                <w:rFonts w:cs="Times New Roman"/>
                <w:b/>
                <w:bCs/>
                <w:sz w:val="24"/>
                <w:szCs w:val="24"/>
              </w:rPr>
            </w:pPr>
            <w:r>
              <w:rPr>
                <w:rFonts w:hint="eastAsia" w:cs="Times New Roman"/>
                <w:b/>
                <w:bCs/>
                <w:sz w:val="24"/>
                <w:szCs w:val="24"/>
              </w:rPr>
              <w:t>风电</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万千瓦</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967</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2000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1</w:t>
            </w:r>
            <w:r>
              <w:rPr>
                <w:rFonts w:cs="Times New Roman"/>
                <w:sz w:val="24"/>
                <w:szCs w:val="24"/>
              </w:rPr>
              <w:t>033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jc w:val="right"/>
              <w:rPr>
                <w:rFonts w:cs="Times New Roman"/>
                <w:sz w:val="24"/>
                <w:szCs w:val="24"/>
              </w:rPr>
            </w:pPr>
            <w:r>
              <w:rPr>
                <w:rFonts w:cs="Times New Roman"/>
                <w:sz w:val="24"/>
                <w:szCs w:val="24"/>
              </w:rPr>
              <w:t>2.1.1</w:t>
            </w:r>
          </w:p>
        </w:tc>
        <w:tc>
          <w:tcPr>
            <w:tcW w:w="2235" w:type="dxa"/>
            <w:tcMar>
              <w:left w:w="28" w:type="dxa"/>
              <w:right w:w="28" w:type="dxa"/>
            </w:tcMar>
          </w:tcPr>
          <w:p>
            <w:pPr>
              <w:spacing w:line="240" w:lineRule="auto"/>
              <w:ind w:firstLine="0" w:firstLineChars="0"/>
              <w:jc w:val="right"/>
              <w:rPr>
                <w:rFonts w:cs="Times New Roman"/>
                <w:sz w:val="24"/>
                <w:szCs w:val="24"/>
              </w:rPr>
            </w:pPr>
            <w:r>
              <w:rPr>
                <w:rFonts w:hint="eastAsia" w:cs="Times New Roman"/>
                <w:sz w:val="24"/>
                <w:szCs w:val="24"/>
              </w:rPr>
              <w:t>外送</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万千瓦</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595</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1580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985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jc w:val="right"/>
              <w:rPr>
                <w:rFonts w:cs="Times New Roman"/>
                <w:sz w:val="24"/>
                <w:szCs w:val="24"/>
              </w:rPr>
            </w:pPr>
            <w:r>
              <w:rPr>
                <w:rFonts w:cs="Times New Roman"/>
                <w:sz w:val="24"/>
                <w:szCs w:val="24"/>
              </w:rPr>
              <w:t>2.1.2</w:t>
            </w:r>
          </w:p>
        </w:tc>
        <w:tc>
          <w:tcPr>
            <w:tcW w:w="2235" w:type="dxa"/>
            <w:tcMar>
              <w:left w:w="28" w:type="dxa"/>
              <w:right w:w="28" w:type="dxa"/>
            </w:tcMar>
          </w:tcPr>
          <w:p>
            <w:pPr>
              <w:spacing w:line="240" w:lineRule="auto"/>
              <w:ind w:firstLine="0" w:firstLineChars="0"/>
              <w:jc w:val="right"/>
              <w:rPr>
                <w:rFonts w:cs="Times New Roman"/>
                <w:sz w:val="24"/>
                <w:szCs w:val="24"/>
              </w:rPr>
            </w:pPr>
            <w:r>
              <w:rPr>
                <w:rFonts w:hint="eastAsia" w:cs="Times New Roman"/>
                <w:sz w:val="24"/>
                <w:szCs w:val="24"/>
              </w:rPr>
              <w:t>本地消纳</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万千瓦</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372</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420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4</w:t>
            </w:r>
            <w:r>
              <w:rPr>
                <w:rFonts w:cs="Times New Roman"/>
                <w:sz w:val="24"/>
                <w:szCs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b/>
                <w:bCs/>
                <w:sz w:val="24"/>
                <w:szCs w:val="24"/>
              </w:rPr>
            </w:pPr>
            <w:r>
              <w:rPr>
                <w:rFonts w:cs="Times New Roman"/>
                <w:b/>
                <w:bCs/>
                <w:sz w:val="24"/>
                <w:szCs w:val="24"/>
              </w:rPr>
              <w:t>2.2</w:t>
            </w:r>
          </w:p>
        </w:tc>
        <w:tc>
          <w:tcPr>
            <w:tcW w:w="2235" w:type="dxa"/>
            <w:tcMar>
              <w:left w:w="28" w:type="dxa"/>
              <w:right w:w="28" w:type="dxa"/>
            </w:tcMar>
          </w:tcPr>
          <w:p>
            <w:pPr>
              <w:spacing w:line="240" w:lineRule="auto"/>
              <w:ind w:firstLine="0" w:firstLineChars="0"/>
              <w:rPr>
                <w:rFonts w:cs="Times New Roman"/>
                <w:b/>
                <w:bCs/>
                <w:sz w:val="24"/>
                <w:szCs w:val="24"/>
              </w:rPr>
            </w:pPr>
            <w:r>
              <w:rPr>
                <w:rFonts w:hint="eastAsia" w:cs="Times New Roman"/>
                <w:b/>
                <w:bCs/>
                <w:sz w:val="24"/>
                <w:szCs w:val="24"/>
              </w:rPr>
              <w:t>光伏</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万千瓦</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71</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300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2</w:t>
            </w:r>
            <w:r>
              <w:rPr>
                <w:rFonts w:cs="Times New Roman"/>
                <w:sz w:val="24"/>
                <w:szCs w:val="24"/>
              </w:rPr>
              <w:t>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jc w:val="right"/>
              <w:rPr>
                <w:rFonts w:cs="Times New Roman"/>
                <w:sz w:val="24"/>
                <w:szCs w:val="24"/>
              </w:rPr>
            </w:pPr>
            <w:r>
              <w:rPr>
                <w:rFonts w:cs="Times New Roman"/>
                <w:sz w:val="24"/>
                <w:szCs w:val="24"/>
              </w:rPr>
              <w:t>2.2.1</w:t>
            </w:r>
          </w:p>
        </w:tc>
        <w:tc>
          <w:tcPr>
            <w:tcW w:w="2235" w:type="dxa"/>
            <w:tcMar>
              <w:left w:w="28" w:type="dxa"/>
              <w:right w:w="28" w:type="dxa"/>
            </w:tcMar>
          </w:tcPr>
          <w:p>
            <w:pPr>
              <w:spacing w:line="240" w:lineRule="auto"/>
              <w:ind w:firstLine="0" w:firstLineChars="0"/>
              <w:jc w:val="right"/>
              <w:rPr>
                <w:rFonts w:cs="Times New Roman"/>
                <w:sz w:val="24"/>
                <w:szCs w:val="24"/>
              </w:rPr>
            </w:pPr>
            <w:r>
              <w:rPr>
                <w:rFonts w:hint="eastAsia" w:cs="Times New Roman"/>
                <w:sz w:val="24"/>
                <w:szCs w:val="24"/>
              </w:rPr>
              <w:t>外送</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万千瓦</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120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1</w:t>
            </w:r>
            <w:r>
              <w:rPr>
                <w:rFonts w:hint="eastAsia" w:cs="Times New Roman"/>
                <w:sz w:val="24"/>
                <w:szCs w:val="24"/>
              </w:rPr>
              <w:t>2</w:t>
            </w:r>
            <w:r>
              <w:rPr>
                <w:rFonts w:cs="Times New Roman"/>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jc w:val="right"/>
              <w:rPr>
                <w:rFonts w:cs="Times New Roman"/>
                <w:sz w:val="24"/>
                <w:szCs w:val="24"/>
              </w:rPr>
            </w:pPr>
            <w:r>
              <w:rPr>
                <w:rFonts w:cs="Times New Roman"/>
                <w:sz w:val="24"/>
                <w:szCs w:val="24"/>
              </w:rPr>
              <w:t>2.2.2</w:t>
            </w:r>
          </w:p>
        </w:tc>
        <w:tc>
          <w:tcPr>
            <w:tcW w:w="2235" w:type="dxa"/>
            <w:tcMar>
              <w:left w:w="28" w:type="dxa"/>
              <w:right w:w="28" w:type="dxa"/>
            </w:tcMar>
          </w:tcPr>
          <w:p>
            <w:pPr>
              <w:spacing w:line="240" w:lineRule="auto"/>
              <w:ind w:firstLine="0" w:firstLineChars="0"/>
              <w:jc w:val="right"/>
              <w:rPr>
                <w:rFonts w:cs="Times New Roman"/>
                <w:sz w:val="24"/>
                <w:szCs w:val="24"/>
              </w:rPr>
            </w:pPr>
            <w:r>
              <w:rPr>
                <w:rFonts w:hint="eastAsia" w:cs="Times New Roman"/>
                <w:sz w:val="24"/>
                <w:szCs w:val="24"/>
              </w:rPr>
              <w:t>本地消纳</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万千瓦</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71</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180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109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b/>
                <w:bCs/>
                <w:sz w:val="24"/>
                <w:szCs w:val="24"/>
              </w:rPr>
            </w:pPr>
            <w:r>
              <w:rPr>
                <w:rFonts w:hint="eastAsia" w:cs="Times New Roman"/>
                <w:b/>
                <w:bCs/>
                <w:sz w:val="24"/>
                <w:szCs w:val="24"/>
              </w:rPr>
              <w:t>三</w:t>
            </w:r>
          </w:p>
        </w:tc>
        <w:tc>
          <w:tcPr>
            <w:tcW w:w="7622" w:type="dxa"/>
            <w:gridSpan w:val="5"/>
            <w:tcMar>
              <w:left w:w="28" w:type="dxa"/>
              <w:right w:w="28" w:type="dxa"/>
            </w:tcMar>
          </w:tcPr>
          <w:p>
            <w:pPr>
              <w:spacing w:line="240" w:lineRule="auto"/>
              <w:ind w:firstLine="0" w:firstLineChars="0"/>
              <w:rPr>
                <w:rFonts w:cs="Times New Roman"/>
                <w:b/>
                <w:bCs/>
                <w:sz w:val="24"/>
                <w:szCs w:val="24"/>
              </w:rPr>
            </w:pPr>
            <w:r>
              <w:rPr>
                <w:rFonts w:hint="eastAsia" w:cs="Times New Roman"/>
                <w:b/>
                <w:bCs/>
                <w:sz w:val="24"/>
                <w:szCs w:val="24"/>
              </w:rPr>
              <w:t>新能源发电量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8" w:type="dxa"/>
            <w:gridSpan w:val="2"/>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总计</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亿千瓦时</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84</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5</w:t>
            </w:r>
            <w:r>
              <w:rPr>
                <w:rFonts w:cs="Times New Roman"/>
                <w:sz w:val="24"/>
                <w:szCs w:val="24"/>
              </w:rPr>
              <w:t>45</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4</w:t>
            </w:r>
            <w:r>
              <w:rPr>
                <w:rFonts w:cs="Times New Roman"/>
                <w:sz w:val="24"/>
                <w:szCs w:val="24"/>
              </w:rPr>
              <w:t>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sz w:val="24"/>
                <w:szCs w:val="24"/>
              </w:rPr>
            </w:pPr>
            <w:r>
              <w:rPr>
                <w:rFonts w:cs="Times New Roman"/>
                <w:sz w:val="24"/>
                <w:szCs w:val="24"/>
              </w:rPr>
              <w:t>3.1</w:t>
            </w:r>
          </w:p>
        </w:tc>
        <w:tc>
          <w:tcPr>
            <w:tcW w:w="2235"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风电</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亿千瓦时</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cs="Times New Roman"/>
                <w:sz w:val="24"/>
                <w:szCs w:val="24"/>
              </w:rPr>
              <w:t>72</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5</w:t>
            </w:r>
            <w:r>
              <w:rPr>
                <w:rFonts w:cs="Times New Roman"/>
                <w:sz w:val="24"/>
                <w:szCs w:val="24"/>
              </w:rPr>
              <w:t>00</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4</w:t>
            </w:r>
            <w:r>
              <w:rPr>
                <w:rFonts w:cs="Times New Roman"/>
                <w:sz w:val="24"/>
                <w:szCs w:val="24"/>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 w:type="dxa"/>
            <w:tcMar>
              <w:left w:w="28" w:type="dxa"/>
              <w:right w:w="28" w:type="dxa"/>
            </w:tcMar>
          </w:tcPr>
          <w:p>
            <w:pPr>
              <w:spacing w:line="240" w:lineRule="auto"/>
              <w:ind w:firstLine="0" w:firstLineChars="0"/>
              <w:rPr>
                <w:rFonts w:cs="Times New Roman"/>
                <w:sz w:val="24"/>
                <w:szCs w:val="24"/>
              </w:rPr>
            </w:pPr>
            <w:r>
              <w:rPr>
                <w:rFonts w:cs="Times New Roman"/>
                <w:sz w:val="24"/>
                <w:szCs w:val="24"/>
              </w:rPr>
              <w:t>3.2</w:t>
            </w:r>
          </w:p>
        </w:tc>
        <w:tc>
          <w:tcPr>
            <w:tcW w:w="2235"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光伏</w:t>
            </w:r>
          </w:p>
        </w:tc>
        <w:tc>
          <w:tcPr>
            <w:tcW w:w="1043" w:type="dxa"/>
            <w:tcMar>
              <w:left w:w="28" w:type="dxa"/>
              <w:right w:w="28" w:type="dxa"/>
            </w:tcMar>
          </w:tcPr>
          <w:p>
            <w:pPr>
              <w:spacing w:line="240" w:lineRule="auto"/>
              <w:ind w:firstLine="0" w:firstLineChars="0"/>
              <w:rPr>
                <w:rFonts w:cs="Times New Roman"/>
                <w:sz w:val="24"/>
                <w:szCs w:val="24"/>
              </w:rPr>
            </w:pPr>
            <w:r>
              <w:rPr>
                <w:rFonts w:hint="eastAsia" w:cs="Times New Roman"/>
                <w:sz w:val="24"/>
                <w:szCs w:val="24"/>
              </w:rPr>
              <w:t>亿千瓦时</w:t>
            </w:r>
          </w:p>
        </w:tc>
        <w:tc>
          <w:tcPr>
            <w:tcW w:w="1322"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1</w:t>
            </w:r>
            <w:r>
              <w:rPr>
                <w:rFonts w:cs="Times New Roman"/>
                <w:sz w:val="24"/>
                <w:szCs w:val="24"/>
              </w:rPr>
              <w:t>2</w:t>
            </w:r>
          </w:p>
        </w:tc>
        <w:tc>
          <w:tcPr>
            <w:tcW w:w="132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4</w:t>
            </w:r>
            <w:r>
              <w:rPr>
                <w:rFonts w:cs="Times New Roman"/>
                <w:sz w:val="24"/>
                <w:szCs w:val="24"/>
              </w:rPr>
              <w:t>5</w:t>
            </w:r>
          </w:p>
        </w:tc>
        <w:tc>
          <w:tcPr>
            <w:tcW w:w="1701" w:type="dxa"/>
            <w:tcMar>
              <w:left w:w="28" w:type="dxa"/>
              <w:right w:w="28" w:type="dxa"/>
            </w:tcMar>
            <w:vAlign w:val="center"/>
          </w:tcPr>
          <w:p>
            <w:pPr>
              <w:spacing w:line="240" w:lineRule="auto"/>
              <w:ind w:firstLine="0" w:firstLineChars="0"/>
              <w:jc w:val="center"/>
              <w:rPr>
                <w:rFonts w:cs="Times New Roman"/>
                <w:sz w:val="24"/>
                <w:szCs w:val="24"/>
              </w:rPr>
            </w:pPr>
            <w:r>
              <w:rPr>
                <w:rFonts w:hint="eastAsia" w:cs="Times New Roman"/>
                <w:sz w:val="24"/>
                <w:szCs w:val="24"/>
              </w:rPr>
              <w:t>3</w:t>
            </w:r>
            <w:r>
              <w:rPr>
                <w:rFonts w:cs="Times New Roman"/>
                <w:sz w:val="24"/>
                <w:szCs w:val="24"/>
              </w:rPr>
              <w:t>3</w:t>
            </w:r>
          </w:p>
        </w:tc>
      </w:tr>
    </w:tbl>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hint="eastAsia" w:ascii="黑体" w:hAnsi="黑体" w:eastAsia="黑体" w:cs="黑体"/>
          <w:sz w:val="36"/>
          <w:szCs w:val="36"/>
        </w:rPr>
      </w:pPr>
      <w:bookmarkStart w:id="18" w:name="_Toc98702793"/>
      <w:bookmarkStart w:id="19" w:name="_Toc113540768"/>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hint="eastAsia" w:ascii="黑体" w:hAnsi="黑体" w:eastAsia="黑体" w:cs="黑体"/>
          <w:sz w:val="36"/>
          <w:szCs w:val="36"/>
        </w:rPr>
      </w:pPr>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hint="eastAsia" w:ascii="黑体" w:hAnsi="黑体" w:eastAsia="黑体" w:cs="黑体"/>
          <w:sz w:val="36"/>
          <w:szCs w:val="36"/>
        </w:rPr>
      </w:pPr>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hint="eastAsia" w:ascii="黑体" w:hAnsi="黑体" w:eastAsia="黑体" w:cs="黑体"/>
          <w:sz w:val="36"/>
          <w:szCs w:val="36"/>
        </w:rPr>
      </w:pPr>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hint="eastAsia" w:ascii="黑体" w:hAnsi="黑体" w:eastAsia="黑体" w:cs="黑体"/>
          <w:sz w:val="36"/>
          <w:szCs w:val="36"/>
        </w:rPr>
      </w:pPr>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hint="eastAsia" w:ascii="黑体" w:hAnsi="黑体" w:eastAsia="黑体" w:cs="黑体"/>
          <w:sz w:val="36"/>
          <w:szCs w:val="36"/>
        </w:rPr>
      </w:pPr>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hint="eastAsia" w:ascii="黑体" w:hAnsi="黑体" w:eastAsia="黑体" w:cs="黑体"/>
          <w:sz w:val="36"/>
          <w:szCs w:val="36"/>
        </w:rPr>
      </w:pPr>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hint="eastAsia" w:ascii="黑体" w:hAnsi="黑体" w:eastAsia="黑体" w:cs="黑体"/>
          <w:sz w:val="36"/>
          <w:szCs w:val="36"/>
        </w:rPr>
      </w:pPr>
      <w:r>
        <w:rPr>
          <w:rFonts w:hint="eastAsia" w:ascii="黑体" w:hAnsi="黑体" w:eastAsia="黑体" w:cs="黑体"/>
          <w:sz w:val="36"/>
          <w:szCs w:val="36"/>
        </w:rPr>
        <w:t>三、全力</w:t>
      </w:r>
      <w:bookmarkEnd w:id="18"/>
      <w:r>
        <w:rPr>
          <w:rFonts w:hint="eastAsia" w:ascii="黑体" w:hAnsi="黑体" w:eastAsia="黑体" w:cs="黑体"/>
          <w:sz w:val="36"/>
          <w:szCs w:val="36"/>
        </w:rPr>
        <w:t>打造国家级大型现代化清洁能源基地</w:t>
      </w:r>
      <w:bookmarkEnd w:id="19"/>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hint="eastAsia" w:cs="Times New Roman"/>
        </w:rPr>
      </w:pPr>
      <w:r>
        <w:rPr>
          <w:szCs w:val="32"/>
        </w:rPr>
        <w:t>锚定</w:t>
      </w:r>
      <w:r>
        <w:rPr>
          <w:rFonts w:hint="eastAsia"/>
          <w:szCs w:val="32"/>
        </w:rPr>
        <w:t>“</w:t>
      </w:r>
      <w:r>
        <w:rPr>
          <w:szCs w:val="32"/>
        </w:rPr>
        <w:t>碳达峰</w:t>
      </w:r>
      <w:r>
        <w:rPr>
          <w:rFonts w:hint="eastAsia"/>
          <w:szCs w:val="32"/>
        </w:rPr>
        <w:t>、</w:t>
      </w:r>
      <w:r>
        <w:rPr>
          <w:szCs w:val="32"/>
        </w:rPr>
        <w:t>碳中和</w:t>
      </w:r>
      <w:r>
        <w:rPr>
          <w:rFonts w:hint="eastAsia"/>
          <w:szCs w:val="32"/>
        </w:rPr>
        <w:t>”</w:t>
      </w:r>
      <w:r>
        <w:rPr>
          <w:szCs w:val="32"/>
        </w:rPr>
        <w:t>目标，全面推进新能源大规模高比例开发利用，通过优化存量、做好增量两轮驱动，助力自治区在全国率先建成以新能源为主体的能源供给体系、率先构建以新能源为主体的新型电力系统。</w:t>
      </w:r>
      <w:bookmarkStart w:id="20" w:name="_Toc113540769"/>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cs="Times New Roman"/>
        </w:rPr>
      </w:pPr>
      <w:r>
        <w:rPr>
          <w:rFonts w:hint="eastAsia" w:cs="Times New Roman"/>
        </w:rPr>
        <w:t>（一）</w:t>
      </w:r>
      <w:r>
        <w:rPr>
          <w:rFonts w:cs="Times New Roman"/>
        </w:rPr>
        <w:t>加快推进</w:t>
      </w:r>
      <w:r>
        <w:rPr>
          <w:rFonts w:hint="eastAsia" w:cs="Times New Roman"/>
        </w:rPr>
        <w:t>大型新能源外送</w:t>
      </w:r>
      <w:r>
        <w:rPr>
          <w:rFonts w:cs="Times New Roman"/>
        </w:rPr>
        <w:t>基地建设</w:t>
      </w:r>
      <w:bookmarkEnd w:id="20"/>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szCs w:val="32"/>
        </w:rPr>
      </w:pPr>
      <w:r>
        <w:rPr>
          <w:szCs w:val="32"/>
        </w:rPr>
        <w:t>以“生态优先</w:t>
      </w:r>
      <w:r>
        <w:rPr>
          <w:rFonts w:hint="eastAsia"/>
          <w:szCs w:val="32"/>
        </w:rPr>
        <w:t>、</w:t>
      </w:r>
      <w:r>
        <w:rPr>
          <w:szCs w:val="32"/>
        </w:rPr>
        <w:t>绿色发展”为导向，将风电</w:t>
      </w:r>
      <w:r>
        <w:rPr>
          <w:rFonts w:hint="eastAsia"/>
          <w:szCs w:val="32"/>
        </w:rPr>
        <w:t>、光伏开发</w:t>
      </w:r>
      <w:r>
        <w:rPr>
          <w:szCs w:val="32"/>
        </w:rPr>
        <w:t>与边境生态屏障、荒漠地区建设相结合，形成</w:t>
      </w:r>
      <w:r>
        <w:rPr>
          <w:rFonts w:hint="eastAsia"/>
          <w:szCs w:val="32"/>
        </w:rPr>
        <w:t>新</w:t>
      </w:r>
      <w:r>
        <w:rPr>
          <w:szCs w:val="32"/>
        </w:rPr>
        <w:t>能源与生态协同发展</w:t>
      </w:r>
      <w:r>
        <w:rPr>
          <w:rFonts w:hint="eastAsia"/>
          <w:szCs w:val="32"/>
        </w:rPr>
        <w:t>新</w:t>
      </w:r>
      <w:r>
        <w:rPr>
          <w:szCs w:val="32"/>
        </w:rPr>
        <w:t>格局。以</w:t>
      </w:r>
      <w:r>
        <w:rPr>
          <w:rFonts w:hint="eastAsia"/>
          <w:szCs w:val="32"/>
        </w:rPr>
        <w:t>特高压外送通道配套新能源基地</w:t>
      </w:r>
      <w:r>
        <w:rPr>
          <w:szCs w:val="32"/>
        </w:rPr>
        <w:t>为重点，</w:t>
      </w:r>
      <w:r>
        <w:rPr>
          <w:rFonts w:hint="eastAsia"/>
          <w:szCs w:val="32"/>
        </w:rPr>
        <w:t>全面建设特高压外送基地二期</w:t>
      </w:r>
      <w:r>
        <w:rPr>
          <w:szCs w:val="32"/>
        </w:rPr>
        <w:t>400</w:t>
      </w:r>
      <w:r>
        <w:rPr>
          <w:rFonts w:hint="eastAsia"/>
          <w:szCs w:val="32"/>
        </w:rPr>
        <w:t>万千瓦项目、</w:t>
      </w:r>
      <w:r>
        <w:rPr>
          <w:szCs w:val="32"/>
        </w:rPr>
        <w:t>上都百万千瓦风电</w:t>
      </w:r>
      <w:r>
        <w:rPr>
          <w:rFonts w:hint="eastAsia"/>
          <w:szCs w:val="32"/>
        </w:rPr>
        <w:t>项目；依托张北~胜利特高压外送通道，积极争取后续增配基地规模；规划进京外送通道，建设“绿电进京”项目；</w:t>
      </w:r>
      <w:r>
        <w:rPr>
          <w:rFonts w:hint="eastAsia" w:cs="Times New Roman"/>
        </w:rPr>
        <w:t>利用上都电厂外送线路输电余量，推动上都外送新能源二期工程；规划建设锡盟</w:t>
      </w:r>
      <w:r>
        <w:rPr>
          <w:rFonts w:hint="eastAsia"/>
          <w:szCs w:val="32"/>
        </w:rPr>
        <w:t>~</w:t>
      </w:r>
      <w:r>
        <w:rPr>
          <w:rFonts w:hint="eastAsia" w:cs="Times New Roman"/>
        </w:rPr>
        <w:t>河南郑州特高压通道，在二连浩特、苏尼特左旗、苏尼特右旗建设1000万千瓦新能源基地；</w:t>
      </w:r>
      <w:r>
        <w:rPr>
          <w:rFonts w:hint="eastAsia"/>
          <w:szCs w:val="32"/>
        </w:rPr>
        <w:t>借助</w:t>
      </w:r>
      <w:r>
        <w:rPr>
          <w:rFonts w:hint="eastAsia" w:cs="Times New Roman"/>
        </w:rPr>
        <w:t>锡林郭勒盟西部地区5</w:t>
      </w:r>
      <w:r>
        <w:rPr>
          <w:rFonts w:cs="Times New Roman"/>
        </w:rPr>
        <w:t>00</w:t>
      </w:r>
      <w:r>
        <w:rPr>
          <w:rFonts w:hint="eastAsia" w:cs="Times New Roman"/>
        </w:rPr>
        <w:t>千伏主网架锡西~东苏~塔拉通道，加快推进蒙能东苏100万千瓦风储项目，在苏尼特左旗、苏尼特右旗、二连浩特市布局外送蒙西主网风光项目；规划白旗-多伦直供电通道，建设500万千瓦风光基地；规划建设芒来二期、查干淖尔二期等新增煤电机组配套新能源项目，配套外送新能源规模</w:t>
      </w:r>
      <w:r>
        <w:rPr>
          <w:rFonts w:cs="Times New Roman"/>
        </w:rPr>
        <w:t>5</w:t>
      </w:r>
      <w:r>
        <w:rPr>
          <w:rFonts w:hint="eastAsia" w:cs="Times New Roman"/>
        </w:rPr>
        <w:t>00万千瓦等</w:t>
      </w:r>
      <w:r>
        <w:rPr>
          <w:rFonts w:hint="eastAsia"/>
          <w:szCs w:val="32"/>
        </w:rPr>
        <w:t>项目。</w:t>
      </w:r>
    </w:p>
    <w:p>
      <w:pPr>
        <w:pStyle w:val="8"/>
        <w:keepNext/>
        <w:jc w:val="both"/>
        <w:rPr>
          <w:rFonts w:cs="Times New Roman"/>
          <w:sz w:val="28"/>
          <w:szCs w:val="28"/>
        </w:rPr>
      </w:pPr>
    </w:p>
    <w:p/>
    <w:p>
      <w:pPr>
        <w:pStyle w:val="8"/>
        <w:keepNext/>
        <w:jc w:val="center"/>
        <w:rPr>
          <w:rFonts w:cs="Times New Roman"/>
          <w:sz w:val="28"/>
          <w:szCs w:val="28"/>
        </w:rPr>
      </w:pPr>
      <w:r>
        <w:rPr>
          <w:rFonts w:cs="Times New Roman"/>
          <w:sz w:val="28"/>
          <w:szCs w:val="28"/>
        </w:rPr>
        <w:t>专栏</w:t>
      </w:r>
      <w:r>
        <w:rPr>
          <w:rFonts w:hint="eastAsia" w:cs="Times New Roman"/>
          <w:sz w:val="28"/>
          <w:szCs w:val="28"/>
        </w:rPr>
        <w:t>3</w:t>
      </w:r>
      <w:r>
        <w:rPr>
          <w:rFonts w:cs="Times New Roman"/>
          <w:sz w:val="28"/>
          <w:szCs w:val="28"/>
        </w:rPr>
        <w:t xml:space="preserve">  </w:t>
      </w:r>
      <w:r>
        <w:rPr>
          <w:rFonts w:hint="eastAsia" w:cs="Times New Roman"/>
          <w:sz w:val="28"/>
          <w:szCs w:val="28"/>
        </w:rPr>
        <w:t>大型新能源</w:t>
      </w:r>
      <w:r>
        <w:rPr>
          <w:rFonts w:cs="Times New Roman"/>
          <w:sz w:val="28"/>
          <w:szCs w:val="28"/>
        </w:rPr>
        <w:t>基地重点</w:t>
      </w:r>
      <w:r>
        <w:rPr>
          <w:rFonts w:hint="eastAsia" w:cs="Times New Roman"/>
          <w:sz w:val="28"/>
          <w:szCs w:val="28"/>
        </w:rPr>
        <w:t>电源</w:t>
      </w:r>
      <w:r>
        <w:rPr>
          <w:rFonts w:cs="Times New Roman"/>
          <w:sz w:val="28"/>
          <w:szCs w:val="28"/>
        </w:rPr>
        <w:t>项目</w:t>
      </w:r>
    </w:p>
    <w:tbl>
      <w:tblPr>
        <w:tblStyle w:val="19"/>
        <w:tblW w:w="8505" w:type="dxa"/>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50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8505" w:type="dxa"/>
            <w:tcMar>
              <w:top w:w="57" w:type="dxa"/>
              <w:left w:w="57" w:type="dxa"/>
              <w:bottom w:w="57" w:type="dxa"/>
              <w:right w:w="57" w:type="dxa"/>
            </w:tcMar>
            <w:vAlign w:val="center"/>
          </w:tcPr>
          <w:p>
            <w:pPr>
              <w:spacing w:line="240" w:lineRule="auto"/>
              <w:ind w:firstLine="0" w:firstLineChars="0"/>
              <w:rPr>
                <w:rFonts w:cs="Times New Roman"/>
                <w:b/>
                <w:sz w:val="24"/>
                <w:szCs w:val="24"/>
              </w:rPr>
            </w:pPr>
            <w:r>
              <w:rPr>
                <w:rFonts w:cs="Times New Roman"/>
                <w:b/>
                <w:sz w:val="24"/>
                <w:szCs w:val="24"/>
              </w:rPr>
              <w:t xml:space="preserve">01 </w:t>
            </w:r>
            <w:r>
              <w:rPr>
                <w:rFonts w:hint="eastAsia" w:cs="Times New Roman"/>
                <w:b/>
                <w:sz w:val="24"/>
                <w:szCs w:val="24"/>
              </w:rPr>
              <w:t>外送华北华东风光基地项目</w:t>
            </w:r>
          </w:p>
          <w:p>
            <w:pPr>
              <w:spacing w:line="240" w:lineRule="auto"/>
              <w:ind w:firstLine="0" w:firstLineChars="0"/>
              <w:rPr>
                <w:rFonts w:cs="Times New Roman"/>
                <w:sz w:val="24"/>
                <w:szCs w:val="24"/>
              </w:rPr>
            </w:pPr>
            <w:r>
              <w:rPr>
                <w:rFonts w:cs="Times New Roman"/>
                <w:b/>
                <w:sz w:val="24"/>
                <w:szCs w:val="24"/>
              </w:rPr>
              <w:t>特高压外送基地二期400万千瓦基地：</w:t>
            </w:r>
            <w:r>
              <w:rPr>
                <w:rFonts w:cs="Times New Roman"/>
                <w:sz w:val="24"/>
                <w:szCs w:val="24"/>
              </w:rPr>
              <w:t>特高压外送通道配套新能源基地二期</w:t>
            </w:r>
            <w:r>
              <w:rPr>
                <w:rFonts w:hint="eastAsia" w:cs="Times New Roman"/>
                <w:sz w:val="24"/>
                <w:szCs w:val="24"/>
              </w:rPr>
              <w:t>工程全面建设，</w:t>
            </w:r>
            <w:r>
              <w:rPr>
                <w:rFonts w:cs="Times New Roman"/>
                <w:sz w:val="24"/>
                <w:szCs w:val="24"/>
              </w:rPr>
              <w:t>新增380万千瓦风电</w:t>
            </w:r>
            <w:r>
              <w:rPr>
                <w:rFonts w:hint="eastAsia" w:cs="Times New Roman"/>
                <w:sz w:val="24"/>
                <w:szCs w:val="24"/>
              </w:rPr>
              <w:t>和</w:t>
            </w:r>
            <w:r>
              <w:rPr>
                <w:rFonts w:cs="Times New Roman"/>
                <w:sz w:val="24"/>
                <w:szCs w:val="24"/>
              </w:rPr>
              <w:t>20万千瓦光伏</w:t>
            </w:r>
            <w:r>
              <w:rPr>
                <w:rFonts w:hint="eastAsia" w:cs="Times New Roman"/>
                <w:sz w:val="24"/>
                <w:szCs w:val="24"/>
              </w:rPr>
              <w:t>，</w:t>
            </w:r>
            <w:r>
              <w:rPr>
                <w:rFonts w:cs="Times New Roman"/>
                <w:sz w:val="24"/>
                <w:szCs w:val="24"/>
              </w:rPr>
              <w:t>2023</w:t>
            </w:r>
            <w:r>
              <w:rPr>
                <w:rFonts w:hint="eastAsia" w:cs="Times New Roman"/>
                <w:sz w:val="24"/>
                <w:szCs w:val="24"/>
              </w:rPr>
              <w:t>年全部建成并消纳。</w:t>
            </w:r>
          </w:p>
          <w:p>
            <w:pPr>
              <w:spacing w:line="240" w:lineRule="auto"/>
              <w:ind w:firstLine="0" w:firstLineChars="0"/>
              <w:rPr>
                <w:rFonts w:cs="Times New Roman"/>
                <w:bCs/>
                <w:sz w:val="24"/>
                <w:szCs w:val="24"/>
              </w:rPr>
            </w:pPr>
            <w:r>
              <w:rPr>
                <w:rFonts w:hint="eastAsia" w:cs="Times New Roman"/>
                <w:b/>
                <w:sz w:val="24"/>
                <w:szCs w:val="24"/>
              </w:rPr>
              <w:t>上都百万千瓦级风电基地项目及二期工程：</w:t>
            </w:r>
            <w:r>
              <w:rPr>
                <w:rFonts w:hint="eastAsia" w:cs="Times New Roman"/>
                <w:bCs/>
                <w:sz w:val="24"/>
                <w:szCs w:val="24"/>
              </w:rPr>
              <w:t>依托上都电厂“点对网”外送通道，推进上都</w:t>
            </w:r>
            <w:r>
              <w:rPr>
                <w:rFonts w:cs="Times New Roman"/>
                <w:bCs/>
                <w:sz w:val="24"/>
                <w:szCs w:val="24"/>
              </w:rPr>
              <w:t>200</w:t>
            </w:r>
            <w:r>
              <w:rPr>
                <w:rFonts w:hint="eastAsia" w:cs="Times New Roman"/>
                <w:bCs/>
                <w:sz w:val="24"/>
                <w:szCs w:val="24"/>
              </w:rPr>
              <w:t>万千瓦平价上网风电基地建设；利用通道余量，开展二期100万千瓦基地论证研究工作。</w:t>
            </w:r>
          </w:p>
          <w:p>
            <w:pPr>
              <w:spacing w:line="240" w:lineRule="auto"/>
              <w:ind w:firstLine="0" w:firstLineChars="0"/>
              <w:rPr>
                <w:rFonts w:cs="Times New Roman"/>
                <w:sz w:val="24"/>
                <w:szCs w:val="24"/>
              </w:rPr>
            </w:pPr>
            <w:r>
              <w:rPr>
                <w:rFonts w:cs="Times New Roman"/>
                <w:b/>
                <w:sz w:val="24"/>
                <w:szCs w:val="24"/>
              </w:rPr>
              <w:t>特高压外送基地</w:t>
            </w:r>
            <w:r>
              <w:rPr>
                <w:rFonts w:hint="eastAsia" w:cs="Times New Roman"/>
                <w:b/>
                <w:sz w:val="24"/>
                <w:szCs w:val="24"/>
              </w:rPr>
              <w:t>三期工程</w:t>
            </w:r>
            <w:r>
              <w:rPr>
                <w:rFonts w:cs="Times New Roman"/>
                <w:b/>
                <w:sz w:val="24"/>
                <w:szCs w:val="24"/>
              </w:rPr>
              <w:t>：</w:t>
            </w:r>
            <w:r>
              <w:rPr>
                <w:rFonts w:hint="eastAsia" w:cs="Times New Roman"/>
                <w:sz w:val="24"/>
                <w:szCs w:val="24"/>
              </w:rPr>
              <w:t>依托张北~胜利特高压外送通道，积极争取后续增配500万千瓦基地。</w:t>
            </w:r>
          </w:p>
          <w:p>
            <w:pPr>
              <w:spacing w:line="240" w:lineRule="auto"/>
              <w:ind w:firstLine="0" w:firstLineChars="0"/>
              <w:rPr>
                <w:rFonts w:cs="Times New Roman"/>
                <w:sz w:val="24"/>
                <w:szCs w:val="24"/>
              </w:rPr>
            </w:pPr>
            <w:r>
              <w:rPr>
                <w:rFonts w:hint="eastAsia" w:cs="Times New Roman"/>
                <w:b/>
                <w:sz w:val="24"/>
                <w:szCs w:val="24"/>
              </w:rPr>
              <w:t>绿电进京项目：</w:t>
            </w:r>
            <w:r>
              <w:rPr>
                <w:rFonts w:hint="eastAsia" w:cs="Times New Roman"/>
                <w:sz w:val="24"/>
                <w:szCs w:val="24"/>
              </w:rPr>
              <w:t>新建白旗</w:t>
            </w:r>
            <w:r>
              <w:rPr>
                <w:rFonts w:hint="eastAsia"/>
                <w:szCs w:val="32"/>
              </w:rPr>
              <w:t>~</w:t>
            </w:r>
            <w:r>
              <w:rPr>
                <w:rFonts w:hint="eastAsia" w:cs="Times New Roman"/>
                <w:sz w:val="24"/>
                <w:szCs w:val="24"/>
              </w:rPr>
              <w:t>北京南柔性直流通道、白旗</w:t>
            </w:r>
            <w:r>
              <w:rPr>
                <w:rFonts w:hint="eastAsia"/>
                <w:szCs w:val="32"/>
              </w:rPr>
              <w:t>~</w:t>
            </w:r>
            <w:r>
              <w:rPr>
                <w:rFonts w:hint="eastAsia" w:cs="Times New Roman"/>
                <w:sz w:val="24"/>
                <w:szCs w:val="24"/>
              </w:rPr>
              <w:t>华北网交流通道，建设1000万千瓦新能源基地。</w:t>
            </w:r>
          </w:p>
          <w:p>
            <w:pPr>
              <w:spacing w:line="240" w:lineRule="auto"/>
              <w:ind w:firstLine="0" w:firstLineChars="0"/>
              <w:rPr>
                <w:rFonts w:cs="Times New Roman"/>
                <w:sz w:val="24"/>
                <w:szCs w:val="24"/>
              </w:rPr>
            </w:pPr>
            <w:r>
              <w:rPr>
                <w:rFonts w:hint="eastAsia" w:cs="Times New Roman"/>
                <w:b/>
                <w:bCs/>
                <w:sz w:val="24"/>
                <w:szCs w:val="24"/>
              </w:rPr>
              <w:t>西部千万千瓦新能源基地：</w:t>
            </w:r>
            <w:r>
              <w:rPr>
                <w:rFonts w:hint="eastAsia" w:cs="Times New Roman"/>
                <w:sz w:val="24"/>
                <w:szCs w:val="24"/>
              </w:rPr>
              <w:t>新建锡盟</w:t>
            </w:r>
            <w:r>
              <w:rPr>
                <w:rFonts w:hint="eastAsia"/>
                <w:szCs w:val="32"/>
              </w:rPr>
              <w:t>~</w:t>
            </w:r>
            <w:r>
              <w:rPr>
                <w:rFonts w:hint="eastAsia" w:cs="Times New Roman"/>
                <w:sz w:val="24"/>
                <w:szCs w:val="24"/>
              </w:rPr>
              <w:t>河南郑州特高压外送通道，建设1000万千瓦新能源基地。</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8505" w:type="dxa"/>
            <w:tcMar>
              <w:top w:w="57" w:type="dxa"/>
              <w:left w:w="57" w:type="dxa"/>
              <w:bottom w:w="57" w:type="dxa"/>
              <w:right w:w="57" w:type="dxa"/>
            </w:tcMar>
            <w:vAlign w:val="center"/>
          </w:tcPr>
          <w:p>
            <w:pPr>
              <w:spacing w:line="240" w:lineRule="auto"/>
              <w:ind w:firstLine="0" w:firstLineChars="0"/>
              <w:rPr>
                <w:rFonts w:cs="Times New Roman"/>
                <w:b/>
                <w:bCs/>
                <w:sz w:val="24"/>
                <w:szCs w:val="24"/>
              </w:rPr>
            </w:pPr>
            <w:r>
              <w:rPr>
                <w:rFonts w:cs="Times New Roman"/>
                <w:b/>
                <w:bCs/>
                <w:sz w:val="24"/>
                <w:szCs w:val="24"/>
              </w:rPr>
              <w:t xml:space="preserve">02 </w:t>
            </w:r>
            <w:r>
              <w:rPr>
                <w:rFonts w:hint="eastAsia" w:cs="Times New Roman"/>
                <w:b/>
                <w:bCs/>
                <w:sz w:val="24"/>
                <w:szCs w:val="24"/>
              </w:rPr>
              <w:t>外送蒙西主网风光项目</w:t>
            </w:r>
          </w:p>
          <w:p>
            <w:pPr>
              <w:spacing w:line="240" w:lineRule="auto"/>
              <w:ind w:firstLine="0" w:firstLineChars="0"/>
              <w:rPr>
                <w:rFonts w:cs="Times New Roman"/>
                <w:sz w:val="24"/>
                <w:szCs w:val="24"/>
              </w:rPr>
            </w:pPr>
            <w:r>
              <w:rPr>
                <w:rFonts w:hint="eastAsia" w:cs="Times New Roman"/>
                <w:b/>
                <w:bCs/>
                <w:sz w:val="24"/>
                <w:szCs w:val="24"/>
              </w:rPr>
              <w:t>苏尼特左旗蒙能100万千瓦风储项目：</w:t>
            </w:r>
            <w:r>
              <w:rPr>
                <w:rFonts w:hint="eastAsia" w:cs="Times New Roman"/>
                <w:sz w:val="24"/>
                <w:szCs w:val="24"/>
              </w:rPr>
              <w:t>新建锡西、东苏500千伏变电站及配套线路工程，新建100万千瓦风电项目送至蒙西电网消纳。</w:t>
            </w:r>
          </w:p>
          <w:p>
            <w:pPr>
              <w:spacing w:line="240" w:lineRule="auto"/>
              <w:ind w:firstLine="0" w:firstLineChars="0"/>
              <w:rPr>
                <w:rFonts w:cs="Times New Roman"/>
                <w:sz w:val="24"/>
                <w:szCs w:val="24"/>
              </w:rPr>
            </w:pPr>
            <w:r>
              <w:rPr>
                <w:rFonts w:hint="eastAsia" w:cs="Times New Roman"/>
                <w:b/>
                <w:bCs/>
                <w:sz w:val="24"/>
                <w:szCs w:val="24"/>
              </w:rPr>
              <w:t>蒙西自用新能源项目：</w:t>
            </w:r>
            <w:r>
              <w:rPr>
                <w:rFonts w:hint="eastAsia" w:cs="Times New Roman"/>
                <w:sz w:val="24"/>
                <w:szCs w:val="24"/>
              </w:rPr>
              <w:t>依托芒来电厂，在苏尼特左旗、苏尼特右旗等地区新建300万千瓦左右的新能源基地送出至蒙西网消纳。</w:t>
            </w:r>
          </w:p>
          <w:p>
            <w:pPr>
              <w:spacing w:line="240" w:lineRule="auto"/>
              <w:ind w:firstLine="0" w:firstLineChars="0"/>
              <w:rPr>
                <w:rFonts w:cs="Times New Roman"/>
                <w:sz w:val="24"/>
                <w:szCs w:val="24"/>
              </w:rPr>
            </w:pPr>
            <w:r>
              <w:rPr>
                <w:rFonts w:hint="eastAsia" w:cs="Times New Roman"/>
                <w:b/>
                <w:bCs/>
                <w:sz w:val="24"/>
                <w:szCs w:val="24"/>
              </w:rPr>
              <w:t>新增煤电机组增配新能源项目：</w:t>
            </w:r>
            <w:r>
              <w:rPr>
                <w:rFonts w:hint="eastAsia" w:cs="Times New Roman"/>
                <w:sz w:val="24"/>
                <w:szCs w:val="24"/>
              </w:rPr>
              <w:t>新建芒来二期、查干淖尔二期等煤电机组，利用新增火电调峰能力新增配套新能源项目</w:t>
            </w:r>
            <w:r>
              <w:rPr>
                <w:rFonts w:cs="Times New Roman"/>
                <w:sz w:val="24"/>
                <w:szCs w:val="24"/>
              </w:rPr>
              <w:t>5</w:t>
            </w:r>
            <w:r>
              <w:rPr>
                <w:rFonts w:hint="eastAsia" w:cs="Times New Roman"/>
                <w:sz w:val="24"/>
                <w:szCs w:val="24"/>
              </w:rPr>
              <w:t>00万千瓦。</w:t>
            </w:r>
          </w:p>
        </w:tc>
      </w:tr>
    </w:tbl>
    <w:p>
      <w:pPr>
        <w:pStyle w:val="5"/>
        <w:numPr>
          <w:ilvl w:val="1"/>
          <w:numId w:val="0"/>
        </w:numPr>
        <w:spacing w:line="640" w:lineRule="exact"/>
        <w:ind w:firstLine="600" w:firstLineChars="200"/>
        <w:rPr>
          <w:rFonts w:cs="Times New Roman"/>
        </w:rPr>
      </w:pPr>
      <w:bookmarkStart w:id="21" w:name="_Toc98101156"/>
      <w:bookmarkEnd w:id="21"/>
      <w:bookmarkStart w:id="22" w:name="_Toc98101161"/>
      <w:bookmarkEnd w:id="22"/>
      <w:bookmarkStart w:id="23" w:name="_Toc98101160"/>
      <w:bookmarkEnd w:id="23"/>
      <w:bookmarkStart w:id="24" w:name="_Toc98139822"/>
      <w:bookmarkEnd w:id="24"/>
      <w:bookmarkStart w:id="25" w:name="_Toc98101159"/>
      <w:bookmarkEnd w:id="25"/>
      <w:bookmarkStart w:id="26" w:name="_Toc98139812"/>
      <w:bookmarkEnd w:id="26"/>
      <w:bookmarkStart w:id="27" w:name="_Toc98101155"/>
      <w:bookmarkEnd w:id="27"/>
      <w:bookmarkStart w:id="28" w:name="_Toc98139820"/>
      <w:bookmarkEnd w:id="28"/>
      <w:bookmarkStart w:id="29" w:name="_Toc98139821"/>
      <w:bookmarkEnd w:id="29"/>
      <w:bookmarkStart w:id="30" w:name="_Toc98101158"/>
      <w:bookmarkEnd w:id="30"/>
      <w:bookmarkStart w:id="31" w:name="_Toc98101157"/>
      <w:bookmarkEnd w:id="31"/>
      <w:bookmarkStart w:id="32" w:name="_Toc98139818"/>
      <w:bookmarkEnd w:id="32"/>
      <w:bookmarkStart w:id="33" w:name="_Toc98101150"/>
      <w:bookmarkEnd w:id="33"/>
      <w:bookmarkStart w:id="34" w:name="_Toc98139819"/>
      <w:bookmarkEnd w:id="34"/>
      <w:bookmarkStart w:id="35" w:name="_Toc98139817"/>
      <w:bookmarkEnd w:id="35"/>
      <w:bookmarkStart w:id="36" w:name="_Toc98139823"/>
      <w:bookmarkEnd w:id="36"/>
      <w:bookmarkStart w:id="37" w:name="_Toc113540770"/>
      <w:r>
        <w:rPr>
          <w:rFonts w:hint="eastAsia" w:cs="Times New Roman"/>
        </w:rPr>
        <w:t>（二）</w:t>
      </w:r>
      <w:r>
        <w:rPr>
          <w:rFonts w:cs="Times New Roman"/>
        </w:rPr>
        <w:t>积极</w:t>
      </w:r>
      <w:r>
        <w:rPr>
          <w:rFonts w:hint="eastAsia" w:cs="Times New Roman"/>
        </w:rPr>
        <w:t>谋划市场化并网新能源项目落地</w:t>
      </w:r>
      <w:bookmarkEnd w:id="37"/>
    </w:p>
    <w:p>
      <w:pPr>
        <w:pStyle w:val="40"/>
        <w:spacing w:line="640" w:lineRule="exact"/>
        <w:ind w:firstLine="640"/>
        <w:rPr>
          <w:rFonts w:eastAsia="仿宋"/>
          <w:sz w:val="32"/>
          <w:szCs w:val="32"/>
        </w:rPr>
      </w:pPr>
      <w:r>
        <w:rPr>
          <w:rFonts w:hint="eastAsia" w:eastAsia="仿宋"/>
          <w:sz w:val="32"/>
          <w:szCs w:val="32"/>
        </w:rPr>
        <w:t>“十四五”期间电力体制改革将继续深化、市场交易机构将进一步独立规范运行、电力市场建设继续深入推进。锡盟结合本地可再生资源禀赋积极参与就地、跨省、跨区市场化电力交易。鼓励不同市场主体参与包括自备电厂可再生能源</w:t>
      </w:r>
      <w:r>
        <w:rPr>
          <w:rFonts w:hint="eastAsia" w:eastAsia="仿宋"/>
          <w:sz w:val="32"/>
          <w:szCs w:val="32"/>
          <w:u w:val="none"/>
        </w:rPr>
        <w:t>替代、风光制氢一体化、工业园区绿色供电、源网荷储一体化、全额自发自用、火电灵活性改造等形式市场化并网项目。</w:t>
      </w:r>
      <w:r>
        <w:rPr>
          <w:rFonts w:hint="eastAsia" w:eastAsia="仿宋"/>
          <w:sz w:val="32"/>
          <w:szCs w:val="32"/>
          <w:u w:val="none"/>
          <w:lang w:eastAsia="zh-CN"/>
        </w:rPr>
        <w:t>结合盟内招商引资工作，依托优质高载能产业集群，</w:t>
      </w:r>
      <w:r>
        <w:rPr>
          <w:rFonts w:hint="eastAsia" w:eastAsia="仿宋"/>
          <w:sz w:val="32"/>
          <w:szCs w:val="32"/>
          <w:u w:val="none"/>
        </w:rPr>
        <w:t>组织实施二连浩特可再生能源微电网示范项目。</w:t>
      </w:r>
      <w:r>
        <w:rPr>
          <w:rFonts w:eastAsia="仿宋"/>
          <w:sz w:val="32"/>
          <w:szCs w:val="32"/>
          <w:u w:val="none"/>
        </w:rPr>
        <w:t>积极</w:t>
      </w:r>
      <w:r>
        <w:rPr>
          <w:rFonts w:eastAsia="仿宋"/>
          <w:sz w:val="32"/>
          <w:szCs w:val="32"/>
        </w:rPr>
        <w:t>构建集中式和分布式并举的新能源多元发展新格局。</w:t>
      </w:r>
    </w:p>
    <w:p>
      <w:pPr>
        <w:pStyle w:val="8"/>
        <w:keepNext/>
        <w:ind w:left="179" w:leftChars="56" w:firstLine="560"/>
        <w:rPr>
          <w:rFonts w:cs="Times New Roman"/>
          <w:sz w:val="28"/>
          <w:szCs w:val="28"/>
        </w:rPr>
      </w:pPr>
    </w:p>
    <w:p>
      <w:pPr>
        <w:pStyle w:val="8"/>
        <w:keepNext/>
        <w:ind w:left="179" w:leftChars="56" w:firstLine="560"/>
        <w:rPr>
          <w:rFonts w:cs="Times New Roman"/>
          <w:sz w:val="28"/>
          <w:szCs w:val="28"/>
        </w:rPr>
      </w:pPr>
      <w:r>
        <w:rPr>
          <w:rFonts w:cs="Times New Roman"/>
          <w:sz w:val="28"/>
          <w:szCs w:val="28"/>
        </w:rPr>
        <w:t>专栏</w:t>
      </w:r>
      <w:r>
        <w:rPr>
          <w:rFonts w:hint="eastAsia" w:cs="Times New Roman"/>
          <w:sz w:val="28"/>
          <w:szCs w:val="28"/>
        </w:rPr>
        <w:t>4</w:t>
      </w:r>
      <w:r>
        <w:rPr>
          <w:rFonts w:cs="Times New Roman"/>
          <w:sz w:val="28"/>
          <w:szCs w:val="28"/>
        </w:rPr>
        <w:t xml:space="preserve">  </w:t>
      </w:r>
      <w:r>
        <w:rPr>
          <w:rFonts w:hint="eastAsia" w:cs="Times New Roman"/>
          <w:sz w:val="28"/>
          <w:szCs w:val="28"/>
        </w:rPr>
        <w:t>市场化并网重点电源项目</w:t>
      </w:r>
    </w:p>
    <w:tbl>
      <w:tblPr>
        <w:tblStyle w:val="19"/>
        <w:tblW w:w="8505"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50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sz w:val="24"/>
                <w:szCs w:val="24"/>
              </w:rPr>
            </w:pPr>
            <w:r>
              <w:rPr>
                <w:rFonts w:hint="eastAsia" w:cs="Times New Roman"/>
                <w:b/>
                <w:bCs/>
                <w:sz w:val="24"/>
                <w:szCs w:val="24"/>
              </w:rPr>
              <w:t>①自备电厂可再生能源替代项目。</w:t>
            </w:r>
            <w:r>
              <w:rPr>
                <w:rFonts w:hint="eastAsia" w:cs="Times New Roman"/>
                <w:sz w:val="24"/>
                <w:szCs w:val="24"/>
              </w:rPr>
              <w:t>在西乌旗、多伦等具备自备电厂的地区开展可再生能源替代工程，新增装机规模47.5万千瓦。</w:t>
            </w:r>
          </w:p>
          <w:p>
            <w:pPr>
              <w:spacing w:line="240" w:lineRule="auto"/>
              <w:ind w:firstLine="0" w:firstLineChars="0"/>
              <w:rPr>
                <w:rFonts w:cs="Times New Roman"/>
                <w:sz w:val="24"/>
                <w:szCs w:val="24"/>
                <w:u w:val="none"/>
              </w:rPr>
            </w:pPr>
            <w:r>
              <w:rPr>
                <w:rFonts w:hint="eastAsia" w:cs="Times New Roman"/>
                <w:b/>
                <w:bCs/>
                <w:sz w:val="24"/>
                <w:szCs w:val="24"/>
                <w:u w:val="none"/>
              </w:rPr>
              <w:t>②风光制氢一体化项目。</w:t>
            </w:r>
            <w:r>
              <w:rPr>
                <w:rFonts w:hint="eastAsia" w:cs="Times New Roman"/>
                <w:sz w:val="24"/>
                <w:szCs w:val="24"/>
                <w:u w:val="none"/>
              </w:rPr>
              <w:t>在多伦县、西乌旗、白旗等地优先开展一批“风光储氢”、“源网荷储氢”等制氢项目，总装机规模在600万千瓦左右。</w:t>
            </w:r>
          </w:p>
          <w:p>
            <w:pPr>
              <w:spacing w:line="240" w:lineRule="auto"/>
              <w:ind w:firstLine="0" w:firstLineChars="0"/>
              <w:rPr>
                <w:rFonts w:cs="Times New Roman"/>
                <w:sz w:val="24"/>
                <w:szCs w:val="24"/>
                <w:u w:val="none"/>
              </w:rPr>
            </w:pPr>
            <w:r>
              <w:rPr>
                <w:rFonts w:hint="eastAsia" w:cs="Times New Roman"/>
                <w:b/>
                <w:bCs/>
                <w:sz w:val="24"/>
                <w:szCs w:val="24"/>
                <w:u w:val="none"/>
              </w:rPr>
              <w:t>③工业园区绿色供电项目。</w:t>
            </w:r>
            <w:r>
              <w:rPr>
                <w:rFonts w:hint="eastAsia" w:cs="Times New Roman"/>
                <w:sz w:val="24"/>
                <w:szCs w:val="24"/>
                <w:u w:val="none"/>
              </w:rPr>
              <w:t>在锡林郭勒经济技术开发区，白音华、多伦、苏尼特经济开发区，锡林郭勒承接产业开发区等园区及其所属13个区块开展工业园区绿色供电项目，总规模在500万千瓦左右。</w:t>
            </w:r>
          </w:p>
          <w:p>
            <w:pPr>
              <w:spacing w:line="240" w:lineRule="auto"/>
              <w:ind w:firstLine="0" w:firstLineChars="0"/>
              <w:rPr>
                <w:rFonts w:cs="Times New Roman"/>
                <w:sz w:val="24"/>
                <w:szCs w:val="24"/>
              </w:rPr>
            </w:pPr>
            <w:r>
              <w:rPr>
                <w:rFonts w:hint="eastAsia" w:cs="Times New Roman"/>
                <w:b/>
                <w:bCs/>
                <w:sz w:val="24"/>
                <w:szCs w:val="24"/>
              </w:rPr>
              <w:t>④源网荷储一体化项目。</w:t>
            </w:r>
            <w:r>
              <w:rPr>
                <w:rFonts w:hint="eastAsia" w:cs="Times New Roman"/>
                <w:sz w:val="24"/>
                <w:szCs w:val="24"/>
              </w:rPr>
              <w:t>在东苏旗、西苏旗、西乌旗、太旗、多伦县等具备新增负荷的地区建设源网荷储一体化项目，重点结合锂电池负极材料、现代煤化工等产业，总规模在300万千瓦左右。</w:t>
            </w:r>
          </w:p>
          <w:p>
            <w:pPr>
              <w:spacing w:line="240" w:lineRule="auto"/>
              <w:ind w:firstLine="0" w:firstLineChars="0"/>
              <w:rPr>
                <w:rFonts w:cs="Times New Roman"/>
                <w:sz w:val="24"/>
                <w:szCs w:val="24"/>
              </w:rPr>
            </w:pPr>
            <w:r>
              <w:rPr>
                <w:rFonts w:hint="eastAsia" w:cs="Times New Roman"/>
                <w:b/>
                <w:bCs/>
                <w:sz w:val="24"/>
                <w:szCs w:val="24"/>
              </w:rPr>
              <w:t>⑤全额自发自用项目。</w:t>
            </w:r>
            <w:r>
              <w:rPr>
                <w:rFonts w:hint="eastAsia" w:cs="Times New Roman"/>
                <w:sz w:val="24"/>
                <w:szCs w:val="24"/>
              </w:rPr>
              <w:t>在西乌旗、阿旗、锡市等地区结合火电厂用电替代开展全额自发自用项目，总规模在100万千瓦左右。</w:t>
            </w:r>
          </w:p>
          <w:p>
            <w:pPr>
              <w:spacing w:line="240" w:lineRule="auto"/>
              <w:ind w:firstLine="0" w:firstLineChars="0"/>
              <w:rPr>
                <w:rFonts w:cs="Times New Roman"/>
                <w:sz w:val="24"/>
                <w:szCs w:val="24"/>
              </w:rPr>
            </w:pPr>
            <w:r>
              <w:rPr>
                <w:rFonts w:hint="eastAsia" w:cs="Times New Roman"/>
                <w:b/>
                <w:bCs/>
                <w:sz w:val="24"/>
                <w:szCs w:val="24"/>
              </w:rPr>
              <w:t>⑥火电灵活性改造项目。</w:t>
            </w:r>
            <w:r>
              <w:rPr>
                <w:rFonts w:hint="eastAsia" w:cs="Times New Roman"/>
                <w:sz w:val="24"/>
                <w:szCs w:val="24"/>
              </w:rPr>
              <w:t>结合盟内现有火电机组，积极开展灵活性改造，总规模在</w:t>
            </w:r>
            <w:r>
              <w:rPr>
                <w:rFonts w:cs="Times New Roman"/>
                <w:sz w:val="24"/>
                <w:szCs w:val="24"/>
              </w:rPr>
              <w:t>100</w:t>
            </w:r>
            <w:r>
              <w:rPr>
                <w:rFonts w:hint="eastAsia" w:cs="Times New Roman"/>
                <w:sz w:val="24"/>
                <w:szCs w:val="24"/>
              </w:rPr>
              <w:t>万千瓦左右。</w:t>
            </w:r>
          </w:p>
          <w:p>
            <w:pPr>
              <w:spacing w:line="240" w:lineRule="auto"/>
              <w:ind w:firstLine="0" w:firstLineChars="0"/>
              <w:rPr>
                <w:rFonts w:cs="Times New Roman"/>
                <w:sz w:val="24"/>
                <w:szCs w:val="24"/>
              </w:rPr>
            </w:pPr>
            <w:r>
              <w:rPr>
                <w:rFonts w:hint="eastAsia" w:cs="Times New Roman"/>
                <w:b/>
                <w:bCs/>
                <w:sz w:val="24"/>
                <w:szCs w:val="24"/>
              </w:rPr>
              <w:t>⑦可再生能源微电网项目。</w:t>
            </w:r>
            <w:r>
              <w:rPr>
                <w:rFonts w:hint="eastAsia" w:cs="Times New Roman"/>
                <w:sz w:val="24"/>
                <w:szCs w:val="24"/>
              </w:rPr>
              <w:t>根据负荷项目推进情况，尽快启动西苏二号集群剩余规模。并以此为模板，启动其他集群建设。</w:t>
            </w:r>
          </w:p>
        </w:tc>
      </w:tr>
    </w:tbl>
    <w:p>
      <w:pPr>
        <w:pStyle w:val="5"/>
        <w:numPr>
          <w:ilvl w:val="1"/>
          <w:numId w:val="0"/>
        </w:numPr>
        <w:spacing w:line="580" w:lineRule="exact"/>
        <w:ind w:firstLine="600" w:firstLineChars="200"/>
        <w:rPr>
          <w:rFonts w:cs="Times New Roman"/>
        </w:rPr>
      </w:pPr>
      <w:bookmarkStart w:id="38" w:name="_Toc98446928"/>
      <w:bookmarkEnd w:id="38"/>
      <w:bookmarkStart w:id="39" w:name="_Toc98139828"/>
      <w:bookmarkEnd w:id="39"/>
      <w:bookmarkStart w:id="40" w:name="_Toc98101175"/>
      <w:bookmarkEnd w:id="40"/>
      <w:bookmarkStart w:id="41" w:name="_Toc98314678"/>
      <w:bookmarkEnd w:id="41"/>
      <w:bookmarkStart w:id="42" w:name="_Toc98139837"/>
      <w:bookmarkEnd w:id="42"/>
      <w:bookmarkStart w:id="43" w:name="_Toc98101166"/>
      <w:bookmarkEnd w:id="43"/>
      <w:bookmarkStart w:id="44" w:name="_Toc113540771"/>
      <w:r>
        <w:rPr>
          <w:rFonts w:hint="eastAsia" w:cs="Times New Roman"/>
        </w:rPr>
        <w:t>（三）统筹实施保障性并网新能源项目</w:t>
      </w:r>
      <w:bookmarkEnd w:id="44"/>
    </w:p>
    <w:p>
      <w:pPr>
        <w:pStyle w:val="40"/>
        <w:spacing w:line="580" w:lineRule="exact"/>
        <w:ind w:firstLine="640"/>
        <w:rPr>
          <w:rFonts w:eastAsia="仿宋"/>
          <w:sz w:val="32"/>
          <w:szCs w:val="32"/>
        </w:rPr>
      </w:pPr>
      <w:r>
        <w:rPr>
          <w:rFonts w:hint="eastAsia" w:eastAsia="仿宋"/>
          <w:sz w:val="32"/>
          <w:szCs w:val="32"/>
        </w:rPr>
        <w:t>“十四五”期间能源供给能力和质量继续提升，新能源发电量占比继续提高，电网保障消纳新能源能力继续完善。锡林郭勒盟在“十四五”期间将继续统筹考虑地区非水电可再生能源电力消纳责任权重和地区经济社会高质量发展需要，将保障性并网项目重点用于支持带动当地产业经济，拉动地方产业提升，通过引入不同类型产业投资实现多元化发展新局面。</w:t>
      </w:r>
    </w:p>
    <w:p>
      <w:pPr>
        <w:pStyle w:val="40"/>
        <w:spacing w:line="580" w:lineRule="exact"/>
        <w:ind w:firstLine="643"/>
        <w:rPr>
          <w:rFonts w:eastAsia="仿宋"/>
          <w:sz w:val="32"/>
          <w:szCs w:val="32"/>
        </w:rPr>
      </w:pPr>
      <w:r>
        <w:rPr>
          <w:rFonts w:hint="eastAsia" w:eastAsia="仿宋"/>
          <w:b/>
          <w:bCs/>
          <w:sz w:val="32"/>
          <w:szCs w:val="32"/>
        </w:rPr>
        <w:t>1.积极推广光伏生态修复工程。</w:t>
      </w:r>
      <w:r>
        <w:rPr>
          <w:rFonts w:hint="eastAsia" w:eastAsia="仿宋"/>
          <w:sz w:val="32"/>
          <w:szCs w:val="32"/>
        </w:rPr>
        <w:t>落实建设生态屏障、绿水青山就是金山银山要求，</w:t>
      </w:r>
      <w:r>
        <w:rPr>
          <w:rFonts w:eastAsia="仿宋"/>
          <w:sz w:val="32"/>
          <w:szCs w:val="32"/>
        </w:rPr>
        <w:t>结合区域自然条件、资源禀赋、经济水平、发展基础，以生态环境友好和资源循环利用为导向，</w:t>
      </w:r>
      <w:r>
        <w:rPr>
          <w:rFonts w:hint="eastAsia" w:eastAsia="仿宋"/>
          <w:sz w:val="32"/>
          <w:szCs w:val="32"/>
        </w:rPr>
        <w:t>在浑善达克沙地和西部荒漠化地区加快推进生态友好、经济可行、体现国家战略的光伏生态修复试点工程。通过矿区修复措施实现光伏发电与生态协同发展，充分利用锡林浩特市、苏尼特左旗等地区采煤沉陷区、露天煤矿排土场、灰场等闲置土地，在地质条件稳定、接入条件良好的区域，布局一批光伏矿区修复项目。积极推广农光互补、牧光互补项目。</w:t>
      </w:r>
    </w:p>
    <w:p>
      <w:pPr>
        <w:pStyle w:val="40"/>
        <w:spacing w:line="580" w:lineRule="exact"/>
        <w:ind w:firstLine="643"/>
        <w:rPr>
          <w:rFonts w:eastAsia="仿宋"/>
          <w:sz w:val="32"/>
          <w:szCs w:val="32"/>
        </w:rPr>
      </w:pPr>
      <w:r>
        <w:rPr>
          <w:rFonts w:hint="eastAsia" w:eastAsia="仿宋"/>
          <w:b/>
          <w:bCs/>
          <w:sz w:val="32"/>
          <w:szCs w:val="32"/>
        </w:rPr>
        <w:t>2.全面发展分布式新能源。</w:t>
      </w:r>
      <w:r>
        <w:rPr>
          <w:rFonts w:eastAsia="仿宋"/>
          <w:sz w:val="32"/>
          <w:szCs w:val="32"/>
        </w:rPr>
        <w:t>遵循因地制宜、清洁高效、分布布局、就近利用的原则</w:t>
      </w:r>
      <w:r>
        <w:rPr>
          <w:rFonts w:hint="eastAsia" w:eastAsia="仿宋"/>
          <w:sz w:val="32"/>
          <w:szCs w:val="32"/>
        </w:rPr>
        <w:t>，推进分散式风电、分布式光伏多场景融合发展。落实自治区分散式风电、分布式光伏项目三年行动计划，优先支持生态综合治理项目、国家试点示范及乡村振兴等项目。重点推进农村能源转型与乡村振兴融合发展，进一步完善农村能源基础设施，在农村电网末端及偏远地区，强化分布式绿色电源支撑作用，提升边远农牧户用能质量和用能水平。在具备条件的农村牧区，充分利用牧光互补、农光互补等形式建设分布式光伏，建设光伏新村助力乡村振兴。有序组织整县（旗、区）屋顶分布式光伏开发，支持户用光伏建设，积极推动分布式光伏与储能、微电网等融合发展。</w:t>
      </w:r>
    </w:p>
    <w:p>
      <w:pPr>
        <w:pStyle w:val="8"/>
        <w:keepNext/>
        <w:ind w:firstLine="1960" w:firstLineChars="700"/>
        <w:jc w:val="both"/>
        <w:rPr>
          <w:rFonts w:hint="eastAsia" w:cs="Times New Roman"/>
          <w:sz w:val="28"/>
          <w:szCs w:val="28"/>
        </w:rPr>
      </w:pPr>
    </w:p>
    <w:p>
      <w:pPr>
        <w:pStyle w:val="8"/>
        <w:keepNext/>
        <w:ind w:firstLine="1960" w:firstLineChars="700"/>
        <w:jc w:val="both"/>
        <w:rPr>
          <w:rFonts w:cs="Times New Roman"/>
          <w:sz w:val="28"/>
          <w:szCs w:val="28"/>
        </w:rPr>
      </w:pPr>
      <w:r>
        <w:rPr>
          <w:rFonts w:hint="eastAsia" w:cs="Times New Roman"/>
          <w:sz w:val="28"/>
          <w:szCs w:val="28"/>
        </w:rPr>
        <w:t>专栏5</w:t>
      </w:r>
      <w:r>
        <w:rPr>
          <w:rFonts w:cs="Times New Roman"/>
          <w:sz w:val="28"/>
          <w:szCs w:val="28"/>
        </w:rPr>
        <w:t xml:space="preserve">  </w:t>
      </w:r>
      <w:r>
        <w:rPr>
          <w:rFonts w:hint="eastAsia" w:cs="Times New Roman"/>
          <w:sz w:val="28"/>
          <w:szCs w:val="28"/>
        </w:rPr>
        <w:t>保障性并网重点电源项目</w:t>
      </w:r>
    </w:p>
    <w:tbl>
      <w:tblPr>
        <w:tblStyle w:val="19"/>
        <w:tblW w:w="8505"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50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sz w:val="24"/>
                <w:szCs w:val="24"/>
              </w:rPr>
            </w:pPr>
            <w:r>
              <w:rPr>
                <w:rFonts w:hint="eastAsia" w:cs="Times New Roman"/>
                <w:b/>
                <w:bCs/>
                <w:sz w:val="24"/>
                <w:szCs w:val="24"/>
              </w:rPr>
              <w:t>光伏</w:t>
            </w:r>
            <w:r>
              <w:rPr>
                <w:rFonts w:cs="Times New Roman"/>
                <w:b/>
                <w:bCs/>
                <w:sz w:val="24"/>
                <w:szCs w:val="24"/>
              </w:rPr>
              <w:t>+</w:t>
            </w:r>
            <w:r>
              <w:rPr>
                <w:rFonts w:hint="eastAsia" w:cs="Times New Roman"/>
                <w:b/>
                <w:bCs/>
                <w:sz w:val="24"/>
                <w:szCs w:val="24"/>
              </w:rPr>
              <w:t>生态修复工程。</w:t>
            </w:r>
            <w:r>
              <w:rPr>
                <w:rFonts w:hint="eastAsia" w:cs="Times New Roman"/>
                <w:sz w:val="24"/>
                <w:szCs w:val="24"/>
              </w:rPr>
              <w:t>在浑善达克、乌珠穆沁沙地开展沙地生态治理项目。</w:t>
            </w:r>
          </w:p>
          <w:p>
            <w:pPr>
              <w:spacing w:line="240" w:lineRule="auto"/>
              <w:ind w:firstLine="0" w:firstLineChars="0"/>
              <w:rPr>
                <w:rFonts w:cs="Times New Roman"/>
                <w:sz w:val="24"/>
                <w:szCs w:val="24"/>
              </w:rPr>
            </w:pPr>
            <w:r>
              <w:rPr>
                <w:rFonts w:hint="eastAsia" w:cs="Times New Roman"/>
                <w:b/>
                <w:sz w:val="24"/>
                <w:szCs w:val="24"/>
              </w:rPr>
              <w:t>光伏</w:t>
            </w:r>
            <w:r>
              <w:rPr>
                <w:rFonts w:cs="Times New Roman"/>
                <w:b/>
                <w:sz w:val="24"/>
                <w:szCs w:val="24"/>
              </w:rPr>
              <w:t>+</w:t>
            </w:r>
            <w:r>
              <w:rPr>
                <w:rFonts w:hint="eastAsia" w:cs="Times New Roman"/>
                <w:b/>
                <w:sz w:val="24"/>
                <w:szCs w:val="24"/>
              </w:rPr>
              <w:t>矿区修复试点工程。</w:t>
            </w:r>
            <w:r>
              <w:rPr>
                <w:rFonts w:cs="Times New Roman"/>
                <w:sz w:val="24"/>
                <w:szCs w:val="24"/>
              </w:rPr>
              <w:t>锡林浩特市胜利矿矿区</w:t>
            </w:r>
            <w:r>
              <w:rPr>
                <w:rFonts w:hint="eastAsia" w:cs="Times New Roman"/>
                <w:sz w:val="24"/>
                <w:szCs w:val="24"/>
              </w:rPr>
              <w:t>、西乌旗白音华矿区、</w:t>
            </w:r>
            <w:r>
              <w:rPr>
                <w:rFonts w:cs="Times New Roman"/>
                <w:sz w:val="24"/>
                <w:szCs w:val="24"/>
              </w:rPr>
              <w:t>苏尼特左旗芒来露天</w:t>
            </w:r>
            <w:r>
              <w:rPr>
                <w:rFonts w:hint="eastAsia" w:cs="Times New Roman"/>
                <w:sz w:val="24"/>
                <w:szCs w:val="24"/>
              </w:rPr>
              <w:t>煤</w:t>
            </w:r>
            <w:r>
              <w:rPr>
                <w:rFonts w:cs="Times New Roman"/>
                <w:sz w:val="24"/>
                <w:szCs w:val="24"/>
              </w:rPr>
              <w:t>矿矿区等</w:t>
            </w:r>
            <w:r>
              <w:rPr>
                <w:rFonts w:hint="eastAsia" w:cs="Times New Roman"/>
                <w:sz w:val="24"/>
                <w:szCs w:val="24"/>
              </w:rPr>
              <w:t>布局一批光伏</w:t>
            </w:r>
            <w:r>
              <w:rPr>
                <w:rFonts w:cs="Times New Roman"/>
                <w:sz w:val="24"/>
                <w:szCs w:val="24"/>
              </w:rPr>
              <w:t>+</w:t>
            </w:r>
            <w:r>
              <w:rPr>
                <w:rFonts w:hint="eastAsia" w:cs="Times New Roman"/>
                <w:sz w:val="24"/>
                <w:szCs w:val="24"/>
              </w:rPr>
              <w:t>矿区修复项目，新增装机规模5</w:t>
            </w:r>
            <w:r>
              <w:rPr>
                <w:rFonts w:cs="Times New Roman"/>
                <w:sz w:val="24"/>
                <w:szCs w:val="24"/>
              </w:rPr>
              <w:t>0</w:t>
            </w:r>
            <w:r>
              <w:rPr>
                <w:rFonts w:hint="eastAsia" w:cs="Times New Roman"/>
                <w:sz w:val="24"/>
                <w:szCs w:val="24"/>
              </w:rPr>
              <w:t>万千瓦</w:t>
            </w:r>
            <w:r>
              <w:rPr>
                <w:rFonts w:cs="Times New Roman"/>
                <w:sz w:val="24"/>
                <w:szCs w:val="24"/>
              </w:rPr>
              <w:t>。</w:t>
            </w:r>
          </w:p>
          <w:p>
            <w:pPr>
              <w:spacing w:line="240" w:lineRule="auto"/>
              <w:ind w:firstLine="0" w:firstLineChars="0"/>
              <w:rPr>
                <w:rFonts w:cs="Times New Roman"/>
                <w:b/>
                <w:bCs/>
                <w:sz w:val="24"/>
                <w:szCs w:val="24"/>
              </w:rPr>
            </w:pPr>
            <w:r>
              <w:rPr>
                <w:rFonts w:hint="eastAsia" w:cs="Times New Roman"/>
                <w:b/>
                <w:bCs/>
                <w:sz w:val="24"/>
                <w:szCs w:val="24"/>
              </w:rPr>
              <w:t>分散式风电和分布式光伏。</w:t>
            </w:r>
            <w:r>
              <w:rPr>
                <w:rFonts w:hint="eastAsia" w:cs="Times New Roman"/>
                <w:sz w:val="24"/>
                <w:szCs w:val="24"/>
              </w:rPr>
              <w:t>落实自治区三年行动计划，新增装机规模超过5</w:t>
            </w:r>
            <w:r>
              <w:rPr>
                <w:rFonts w:cs="Times New Roman"/>
                <w:sz w:val="24"/>
                <w:szCs w:val="24"/>
              </w:rPr>
              <w:t>0</w:t>
            </w:r>
            <w:r>
              <w:rPr>
                <w:rFonts w:hint="eastAsia" w:cs="Times New Roman"/>
                <w:sz w:val="24"/>
                <w:szCs w:val="24"/>
              </w:rPr>
              <w:t>万千瓦。</w:t>
            </w:r>
          </w:p>
        </w:tc>
      </w:tr>
    </w:tbl>
    <w:p>
      <w:pPr>
        <w:pStyle w:val="5"/>
        <w:numPr>
          <w:ilvl w:val="1"/>
          <w:numId w:val="0"/>
        </w:numPr>
        <w:tabs>
          <w:tab w:val="left" w:pos="360"/>
        </w:tabs>
        <w:spacing w:line="580" w:lineRule="exact"/>
        <w:ind w:firstLine="600" w:firstLineChars="200"/>
        <w:rPr>
          <w:rFonts w:cs="Times New Roman"/>
        </w:rPr>
      </w:pPr>
      <w:bookmarkStart w:id="45" w:name="_Toc98446930"/>
      <w:bookmarkEnd w:id="45"/>
      <w:bookmarkStart w:id="46" w:name="_Toc113540772"/>
      <w:r>
        <w:rPr>
          <w:rFonts w:hint="eastAsia" w:cs="Times New Roman"/>
        </w:rPr>
        <w:t>（四）因地制宜分步推动其他新型能源开发利用</w:t>
      </w:r>
      <w:bookmarkEnd w:id="46"/>
    </w:p>
    <w:p>
      <w:pPr>
        <w:pStyle w:val="40"/>
        <w:spacing w:line="580" w:lineRule="exact"/>
        <w:ind w:firstLine="640"/>
        <w:rPr>
          <w:rFonts w:eastAsia="仿宋"/>
          <w:sz w:val="32"/>
          <w:szCs w:val="32"/>
        </w:rPr>
      </w:pPr>
      <w:r>
        <w:rPr>
          <w:rFonts w:hint="eastAsia" w:eastAsia="仿宋"/>
          <w:sz w:val="32"/>
          <w:szCs w:val="32"/>
        </w:rPr>
        <w:t>结合城镇生活垃圾处置需要，围绕垃圾无害化处理与资源化利用，鼓励重点城镇开展垃圾焚烧发电项目建设。以锡林浩特市垃圾焚烧发电项目（1×9兆瓦）为突破口，探索生活垃圾焚烧发电利用模式。</w:t>
      </w:r>
    </w:p>
    <w:p>
      <w:pPr>
        <w:pStyle w:val="40"/>
        <w:spacing w:line="580" w:lineRule="exact"/>
        <w:ind w:firstLine="640"/>
        <w:rPr>
          <w:rFonts w:eastAsia="仿宋"/>
          <w:sz w:val="32"/>
          <w:szCs w:val="32"/>
        </w:rPr>
      </w:pPr>
      <w:r>
        <w:rPr>
          <w:rFonts w:hint="eastAsia" w:eastAsia="仿宋"/>
          <w:sz w:val="32"/>
          <w:szCs w:val="32"/>
        </w:rPr>
        <w:t>因地制宜加快推进生物质热电联产开发利用，重点在太仆寺旗、多伦县等开展生物质能应用示范项目建设。积极与国家及自治区相关部门、企业沟通，适时开展全盟范围内地热资源勘查，全面分析区域地热能资源分布及赋存情况，研究适合当地浅层地温能、深层干热岩地热能开发利用方式，为尽快实现地热能资源商业性开发奠定基础。</w:t>
      </w:r>
      <w:bookmarkStart w:id="47" w:name="_Toc113482673"/>
      <w:bookmarkEnd w:id="47"/>
      <w:bookmarkStart w:id="48" w:name="_Toc113482702"/>
      <w:bookmarkEnd w:id="48"/>
      <w:bookmarkStart w:id="49" w:name="_Toc113482690"/>
      <w:bookmarkEnd w:id="49"/>
      <w:bookmarkStart w:id="50" w:name="_Toc113291013"/>
      <w:bookmarkEnd w:id="50"/>
      <w:bookmarkStart w:id="51" w:name="_Toc113302980"/>
      <w:bookmarkEnd w:id="51"/>
      <w:bookmarkStart w:id="52" w:name="_Toc113482674"/>
      <w:bookmarkEnd w:id="52"/>
      <w:bookmarkStart w:id="53" w:name="_Toc113291012"/>
      <w:bookmarkEnd w:id="53"/>
      <w:bookmarkStart w:id="54" w:name="_Toc113482672"/>
      <w:bookmarkEnd w:id="54"/>
      <w:bookmarkStart w:id="55" w:name="_Toc113482688"/>
      <w:bookmarkEnd w:id="55"/>
      <w:bookmarkStart w:id="56" w:name="_Toc113482689"/>
      <w:bookmarkEnd w:id="56"/>
      <w:bookmarkStart w:id="57" w:name="_Toc113482675"/>
      <w:bookmarkEnd w:id="57"/>
      <w:bookmarkStart w:id="58" w:name="_Toc113482687"/>
      <w:bookmarkEnd w:id="58"/>
      <w:bookmarkStart w:id="59" w:name="_Toc113482701"/>
      <w:bookmarkEnd w:id="59"/>
      <w:bookmarkStart w:id="60" w:name="_Toc113482700"/>
      <w:bookmarkEnd w:id="60"/>
      <w:bookmarkStart w:id="61" w:name="_Toc113302979"/>
      <w:bookmarkEnd w:id="61"/>
      <w:bookmarkStart w:id="62" w:name="_Toc113540773"/>
    </w:p>
    <w:p>
      <w:pPr>
        <w:pStyle w:val="40"/>
        <w:spacing w:line="580" w:lineRule="exact"/>
        <w:ind w:firstLine="720"/>
        <w:rPr>
          <w:rFonts w:ascii="黑体" w:hAnsi="黑体" w:eastAsia="黑体" w:cs="黑体"/>
          <w:sz w:val="36"/>
          <w:szCs w:val="36"/>
        </w:rPr>
      </w:pPr>
      <w:r>
        <w:rPr>
          <w:rFonts w:hint="eastAsia" w:ascii="黑体" w:hAnsi="黑体" w:eastAsia="黑体" w:cs="黑体"/>
          <w:sz w:val="36"/>
          <w:szCs w:val="36"/>
        </w:rPr>
        <w:t>四、多举措提升新能源接入消纳水平</w:t>
      </w:r>
      <w:bookmarkEnd w:id="62"/>
      <w:bookmarkStart w:id="63" w:name="_Toc113291016"/>
      <w:bookmarkEnd w:id="63"/>
      <w:bookmarkStart w:id="64" w:name="_Toc113302983"/>
      <w:bookmarkEnd w:id="64"/>
      <w:bookmarkStart w:id="65" w:name="_Toc113540774"/>
    </w:p>
    <w:p>
      <w:pPr>
        <w:pStyle w:val="40"/>
        <w:spacing w:line="580" w:lineRule="exact"/>
        <w:rPr>
          <w:rFonts w:ascii="黑体" w:hAnsi="黑体" w:eastAsia="黑体" w:cs="黑体"/>
        </w:rPr>
      </w:pPr>
      <w:r>
        <w:rPr>
          <w:rFonts w:hint="eastAsia" w:ascii="黑体" w:hAnsi="黑体" w:eastAsia="黑体" w:cs="黑体"/>
        </w:rPr>
        <w:t>（一）积极实施特高压外送通道工程</w:t>
      </w:r>
      <w:bookmarkEnd w:id="65"/>
    </w:p>
    <w:p>
      <w:pPr>
        <w:spacing w:line="580" w:lineRule="exact"/>
        <w:ind w:firstLine="640"/>
        <w:rPr>
          <w:rFonts w:cs="Times New Roman"/>
          <w:u w:val="none"/>
        </w:rPr>
      </w:pPr>
      <w:r>
        <w:rPr>
          <w:rFonts w:hint="eastAsia" w:cs="Times New Roman"/>
        </w:rPr>
        <w:t>严格落实国家外送输电通道可再生能源电量比例原则上不低于50%的相关要求，努力提高输电通道中新能源电量占比，提高特高压输电通道利用率，稳步有序推进外送通道建设，确保外送消纳</w:t>
      </w:r>
      <w:r>
        <w:rPr>
          <w:rFonts w:hint="eastAsia" w:cs="Times New Roman"/>
          <w:u w:val="none"/>
        </w:rPr>
        <w:t>。重点推进张北</w:t>
      </w:r>
      <w:r>
        <w:rPr>
          <w:rFonts w:cs="Times New Roman"/>
          <w:u w:val="none"/>
        </w:rPr>
        <w:t>~</w:t>
      </w:r>
      <w:r>
        <w:rPr>
          <w:rFonts w:hint="eastAsia" w:cs="Times New Roman"/>
          <w:u w:val="none"/>
        </w:rPr>
        <w:t>胜利特高压外送通道建设，实施多伦、胜利特高压站，锡市、阿旗、东苏、蓝旗、白旗、上都电厂等500千伏汇集站实施主变扩容工程。通过实施上述工程，加之张北~胜利通道补强、风电电源侧加装调相机、直流换流站内加装可控避雷器等技术手段，交、直流送出通道能力将从目前的5</w:t>
      </w:r>
      <w:r>
        <w:rPr>
          <w:rFonts w:cs="Times New Roman"/>
          <w:u w:val="none"/>
        </w:rPr>
        <w:t>00</w:t>
      </w:r>
      <w:r>
        <w:rPr>
          <w:rFonts w:hint="eastAsia" w:cs="Times New Roman"/>
          <w:u w:val="none"/>
        </w:rPr>
        <w:t>万千瓦和6</w:t>
      </w:r>
      <w:r>
        <w:rPr>
          <w:rFonts w:cs="Times New Roman"/>
          <w:u w:val="none"/>
        </w:rPr>
        <w:t>00</w:t>
      </w:r>
      <w:r>
        <w:rPr>
          <w:rFonts w:hint="eastAsia" w:cs="Times New Roman"/>
          <w:u w:val="none"/>
        </w:rPr>
        <w:t>万千瓦分别提高到550万千瓦和1000万千瓦。启动白旗-北京南柔性直流、白旗-华北网交流通道，锡盟西部-河南郑州特高压通道研究论证工作，推动尽快纳规并组织实施。</w:t>
      </w:r>
    </w:p>
    <w:p>
      <w:pPr>
        <w:pStyle w:val="5"/>
        <w:numPr>
          <w:ilvl w:val="1"/>
          <w:numId w:val="0"/>
        </w:numPr>
        <w:spacing w:line="580" w:lineRule="exact"/>
        <w:ind w:firstLine="600" w:firstLineChars="200"/>
        <w:rPr>
          <w:rFonts w:cs="Times New Roman"/>
        </w:rPr>
      </w:pPr>
      <w:bookmarkStart w:id="66" w:name="_Toc113540775"/>
      <w:r>
        <w:rPr>
          <w:rFonts w:hint="eastAsia" w:cs="Times New Roman"/>
        </w:rPr>
        <w:t>（二）持续强化5</w:t>
      </w:r>
      <w:r>
        <w:rPr>
          <w:rFonts w:cs="Times New Roman"/>
        </w:rPr>
        <w:t>00</w:t>
      </w:r>
      <w:r>
        <w:rPr>
          <w:rFonts w:hint="eastAsia" w:cs="Times New Roman"/>
        </w:rPr>
        <w:t>千伏区域网架</w:t>
      </w:r>
      <w:bookmarkEnd w:id="66"/>
    </w:p>
    <w:p>
      <w:pPr>
        <w:spacing w:line="580" w:lineRule="exact"/>
        <w:ind w:firstLine="640"/>
        <w:rPr>
          <w:rFonts w:cs="Times New Roman"/>
        </w:rPr>
      </w:pPr>
      <w:r>
        <w:rPr>
          <w:rFonts w:hint="eastAsia" w:cs="Times New Roman"/>
        </w:rPr>
        <w:t>锡林郭勒盟西部地区5</w:t>
      </w:r>
      <w:r>
        <w:rPr>
          <w:rFonts w:cs="Times New Roman"/>
        </w:rPr>
        <w:t>00</w:t>
      </w:r>
      <w:r>
        <w:rPr>
          <w:rFonts w:hint="eastAsia" w:cs="Times New Roman"/>
        </w:rPr>
        <w:t>千伏主网架规划建设锡西~东苏~塔拉输电工程及配套线路</w:t>
      </w:r>
      <w:r>
        <w:rPr>
          <w:rFonts w:hint="eastAsia" w:cs="Times New Roman"/>
          <w:u w:val="none"/>
        </w:rPr>
        <w:t>。锡西-东苏线路建成后，地区新增新能源消纳能力2</w:t>
      </w:r>
      <w:r>
        <w:rPr>
          <w:rFonts w:cs="Times New Roman"/>
          <w:u w:val="none"/>
        </w:rPr>
        <w:t>40</w:t>
      </w:r>
      <w:r>
        <w:rPr>
          <w:rFonts w:hint="eastAsia" w:cs="Times New Roman"/>
          <w:u w:val="none"/>
        </w:rPr>
        <w:t>万千瓦；锡西-东苏-塔拉全线贯通后，考虑为实际运行预留一定裕度，地区双通道送电能力将达到34</w:t>
      </w:r>
      <w:r>
        <w:rPr>
          <w:rFonts w:cs="Times New Roman"/>
          <w:u w:val="none"/>
        </w:rPr>
        <w:t>0</w:t>
      </w:r>
      <w:r>
        <w:rPr>
          <w:rFonts w:hint="eastAsia" w:cs="Times New Roman"/>
          <w:u w:val="none"/>
        </w:rPr>
        <w:t>万千瓦。网架形成汗海～德义~白音高勒～灰腾梁～塔拉～东苏、锡西～察右中的环式供电。锡林郭</w:t>
      </w:r>
      <w:r>
        <w:rPr>
          <w:rFonts w:hint="eastAsia" w:cs="Times New Roman"/>
        </w:rPr>
        <w:t>勒地区电网将通过锡西～察右中双回和汗白双回500kV线路与乌兰察布电网相连，将苏尼特左旗、苏尼特右旗、二连浩特市新能源电力送出至西部负荷集中区消纳。开展白旗-多伦500千伏新能源输电工程论证工作，为多伦、太旗等用地紧张地区开展绿电制氢、园区绿色供电、源网荷储等项目提供支撑。</w:t>
      </w:r>
    </w:p>
    <w:p>
      <w:pPr>
        <w:pStyle w:val="5"/>
        <w:numPr>
          <w:ilvl w:val="1"/>
          <w:numId w:val="0"/>
        </w:numPr>
        <w:spacing w:line="580" w:lineRule="exact"/>
        <w:ind w:firstLine="600" w:firstLineChars="200"/>
        <w:rPr>
          <w:rFonts w:cs="Times New Roman"/>
        </w:rPr>
      </w:pPr>
      <w:bookmarkStart w:id="67" w:name="_Toc113540776"/>
      <w:r>
        <w:rPr>
          <w:rFonts w:hint="eastAsia" w:cs="Times New Roman"/>
        </w:rPr>
        <w:t>（三）积极推进</w:t>
      </w:r>
      <w:r>
        <w:rPr>
          <w:rFonts w:cs="Times New Roman"/>
        </w:rPr>
        <w:t>22</w:t>
      </w:r>
      <w:r>
        <w:rPr>
          <w:rFonts w:hint="eastAsia" w:cs="Times New Roman"/>
        </w:rPr>
        <w:t>0千伏及以下供电骨干</w:t>
      </w:r>
      <w:bookmarkEnd w:id="67"/>
      <w:r>
        <w:rPr>
          <w:rFonts w:hint="eastAsia" w:cs="Times New Roman"/>
        </w:rPr>
        <w:t>网络</w:t>
      </w:r>
    </w:p>
    <w:p>
      <w:pPr>
        <w:spacing w:line="580" w:lineRule="exact"/>
        <w:ind w:firstLine="640"/>
        <w:rPr>
          <w:rFonts w:cs="Times New Roman"/>
        </w:rPr>
      </w:pPr>
      <w:r>
        <w:rPr>
          <w:rFonts w:hint="eastAsia" w:cs="Times New Roman"/>
        </w:rPr>
        <w:t>构筑坚强智能化绿色电网，为园区和重大项目建设提供电网支撑，为推进绿电替代工程奠定基础。紧紧围绕产业园区电力负荷增长特点，完善大规模清洁能源电网接入系统。重视分布式电源的并网接入，促进分布式电源发展。将锡林郭勒220千伏电网划分为锡林郭勒东部电网、锡林郭勒南部电网、锡林郭勒西部电网三部分，以塔拉、宝拉格500千伏变为中心的锡林郭勒东部电网供电区；以锡西500千伏变为中心的锡林郭勒西部供电区；以白音高勒500千伏变为中心的锡林郭勒南部供电区。实施110千伏、35千伏输变电工程，进一步完善电网网架结构，为工业园区、重点项目等提供电力保障。</w:t>
      </w:r>
    </w:p>
    <w:p>
      <w:pPr>
        <w:ind w:firstLine="0" w:firstLineChars="0"/>
        <w:jc w:val="center"/>
        <w:rPr>
          <w:rFonts w:cs="Times New Roman"/>
          <w:sz w:val="28"/>
          <w:szCs w:val="28"/>
        </w:rPr>
      </w:pPr>
      <w:r>
        <w:object>
          <v:shape id="_x0000_i1025" o:spt="75" type="#_x0000_t75" style="height:256.45pt;width:415.35pt;" o:ole="t" filled="f" o:preferrelative="t" stroked="f" coordsize="21600,21600">
            <v:path/>
            <v:fill on="f" focussize="0,0"/>
            <v:stroke on="f" joinstyle="miter"/>
            <v:imagedata r:id="rId15" cropleft="6929f" croptop="1472f" cropright="19446f" cropbottom="15110f" o:title=""/>
            <o:lock v:ext="edit" aspectratio="t"/>
            <w10:wrap type="none"/>
            <w10:anchorlock/>
          </v:shape>
          <o:OLEObject Type="Embed" ProgID="AutoCAD.Drawing.22" ShapeID="_x0000_i1025" DrawAspect="Content" ObjectID="_1468075725" r:id="rId14">
            <o:LockedField>false</o:LockedField>
          </o:OLEObject>
        </w:object>
      </w:r>
      <w:r>
        <w:rPr>
          <w:rFonts w:hint="eastAsia" w:ascii="黑体" w:hAnsi="黑体" w:eastAsia="黑体" w:cs="Times New Roman"/>
          <w:sz w:val="30"/>
          <w:szCs w:val="30"/>
        </w:rPr>
        <w:t xml:space="preserve">图1 </w:t>
      </w:r>
      <w:r>
        <w:rPr>
          <w:rFonts w:ascii="黑体" w:hAnsi="黑体" w:eastAsia="黑体" w:cs="Times New Roman"/>
          <w:sz w:val="30"/>
          <w:szCs w:val="30"/>
        </w:rPr>
        <w:t xml:space="preserve"> </w:t>
      </w:r>
      <w:r>
        <w:rPr>
          <w:rFonts w:hint="eastAsia" w:ascii="黑体" w:hAnsi="黑体" w:eastAsia="黑体" w:cs="Times New Roman"/>
          <w:sz w:val="30"/>
          <w:szCs w:val="30"/>
        </w:rPr>
        <w:t>锡林郭勒盟2</w:t>
      </w:r>
      <w:r>
        <w:rPr>
          <w:rFonts w:ascii="黑体" w:hAnsi="黑体" w:eastAsia="黑体" w:cs="Times New Roman"/>
          <w:sz w:val="30"/>
          <w:szCs w:val="30"/>
        </w:rPr>
        <w:t>025</w:t>
      </w:r>
      <w:r>
        <w:rPr>
          <w:rFonts w:hint="eastAsia" w:ascii="黑体" w:hAnsi="黑体" w:eastAsia="黑体" w:cs="Times New Roman"/>
          <w:sz w:val="30"/>
          <w:szCs w:val="30"/>
        </w:rPr>
        <w:t>年输电网示意图</w:t>
      </w:r>
    </w:p>
    <w:p>
      <w:pPr>
        <w:pStyle w:val="8"/>
        <w:keepNext/>
        <w:ind w:firstLine="560"/>
        <w:rPr>
          <w:rFonts w:cs="Times New Roman"/>
          <w:sz w:val="28"/>
          <w:szCs w:val="28"/>
        </w:rPr>
      </w:pPr>
    </w:p>
    <w:p>
      <w:pPr>
        <w:pStyle w:val="8"/>
        <w:keepNext/>
        <w:jc w:val="both"/>
        <w:rPr>
          <w:rFonts w:cs="Times New Roman"/>
          <w:sz w:val="28"/>
          <w:szCs w:val="28"/>
        </w:rPr>
      </w:pPr>
    </w:p>
    <w:p/>
    <w:p>
      <w:pPr>
        <w:pStyle w:val="8"/>
        <w:keepNext/>
        <w:jc w:val="both"/>
        <w:rPr>
          <w:rFonts w:cs="Times New Roman"/>
          <w:sz w:val="28"/>
          <w:szCs w:val="28"/>
        </w:rPr>
      </w:pPr>
    </w:p>
    <w:p>
      <w:pPr>
        <w:pStyle w:val="8"/>
        <w:keepNext/>
        <w:jc w:val="both"/>
        <w:rPr>
          <w:rFonts w:cs="Times New Roman"/>
          <w:sz w:val="28"/>
          <w:szCs w:val="28"/>
        </w:rPr>
      </w:pPr>
    </w:p>
    <w:p>
      <w:pPr>
        <w:pStyle w:val="8"/>
        <w:keepNext/>
        <w:jc w:val="both"/>
        <w:rPr>
          <w:rFonts w:cs="Times New Roman"/>
          <w:sz w:val="28"/>
          <w:szCs w:val="28"/>
        </w:rPr>
      </w:pPr>
    </w:p>
    <w:p/>
    <w:p>
      <w:pPr>
        <w:pStyle w:val="8"/>
        <w:keepNext/>
        <w:ind w:firstLine="560"/>
        <w:rPr>
          <w:rFonts w:cs="Times New Roman"/>
          <w:sz w:val="28"/>
          <w:szCs w:val="28"/>
        </w:rPr>
      </w:pPr>
      <w:r>
        <w:rPr>
          <w:rFonts w:cs="Times New Roman"/>
          <w:sz w:val="28"/>
          <w:szCs w:val="28"/>
        </w:rPr>
        <w:t>专栏</w:t>
      </w:r>
      <w:r>
        <w:rPr>
          <w:rFonts w:hint="eastAsia" w:cs="Times New Roman"/>
          <w:sz w:val="28"/>
          <w:szCs w:val="28"/>
        </w:rPr>
        <w:t>6</w:t>
      </w:r>
      <w:r>
        <w:rPr>
          <w:rFonts w:cs="Times New Roman"/>
          <w:sz w:val="28"/>
          <w:szCs w:val="28"/>
        </w:rPr>
        <w:t xml:space="preserve">  </w:t>
      </w:r>
      <w:r>
        <w:rPr>
          <w:rFonts w:hint="eastAsia" w:cs="Times New Roman"/>
          <w:sz w:val="28"/>
          <w:szCs w:val="28"/>
        </w:rPr>
        <w:t>重点电力通道项目</w:t>
      </w:r>
    </w:p>
    <w:tbl>
      <w:tblPr>
        <w:tblStyle w:val="19"/>
        <w:tblW w:w="8505"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50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sz w:val="24"/>
                <w:szCs w:val="24"/>
              </w:rPr>
            </w:pPr>
            <w:r>
              <w:rPr>
                <w:rFonts w:cs="Times New Roman"/>
                <w:b/>
                <w:sz w:val="24"/>
                <w:szCs w:val="24"/>
              </w:rPr>
              <w:t xml:space="preserve">01 </w:t>
            </w:r>
            <w:r>
              <w:rPr>
                <w:rFonts w:hint="eastAsia" w:cs="Times New Roman"/>
                <w:b/>
                <w:sz w:val="24"/>
                <w:szCs w:val="24"/>
              </w:rPr>
              <w:t>锡盟特高压外送通道</w:t>
            </w:r>
          </w:p>
          <w:p>
            <w:pPr>
              <w:spacing w:line="240" w:lineRule="auto"/>
              <w:ind w:firstLine="0" w:firstLineChars="0"/>
              <w:rPr>
                <w:rFonts w:cs="Times New Roman"/>
                <w:sz w:val="24"/>
                <w:szCs w:val="24"/>
                <w:u w:val="none"/>
              </w:rPr>
            </w:pPr>
            <w:r>
              <w:rPr>
                <w:rFonts w:hint="eastAsia" w:cs="Times New Roman"/>
                <w:b/>
                <w:bCs/>
                <w:sz w:val="24"/>
                <w:szCs w:val="24"/>
                <w:u w:val="none"/>
              </w:rPr>
              <w:t>①张北</w:t>
            </w:r>
            <w:r>
              <w:rPr>
                <w:rFonts w:cs="Times New Roman"/>
                <w:b/>
                <w:bCs/>
                <w:sz w:val="24"/>
                <w:szCs w:val="24"/>
                <w:u w:val="none"/>
              </w:rPr>
              <w:t>~</w:t>
            </w:r>
            <w:r>
              <w:rPr>
                <w:rFonts w:hint="eastAsia" w:cs="Times New Roman"/>
                <w:b/>
                <w:bCs/>
                <w:sz w:val="24"/>
                <w:szCs w:val="24"/>
                <w:u w:val="none"/>
              </w:rPr>
              <w:t>胜利特高压外送通道。</w:t>
            </w:r>
            <w:r>
              <w:rPr>
                <w:rFonts w:hint="eastAsia" w:cs="Times New Roman"/>
                <w:sz w:val="24"/>
                <w:szCs w:val="24"/>
                <w:u w:val="none"/>
              </w:rPr>
              <w:t>积极推动张北</w:t>
            </w:r>
            <w:r>
              <w:rPr>
                <w:rFonts w:cs="Times New Roman"/>
                <w:sz w:val="24"/>
                <w:szCs w:val="24"/>
                <w:u w:val="none"/>
              </w:rPr>
              <w:t>~</w:t>
            </w:r>
            <w:r>
              <w:rPr>
                <w:rFonts w:hint="eastAsia" w:cs="Times New Roman"/>
                <w:sz w:val="24"/>
                <w:szCs w:val="24"/>
                <w:u w:val="none"/>
              </w:rPr>
              <w:t>胜利特高压外送通道核准批复工作。</w:t>
            </w:r>
          </w:p>
          <w:p>
            <w:pPr>
              <w:spacing w:line="240" w:lineRule="auto"/>
              <w:ind w:firstLine="0" w:firstLineChars="0"/>
              <w:rPr>
                <w:rFonts w:cs="Times New Roman"/>
                <w:sz w:val="24"/>
                <w:szCs w:val="24"/>
                <w:u w:val="none"/>
              </w:rPr>
            </w:pPr>
            <w:r>
              <w:rPr>
                <w:rFonts w:hint="eastAsia" w:cs="Times New Roman"/>
                <w:b/>
                <w:bCs/>
                <w:sz w:val="24"/>
                <w:szCs w:val="24"/>
                <w:u w:val="none"/>
              </w:rPr>
              <w:t>②绿电进京配套通道</w:t>
            </w:r>
            <w:r>
              <w:rPr>
                <w:rFonts w:hint="eastAsia" w:cs="Times New Roman"/>
                <w:sz w:val="24"/>
                <w:szCs w:val="24"/>
                <w:u w:val="none"/>
              </w:rPr>
              <w:t>。加快推动白旗-北京南柔性直流和北京-华北电网交流通道纳规和实施工作。</w:t>
            </w:r>
          </w:p>
          <w:p>
            <w:pPr>
              <w:spacing w:line="240" w:lineRule="auto"/>
              <w:ind w:firstLine="0" w:firstLineChars="0"/>
              <w:rPr>
                <w:rFonts w:cs="Times New Roman"/>
                <w:sz w:val="24"/>
                <w:szCs w:val="24"/>
                <w:u w:val="none"/>
              </w:rPr>
            </w:pPr>
            <w:r>
              <w:rPr>
                <w:rFonts w:hint="eastAsia" w:cs="Times New Roman"/>
                <w:b/>
                <w:bCs/>
                <w:sz w:val="24"/>
                <w:szCs w:val="24"/>
                <w:u w:val="none"/>
              </w:rPr>
              <w:t>③一交一直强化工程。</w:t>
            </w:r>
            <w:r>
              <w:rPr>
                <w:rFonts w:hint="eastAsia" w:cs="Times New Roman"/>
                <w:sz w:val="24"/>
                <w:szCs w:val="24"/>
                <w:u w:val="none"/>
              </w:rPr>
              <w:t>在多伦、胜利特高压站，锡市、阿旗、东苏、蓝旗、白旗、上都电厂等500千伏汇集站实施主变扩容工程。加装可控避雷器、调相机等辅助设施，全面提高电网送电能力。</w:t>
            </w:r>
          </w:p>
          <w:p>
            <w:pPr>
              <w:spacing w:line="240" w:lineRule="auto"/>
              <w:ind w:firstLine="0" w:firstLineChars="0"/>
              <w:rPr>
                <w:rFonts w:cs="Times New Roman"/>
                <w:sz w:val="24"/>
                <w:szCs w:val="24"/>
              </w:rPr>
            </w:pPr>
            <w:r>
              <w:rPr>
                <w:rFonts w:hint="eastAsia" w:cs="Times New Roman"/>
                <w:b/>
                <w:bCs/>
                <w:sz w:val="24"/>
                <w:szCs w:val="24"/>
                <w:u w:val="none"/>
              </w:rPr>
              <w:t>④锡盟</w:t>
            </w:r>
            <w:r>
              <w:rPr>
                <w:rFonts w:cs="Times New Roman"/>
                <w:b/>
                <w:bCs/>
                <w:sz w:val="24"/>
                <w:szCs w:val="24"/>
                <w:u w:val="none"/>
              </w:rPr>
              <w:t>-</w:t>
            </w:r>
            <w:r>
              <w:rPr>
                <w:rFonts w:hint="eastAsia" w:cs="Times New Roman"/>
                <w:b/>
                <w:bCs/>
                <w:sz w:val="24"/>
                <w:szCs w:val="24"/>
                <w:u w:val="none"/>
              </w:rPr>
              <w:t>河南郑州特高压通道。</w:t>
            </w:r>
            <w:r>
              <w:rPr>
                <w:rFonts w:hint="eastAsia" w:cs="Times New Roman"/>
                <w:b w:val="0"/>
                <w:bCs w:val="0"/>
                <w:sz w:val="24"/>
                <w:szCs w:val="24"/>
                <w:u w:val="none"/>
              </w:rPr>
              <w:t>在西部地区建设特高压通道，结合芒来二期等调峰</w:t>
            </w:r>
            <w:r>
              <w:rPr>
                <w:rFonts w:hint="eastAsia" w:cs="Times New Roman"/>
                <w:sz w:val="24"/>
                <w:szCs w:val="24"/>
                <w:u w:val="none"/>
              </w:rPr>
              <w:t>机组，将二连、东苏、西苏等西部地区新能源送至郑州地区消纳。</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bCs/>
                <w:sz w:val="24"/>
                <w:szCs w:val="24"/>
              </w:rPr>
            </w:pPr>
            <w:r>
              <w:rPr>
                <w:rFonts w:cs="Times New Roman"/>
                <w:b/>
                <w:bCs/>
                <w:sz w:val="24"/>
                <w:szCs w:val="24"/>
              </w:rPr>
              <w:t xml:space="preserve">02 </w:t>
            </w:r>
            <w:r>
              <w:rPr>
                <w:rFonts w:hint="eastAsia" w:cs="Times New Roman"/>
                <w:b/>
                <w:bCs/>
                <w:sz w:val="24"/>
                <w:szCs w:val="24"/>
              </w:rPr>
              <w:t>外送蒙西主网5</w:t>
            </w:r>
            <w:r>
              <w:rPr>
                <w:rFonts w:cs="Times New Roman"/>
                <w:b/>
                <w:bCs/>
                <w:sz w:val="24"/>
                <w:szCs w:val="24"/>
              </w:rPr>
              <w:t>00</w:t>
            </w:r>
            <w:r>
              <w:rPr>
                <w:rFonts w:hint="eastAsia" w:cs="Times New Roman"/>
                <w:b/>
                <w:bCs/>
                <w:sz w:val="24"/>
                <w:szCs w:val="24"/>
              </w:rPr>
              <w:t>千伏通道</w:t>
            </w:r>
          </w:p>
          <w:p>
            <w:pPr>
              <w:spacing w:line="240" w:lineRule="auto"/>
              <w:ind w:firstLine="0" w:firstLineChars="0"/>
              <w:rPr>
                <w:rFonts w:cs="Times New Roman"/>
                <w:sz w:val="24"/>
                <w:szCs w:val="24"/>
              </w:rPr>
            </w:pPr>
            <w:r>
              <w:rPr>
                <w:rFonts w:hint="eastAsia" w:cs="Times New Roman"/>
                <w:b/>
                <w:bCs/>
                <w:sz w:val="24"/>
                <w:szCs w:val="24"/>
              </w:rPr>
              <w:t>①新建宝拉格5</w:t>
            </w:r>
            <w:r>
              <w:rPr>
                <w:rFonts w:cs="Times New Roman"/>
                <w:b/>
                <w:bCs/>
                <w:sz w:val="24"/>
                <w:szCs w:val="24"/>
              </w:rPr>
              <w:t>00</w:t>
            </w:r>
            <w:r>
              <w:rPr>
                <w:rFonts w:hint="eastAsia" w:cs="Times New Roman"/>
                <w:b/>
                <w:bCs/>
                <w:sz w:val="24"/>
                <w:szCs w:val="24"/>
              </w:rPr>
              <w:t>千伏、锡西5</w:t>
            </w:r>
            <w:r>
              <w:rPr>
                <w:rFonts w:cs="Times New Roman"/>
                <w:b/>
                <w:bCs/>
                <w:sz w:val="24"/>
                <w:szCs w:val="24"/>
              </w:rPr>
              <w:t>00</w:t>
            </w:r>
            <w:r>
              <w:rPr>
                <w:rFonts w:hint="eastAsia" w:cs="Times New Roman"/>
                <w:b/>
                <w:bCs/>
                <w:sz w:val="24"/>
                <w:szCs w:val="24"/>
              </w:rPr>
              <w:t>千伏输变电工程</w:t>
            </w:r>
            <w:r>
              <w:rPr>
                <w:rFonts w:hint="eastAsia" w:cs="Times New Roman"/>
                <w:sz w:val="24"/>
                <w:szCs w:val="24"/>
              </w:rPr>
              <w:t>，网架形成汗海～白音高勒～灰腾梁～塔拉～东苏、察右中～锡西的辐射供电。地区电网将通过锡西～察右中双回和汗白双回500千伏线路与乌兰察布电网相连。</w:t>
            </w:r>
          </w:p>
          <w:p>
            <w:pPr>
              <w:spacing w:line="240" w:lineRule="auto"/>
              <w:ind w:firstLine="0" w:firstLineChars="0"/>
              <w:rPr>
                <w:rFonts w:cs="Times New Roman"/>
                <w:sz w:val="24"/>
                <w:szCs w:val="24"/>
              </w:rPr>
            </w:pPr>
            <w:r>
              <w:rPr>
                <w:rFonts w:hint="eastAsia" w:cs="Times New Roman"/>
                <w:b/>
                <w:bCs/>
                <w:sz w:val="24"/>
                <w:szCs w:val="24"/>
              </w:rPr>
              <w:t>②新建白旗-多伦500千伏输电工程。</w:t>
            </w:r>
            <w:r>
              <w:rPr>
                <w:rFonts w:hint="eastAsia" w:cs="Times New Roman"/>
                <w:sz w:val="24"/>
                <w:szCs w:val="24"/>
              </w:rPr>
              <w:t>利用白旗广阔的土地和新能源资源，为多伦、太旗等用地紧张地区开展绿电制氢、园区绿色供电、源网荷储等项目提供支撑。</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bCs/>
                <w:sz w:val="24"/>
                <w:szCs w:val="24"/>
              </w:rPr>
            </w:pPr>
            <w:r>
              <w:rPr>
                <w:rFonts w:cs="Times New Roman"/>
                <w:b/>
                <w:bCs/>
                <w:sz w:val="24"/>
                <w:szCs w:val="24"/>
              </w:rPr>
              <w:t xml:space="preserve">03 </w:t>
            </w:r>
            <w:r>
              <w:rPr>
                <w:rFonts w:hint="eastAsia" w:cs="Times New Roman"/>
                <w:b/>
                <w:bCs/>
                <w:sz w:val="24"/>
                <w:szCs w:val="24"/>
              </w:rPr>
              <w:t>区域220千伏及以下等级网架</w:t>
            </w:r>
          </w:p>
          <w:p>
            <w:pPr>
              <w:spacing w:line="240" w:lineRule="auto"/>
              <w:ind w:firstLine="0" w:firstLineChars="0"/>
              <w:rPr>
                <w:rFonts w:cs="Times New Roman"/>
                <w:b/>
                <w:bCs/>
                <w:sz w:val="24"/>
                <w:szCs w:val="24"/>
              </w:rPr>
            </w:pPr>
            <w:r>
              <w:rPr>
                <w:rFonts w:hint="eastAsia" w:cs="Times New Roman"/>
                <w:sz w:val="24"/>
                <w:szCs w:val="24"/>
              </w:rPr>
              <w:t>共规划新建220千伏变电站2座，新增主变容量960兆伏安，新建线路678公里。实施110千伏、35千伏输变电工程。</w:t>
            </w:r>
          </w:p>
        </w:tc>
      </w:tr>
    </w:tbl>
    <w:p>
      <w:pPr>
        <w:pStyle w:val="5"/>
        <w:numPr>
          <w:ilvl w:val="1"/>
          <w:numId w:val="0"/>
        </w:numPr>
        <w:ind w:firstLine="600" w:firstLineChars="200"/>
        <w:rPr>
          <w:rFonts w:cs="Times New Roman"/>
        </w:rPr>
      </w:pPr>
      <w:bookmarkStart w:id="68" w:name="_Toc113540778"/>
      <w:r>
        <w:rPr>
          <w:rFonts w:hint="eastAsia" w:cs="Times New Roman"/>
        </w:rPr>
        <w:t>（四）多途径提高新能源调峰能力</w:t>
      </w:r>
      <w:bookmarkEnd w:id="68"/>
    </w:p>
    <w:p>
      <w:pPr>
        <w:pStyle w:val="40"/>
        <w:spacing w:line="640" w:lineRule="exact"/>
        <w:ind w:firstLine="643"/>
        <w:rPr>
          <w:rFonts w:eastAsia="仿宋"/>
          <w:b/>
          <w:bCs/>
          <w:sz w:val="32"/>
          <w:szCs w:val="32"/>
        </w:rPr>
      </w:pPr>
      <w:r>
        <w:rPr>
          <w:rFonts w:hint="eastAsia" w:eastAsia="仿宋"/>
          <w:b/>
          <w:bCs/>
          <w:sz w:val="32"/>
          <w:szCs w:val="21"/>
        </w:rPr>
        <w:t>一是不断挖掘煤电调峰能力。</w:t>
      </w:r>
      <w:r>
        <w:rPr>
          <w:rFonts w:hint="eastAsia" w:eastAsia="仿宋"/>
          <w:sz w:val="32"/>
          <w:szCs w:val="21"/>
        </w:rPr>
        <w:t>推动现有已建成火电项目加快开展深度调峰改造，规划新建芒来二期、查干淖尔二期、多伦路口电厂等煤电项目，最大程度地提高煤电调峰能力。</w:t>
      </w:r>
      <w:r>
        <w:rPr>
          <w:rFonts w:hint="eastAsia" w:eastAsia="仿宋"/>
          <w:b/>
          <w:bCs/>
          <w:sz w:val="32"/>
          <w:szCs w:val="21"/>
        </w:rPr>
        <w:t>二是推动已并网的新能源项目增配储能设施</w:t>
      </w:r>
      <w:r>
        <w:rPr>
          <w:rFonts w:hint="eastAsia" w:eastAsia="仿宋"/>
          <w:sz w:val="32"/>
          <w:szCs w:val="21"/>
        </w:rPr>
        <w:t>。鼓励建设电网区域性共享储能设施，探索共享储能电站盈利模式。市场化并网新能源项目，在落实并网条件基础上，配建储能规模原则上不低于新能源项目装机容量的15%，储能时长4小时以上；保障性并网新能源项目，配建储能规模原则上不低于新能源项目装机容量的15%，储能时长2小时以上。</w:t>
      </w:r>
      <w:r>
        <w:rPr>
          <w:rFonts w:hint="eastAsia" w:eastAsia="仿宋"/>
          <w:b/>
          <w:bCs/>
          <w:sz w:val="32"/>
          <w:szCs w:val="21"/>
        </w:rPr>
        <w:t>三是积极推动抽水蓄能和光热等调节电源项目。</w:t>
      </w:r>
      <w:r>
        <w:rPr>
          <w:rFonts w:hint="eastAsia" w:eastAsia="仿宋"/>
          <w:sz w:val="32"/>
          <w:szCs w:val="21"/>
          <w:u w:val="none"/>
        </w:rPr>
        <w:t>在多伦县西山湾、西乌旗高勒罕水库开展建设抽水蓄能电站研究论证工作。发</w:t>
      </w:r>
      <w:r>
        <w:rPr>
          <w:rFonts w:hint="eastAsia" w:eastAsia="仿宋"/>
          <w:sz w:val="32"/>
          <w:szCs w:val="21"/>
        </w:rPr>
        <w:t>挥光热发电储能调节能力和系统支撑能力，在正镶白旗等地区谋划光热发电项目。</w:t>
      </w:r>
    </w:p>
    <w:p>
      <w:pPr>
        <w:pStyle w:val="8"/>
        <w:keepNext/>
        <w:ind w:firstLine="560"/>
        <w:rPr>
          <w:rFonts w:cs="Times New Roman"/>
          <w:sz w:val="28"/>
          <w:szCs w:val="28"/>
        </w:rPr>
      </w:pPr>
    </w:p>
    <w:p>
      <w:pPr>
        <w:pStyle w:val="8"/>
        <w:keepNext/>
        <w:ind w:firstLine="560"/>
        <w:rPr>
          <w:rFonts w:cs="Times New Roman"/>
          <w:sz w:val="28"/>
          <w:szCs w:val="28"/>
        </w:rPr>
      </w:pPr>
      <w:r>
        <w:rPr>
          <w:rFonts w:cs="Times New Roman"/>
          <w:sz w:val="28"/>
          <w:szCs w:val="28"/>
        </w:rPr>
        <w:t>专栏</w:t>
      </w:r>
      <w:r>
        <w:rPr>
          <w:rFonts w:hint="eastAsia" w:cs="Times New Roman"/>
          <w:sz w:val="28"/>
          <w:szCs w:val="28"/>
        </w:rPr>
        <w:t>7</w:t>
      </w:r>
      <w:r>
        <w:rPr>
          <w:rFonts w:cs="Times New Roman"/>
          <w:sz w:val="28"/>
          <w:szCs w:val="28"/>
        </w:rPr>
        <w:t xml:space="preserve">  </w:t>
      </w:r>
      <w:r>
        <w:rPr>
          <w:rFonts w:hint="eastAsia" w:cs="Times New Roman"/>
          <w:sz w:val="28"/>
          <w:szCs w:val="28"/>
        </w:rPr>
        <w:t>规划重点储能项目</w:t>
      </w:r>
    </w:p>
    <w:tbl>
      <w:tblPr>
        <w:tblStyle w:val="19"/>
        <w:tblW w:w="8505"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50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sz w:val="24"/>
                <w:szCs w:val="24"/>
              </w:rPr>
            </w:pPr>
            <w:r>
              <w:rPr>
                <w:rFonts w:hint="eastAsia" w:cs="Times New Roman"/>
                <w:b/>
                <w:sz w:val="24"/>
                <w:szCs w:val="24"/>
              </w:rPr>
              <w:t>01 煤电机组灵活性改造项目。</w:t>
            </w:r>
            <w:r>
              <w:rPr>
                <w:rFonts w:hint="eastAsia" w:cs="Times New Roman"/>
                <w:bCs/>
                <w:sz w:val="24"/>
                <w:szCs w:val="24"/>
              </w:rPr>
              <w:t>推动已并网的1365万千瓦和规划、在建的596万千瓦火电机组进行深度灵活性改造，规划新建芒来二期、查干淖尔二期、多伦路口电厂等煤电项目，最大程度地提高煤电调峰能力。</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sz w:val="24"/>
                <w:szCs w:val="24"/>
              </w:rPr>
            </w:pPr>
            <w:r>
              <w:rPr>
                <w:rFonts w:cs="Times New Roman"/>
                <w:b/>
                <w:bCs/>
                <w:sz w:val="24"/>
                <w:szCs w:val="24"/>
              </w:rPr>
              <w:t>0</w:t>
            </w:r>
            <w:r>
              <w:rPr>
                <w:rFonts w:hint="eastAsia" w:cs="Times New Roman"/>
                <w:b/>
                <w:bCs/>
                <w:sz w:val="24"/>
                <w:szCs w:val="24"/>
              </w:rPr>
              <w:t>2市场化并网消纳</w:t>
            </w:r>
            <w:r>
              <w:rPr>
                <w:rFonts w:hint="eastAsia" w:cs="Times New Roman"/>
                <w:b/>
                <w:sz w:val="24"/>
                <w:szCs w:val="24"/>
              </w:rPr>
              <w:t>项目配套新型储能。</w:t>
            </w:r>
            <w:r>
              <w:rPr>
                <w:rFonts w:hint="eastAsia" w:cs="Times New Roman"/>
                <w:sz w:val="24"/>
                <w:szCs w:val="24"/>
              </w:rPr>
              <w:t>源网荷储一体化和多能互补项目、火电灵活性改造促进新能源消纳利用项目、风光制氢一体化示范项目、工业园区可再生能源替代项目等配套储能项目。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sz w:val="24"/>
                <w:szCs w:val="24"/>
              </w:rPr>
            </w:pPr>
            <w:r>
              <w:rPr>
                <w:rFonts w:hint="eastAsia" w:cs="Times New Roman"/>
                <w:b/>
                <w:sz w:val="24"/>
                <w:szCs w:val="24"/>
              </w:rPr>
              <w:t>03</w:t>
            </w:r>
            <w:r>
              <w:rPr>
                <w:rFonts w:cs="Times New Roman"/>
                <w:b/>
                <w:sz w:val="24"/>
                <w:szCs w:val="24"/>
              </w:rPr>
              <w:t xml:space="preserve"> </w:t>
            </w:r>
            <w:r>
              <w:rPr>
                <w:rFonts w:hint="eastAsia" w:cs="Times New Roman"/>
                <w:b/>
                <w:sz w:val="24"/>
                <w:szCs w:val="24"/>
              </w:rPr>
              <w:t>保障性并网消纳项目配套新型储能</w:t>
            </w:r>
          </w:p>
          <w:p>
            <w:pPr>
              <w:spacing w:line="240" w:lineRule="auto"/>
              <w:ind w:firstLine="0" w:firstLineChars="0"/>
              <w:rPr>
                <w:rFonts w:cs="Times New Roman"/>
                <w:sz w:val="24"/>
                <w:szCs w:val="24"/>
              </w:rPr>
            </w:pPr>
            <w:r>
              <w:rPr>
                <w:rFonts w:hint="eastAsia" w:cs="Times New Roman"/>
                <w:b/>
                <w:bCs/>
                <w:sz w:val="24"/>
                <w:szCs w:val="24"/>
              </w:rPr>
              <w:t>外送新能源基地项目配套储能。</w:t>
            </w:r>
            <w:r>
              <w:rPr>
                <w:rFonts w:hint="eastAsia" w:cs="Times New Roman"/>
                <w:sz w:val="24"/>
                <w:szCs w:val="24"/>
              </w:rPr>
              <w:t>特高压外送基地二期400万千瓦基地配套</w:t>
            </w:r>
            <w:r>
              <w:rPr>
                <w:rFonts w:cs="Times New Roman"/>
                <w:sz w:val="24"/>
                <w:szCs w:val="24"/>
              </w:rPr>
              <w:t>60</w:t>
            </w:r>
            <w:r>
              <w:rPr>
                <w:rFonts w:hint="eastAsia" w:cs="Times New Roman"/>
                <w:sz w:val="24"/>
                <w:szCs w:val="24"/>
              </w:rPr>
              <w:t>万千瓦/</w:t>
            </w:r>
            <w:r>
              <w:rPr>
                <w:rFonts w:cs="Times New Roman"/>
                <w:sz w:val="24"/>
                <w:szCs w:val="24"/>
              </w:rPr>
              <w:t>120</w:t>
            </w:r>
            <w:r>
              <w:rPr>
                <w:rFonts w:hint="eastAsia" w:cs="Times New Roman"/>
                <w:sz w:val="24"/>
                <w:szCs w:val="24"/>
              </w:rPr>
              <w:t>万千瓦时储能项目、上都200万千瓦平价上网风电基地、蒙能东苏100万千瓦风储项目、特高压外送基地三期配套新能源基地等配套储能项目。</w:t>
            </w:r>
          </w:p>
          <w:p>
            <w:pPr>
              <w:spacing w:line="240" w:lineRule="auto"/>
              <w:ind w:firstLine="0" w:firstLineChars="0"/>
              <w:rPr>
                <w:rFonts w:cs="Times New Roman"/>
                <w:sz w:val="24"/>
                <w:szCs w:val="24"/>
              </w:rPr>
            </w:pPr>
            <w:r>
              <w:rPr>
                <w:rFonts w:hint="eastAsia" w:cs="Times New Roman"/>
                <w:b/>
                <w:sz w:val="24"/>
                <w:szCs w:val="24"/>
              </w:rPr>
              <w:t>就地消纳保障性并网项目配套储能。</w:t>
            </w:r>
            <w:r>
              <w:rPr>
                <w:rFonts w:hint="eastAsia" w:cs="Times New Roman"/>
                <w:bCs/>
                <w:sz w:val="24"/>
                <w:szCs w:val="24"/>
              </w:rPr>
              <w:t>为光伏+生态修复工程</w:t>
            </w:r>
            <w:r>
              <w:rPr>
                <w:rFonts w:hint="eastAsia" w:cs="Times New Roman"/>
                <w:sz w:val="24"/>
                <w:szCs w:val="24"/>
              </w:rPr>
              <w:t>、光伏+矿区修复试点工程等配置相应储能项目。</w:t>
            </w:r>
          </w:p>
          <w:p>
            <w:pPr>
              <w:spacing w:line="240" w:lineRule="auto"/>
              <w:ind w:firstLine="0" w:firstLineChars="0"/>
              <w:rPr>
                <w:rFonts w:cs="Times New Roman"/>
                <w:sz w:val="24"/>
                <w:szCs w:val="24"/>
              </w:rPr>
            </w:pPr>
            <w:r>
              <w:rPr>
                <w:rFonts w:hint="eastAsia" w:cs="Times New Roman"/>
                <w:b/>
                <w:bCs/>
                <w:sz w:val="24"/>
                <w:szCs w:val="24"/>
              </w:rPr>
              <w:t>已并网新能源项目配套储能。</w:t>
            </w:r>
            <w:r>
              <w:rPr>
                <w:rFonts w:hint="eastAsia" w:cs="Times New Roman"/>
                <w:sz w:val="24"/>
                <w:szCs w:val="24"/>
              </w:rPr>
              <w:t>支持鼓励已并网的新能源项目配套建设新型储能。</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144"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sz w:val="24"/>
                <w:szCs w:val="24"/>
              </w:rPr>
            </w:pPr>
            <w:r>
              <w:rPr>
                <w:rFonts w:hint="eastAsia" w:cs="Times New Roman"/>
                <w:b/>
                <w:bCs/>
                <w:sz w:val="24"/>
                <w:szCs w:val="24"/>
                <w:u w:val="none"/>
              </w:rPr>
              <w:t>04</w:t>
            </w:r>
            <w:r>
              <w:rPr>
                <w:rFonts w:cs="Times New Roman"/>
                <w:b/>
                <w:bCs/>
                <w:sz w:val="24"/>
                <w:szCs w:val="24"/>
                <w:u w:val="none"/>
              </w:rPr>
              <w:t xml:space="preserve"> </w:t>
            </w:r>
            <w:r>
              <w:rPr>
                <w:rFonts w:hint="eastAsia" w:cs="Times New Roman"/>
                <w:b/>
                <w:bCs/>
                <w:sz w:val="24"/>
                <w:szCs w:val="24"/>
                <w:u w:val="none"/>
              </w:rPr>
              <w:t>抽水蓄能电站。</w:t>
            </w:r>
            <w:r>
              <w:rPr>
                <w:rFonts w:hint="eastAsia" w:cs="Times New Roman"/>
                <w:sz w:val="24"/>
                <w:szCs w:val="24"/>
                <w:u w:val="none"/>
              </w:rPr>
              <w:t>开展多伦县、西乌旗抽水蓄能站点规划选址和前期论证工作，多伦项目规划容量90万千瓦、西乌旗项目规划容量80万千瓦。</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99"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bCs/>
                <w:sz w:val="24"/>
                <w:szCs w:val="24"/>
              </w:rPr>
            </w:pPr>
            <w:r>
              <w:rPr>
                <w:rFonts w:hint="eastAsia" w:cs="Times New Roman"/>
                <w:b/>
                <w:bCs/>
                <w:sz w:val="24"/>
                <w:szCs w:val="24"/>
              </w:rPr>
              <w:t>05 光热项目。</w:t>
            </w:r>
            <w:r>
              <w:rPr>
                <w:rFonts w:hint="eastAsia" w:cs="Times New Roman"/>
                <w:sz w:val="24"/>
                <w:szCs w:val="24"/>
              </w:rPr>
              <w:t>在白旗等地区开展光热试点，规划容量20万千瓦。</w:t>
            </w:r>
          </w:p>
        </w:tc>
      </w:tr>
    </w:tbl>
    <w:p>
      <w:pPr>
        <w:keepNext w:val="0"/>
        <w:keepLines w:val="0"/>
        <w:pageBreakBefore w:val="0"/>
        <w:kinsoku/>
        <w:wordWrap/>
        <w:overflowPunct/>
        <w:topLinePunct w:val="0"/>
        <w:autoSpaceDE/>
        <w:autoSpaceDN/>
        <w:bidi w:val="0"/>
        <w:adjustRightInd/>
        <w:snapToGrid/>
        <w:spacing w:line="580" w:lineRule="exact"/>
        <w:ind w:left="0" w:leftChars="0" w:firstLine="720" w:firstLineChars="200"/>
        <w:jc w:val="left"/>
        <w:textAlignment w:val="auto"/>
        <w:rPr>
          <w:rFonts w:ascii="黑体" w:hAnsi="黑体" w:eastAsia="黑体" w:cs="黑体"/>
          <w:sz w:val="36"/>
          <w:szCs w:val="36"/>
        </w:rPr>
      </w:pPr>
      <w:bookmarkStart w:id="69" w:name="_Toc98702803"/>
      <w:bookmarkStart w:id="70" w:name="_Toc113540779"/>
      <w:bookmarkStart w:id="71" w:name="_Toc98139851"/>
      <w:r>
        <w:rPr>
          <w:rFonts w:hint="eastAsia" w:ascii="黑体" w:hAnsi="黑体" w:eastAsia="黑体" w:cs="黑体"/>
          <w:sz w:val="36"/>
          <w:szCs w:val="36"/>
        </w:rPr>
        <w:t>五、加快构建新能源优势现代产业体系</w:t>
      </w:r>
      <w:bookmarkEnd w:id="69"/>
      <w:bookmarkEnd w:id="70"/>
      <w:bookmarkStart w:id="72" w:name="_Toc113540780"/>
    </w:p>
    <w:p>
      <w:pPr>
        <w:keepNext w:val="0"/>
        <w:keepLines w:val="0"/>
        <w:pageBreakBefore w:val="0"/>
        <w:kinsoku/>
        <w:wordWrap/>
        <w:overflowPunct/>
        <w:topLinePunct w:val="0"/>
        <w:autoSpaceDE/>
        <w:autoSpaceDN/>
        <w:bidi w:val="0"/>
        <w:adjustRightInd/>
        <w:snapToGrid/>
        <w:spacing w:line="580" w:lineRule="exact"/>
        <w:ind w:firstLine="640"/>
        <w:jc w:val="left"/>
        <w:textAlignment w:val="auto"/>
        <w:rPr>
          <w:rFonts w:ascii="黑体" w:hAnsi="黑体" w:eastAsia="黑体" w:cs="黑体"/>
        </w:rPr>
      </w:pPr>
      <w:r>
        <w:rPr>
          <w:rFonts w:hint="eastAsia" w:ascii="黑体" w:hAnsi="黑体" w:eastAsia="黑体" w:cs="黑体"/>
        </w:rPr>
        <w:t>（一）持续强化风电全产业链竞争优势</w:t>
      </w:r>
      <w:bookmarkEnd w:id="71"/>
      <w:bookmarkEnd w:id="72"/>
    </w:p>
    <w:p>
      <w:pPr>
        <w:pStyle w:val="40"/>
        <w:keepNext w:val="0"/>
        <w:keepLines w:val="0"/>
        <w:pageBreakBefore w:val="0"/>
        <w:kinsoku/>
        <w:wordWrap/>
        <w:overflowPunct/>
        <w:topLinePunct w:val="0"/>
        <w:autoSpaceDE/>
        <w:autoSpaceDN/>
        <w:bidi w:val="0"/>
        <w:adjustRightInd/>
        <w:snapToGrid/>
        <w:spacing w:line="580" w:lineRule="exact"/>
        <w:ind w:firstLine="640"/>
        <w:textAlignment w:val="auto"/>
        <w:rPr>
          <w:rFonts w:eastAsia="仿宋"/>
          <w:sz w:val="32"/>
          <w:szCs w:val="21"/>
        </w:rPr>
      </w:pPr>
      <w:r>
        <w:rPr>
          <w:rFonts w:hint="eastAsia" w:eastAsia="仿宋"/>
          <w:sz w:val="32"/>
          <w:szCs w:val="21"/>
        </w:rPr>
        <w:t>“十四五”期间，在稳定现有风电整机及其零部件产能的基础上，</w:t>
      </w:r>
      <w:r>
        <w:rPr>
          <w:rFonts w:hint="eastAsia" w:eastAsia="仿宋"/>
          <w:sz w:val="32"/>
          <w:szCs w:val="21"/>
          <w:u w:val="none"/>
        </w:rPr>
        <w:t>适度增加5.0兆瓦以上智能风机整机制造企业。重点支持金风科技、明阳智能、上海电气、海装风电、中车风电总装厂风机制造提档升级，生产线全部升级至5.0兆瓦以上；加快建设锡林浩特市远景能源、正蓝旗运达风电总装基地，推动爱纳康机舱罩、天顺塔筒、衡佳塔筒、明阳叶片、中材叶片二期等配套零部件产业项目尽快落地，主攻发电机、新型叶片、轴承、齿轮箱筑造件等零部件制造补链强链项目。</w:t>
      </w:r>
      <w:r>
        <w:rPr>
          <w:rFonts w:hint="eastAsia" w:eastAsia="仿宋"/>
          <w:sz w:val="32"/>
          <w:szCs w:val="21"/>
        </w:rPr>
        <w:t>到2025年风机整机及其零部件年产能超过700万千瓦，基本满足盟内及相邻地区风电项目建设和运行维护需求，将锡林郭勒盟建成服务全区、面向全国的风电装备制造基地。</w:t>
      </w:r>
    </w:p>
    <w:p>
      <w:pPr>
        <w:pStyle w:val="40"/>
        <w:keepNext w:val="0"/>
        <w:keepLines w:val="0"/>
        <w:pageBreakBefore w:val="0"/>
        <w:kinsoku/>
        <w:wordWrap/>
        <w:overflowPunct/>
        <w:topLinePunct w:val="0"/>
        <w:autoSpaceDE/>
        <w:autoSpaceDN/>
        <w:bidi w:val="0"/>
        <w:adjustRightInd/>
        <w:snapToGrid/>
        <w:spacing w:line="580" w:lineRule="exact"/>
        <w:ind w:firstLine="640"/>
        <w:textAlignment w:val="auto"/>
        <w:rPr>
          <w:rFonts w:hint="eastAsia" w:cs="Times New Roman"/>
        </w:rPr>
      </w:pPr>
      <w:r>
        <w:rPr>
          <w:rFonts w:hint="eastAsia" w:eastAsia="仿宋"/>
          <w:sz w:val="32"/>
          <w:szCs w:val="21"/>
        </w:rPr>
        <w:t>立足服务全区乃至北方地区风机运维市场，在全盟范围内谋划布局风电智慧运维基地、退役风机装备资源化利用项目，开展退役风机装备资源化利用技术研究，培育风电产业循环利用新业态。加快建设风电后市场“一中心，三基地”，建设锡林浩特市新能源运维技术研发中心，建设锡林浩特市、苏尼特右旗、正镶白旗3个风电智慧运行维护和检修基地。从制造到“智”造，着力打造“零部件—风机整机—运维—回收利用”全产业链。</w:t>
      </w:r>
      <w:bookmarkStart w:id="73" w:name="_Toc113540781"/>
      <w:bookmarkStart w:id="74" w:name="_Toc98139852"/>
    </w:p>
    <w:p>
      <w:pPr>
        <w:pStyle w:val="5"/>
        <w:numPr>
          <w:ilvl w:val="0"/>
          <w:numId w:val="0"/>
        </w:numPr>
        <w:tabs>
          <w:tab w:val="left" w:pos="360"/>
        </w:tabs>
        <w:spacing w:line="580" w:lineRule="exact"/>
        <w:ind w:firstLine="600" w:firstLineChars="200"/>
        <w:rPr>
          <w:rFonts w:hint="eastAsia" w:cs="Times New Roman"/>
        </w:rPr>
      </w:pPr>
      <w:r>
        <w:rPr>
          <w:rFonts w:hint="eastAsia" w:cs="Times New Roman"/>
        </w:rPr>
        <w:t>（二）积极培育发展储能产业</w:t>
      </w:r>
      <w:bookmarkEnd w:id="73"/>
    </w:p>
    <w:p>
      <w:pPr>
        <w:pStyle w:val="5"/>
        <w:numPr>
          <w:ilvl w:val="0"/>
          <w:numId w:val="0"/>
        </w:numPr>
        <w:tabs>
          <w:tab w:val="left" w:pos="360"/>
        </w:tabs>
        <w:spacing w:line="580" w:lineRule="exact"/>
        <w:ind w:firstLine="640" w:firstLineChars="200"/>
        <w:rPr>
          <w:rFonts w:cs="Times New Roman"/>
          <w:sz w:val="28"/>
          <w:szCs w:val="28"/>
          <w:u w:val="none"/>
        </w:rPr>
      </w:pPr>
      <w:r>
        <w:rPr>
          <w:rFonts w:hint="eastAsia" w:eastAsia="仿宋" w:cs="Times New Roman"/>
          <w:sz w:val="32"/>
          <w:u w:val="none"/>
        </w:rPr>
        <w:t>紧盯区域市场需求，实施储能电池模组、锂电池正负极、氢燃料电池及其他零部件生产等制造项目，培育储能装备制造产业，实现储能装备制造新突破。重点实施远景能源储能、天顺储能、联动双翼储能电池模组等项目。围绕产业链部署创新链，利用技术创新和规模效应形成新的竞争优势，培育和发展新的产业集群。争取“十四五”期间引进储能装备制造年产能50万千瓦以上。</w:t>
      </w:r>
    </w:p>
    <w:p>
      <w:pPr>
        <w:pStyle w:val="8"/>
        <w:keepNext/>
        <w:jc w:val="center"/>
        <w:rPr>
          <w:rFonts w:cs="Times New Roman"/>
          <w:sz w:val="28"/>
          <w:szCs w:val="28"/>
        </w:rPr>
      </w:pPr>
      <w:r>
        <w:rPr>
          <w:rFonts w:cs="Times New Roman"/>
          <w:sz w:val="28"/>
          <w:szCs w:val="28"/>
        </w:rPr>
        <w:t>专栏</w:t>
      </w:r>
      <w:r>
        <w:rPr>
          <w:rFonts w:hint="eastAsia" w:cs="Times New Roman"/>
          <w:sz w:val="28"/>
          <w:szCs w:val="28"/>
        </w:rPr>
        <w:t>8 储能产业重点项目</w:t>
      </w:r>
    </w:p>
    <w:tbl>
      <w:tblPr>
        <w:tblStyle w:val="19"/>
        <w:tblW w:w="8207"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207"/>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207" w:type="dxa"/>
            <w:tcMar>
              <w:top w:w="57" w:type="dxa"/>
              <w:left w:w="57" w:type="dxa"/>
              <w:bottom w:w="57" w:type="dxa"/>
              <w:right w:w="57" w:type="dxa"/>
            </w:tcMar>
            <w:vAlign w:val="center"/>
          </w:tcPr>
          <w:p>
            <w:pPr>
              <w:spacing w:line="240" w:lineRule="auto"/>
              <w:ind w:firstLine="0" w:firstLineChars="0"/>
              <w:rPr>
                <w:rFonts w:cs="Times New Roman"/>
                <w:b/>
                <w:sz w:val="24"/>
                <w:szCs w:val="24"/>
                <w:u w:val="none"/>
              </w:rPr>
            </w:pPr>
            <w:r>
              <w:rPr>
                <w:rFonts w:cs="Times New Roman"/>
                <w:b/>
                <w:sz w:val="24"/>
                <w:szCs w:val="24"/>
                <w:u w:val="none"/>
              </w:rPr>
              <w:t xml:space="preserve">01 </w:t>
            </w:r>
            <w:r>
              <w:rPr>
                <w:rFonts w:hint="eastAsia" w:cs="Times New Roman"/>
                <w:b/>
                <w:sz w:val="24"/>
                <w:szCs w:val="24"/>
                <w:u w:val="none"/>
              </w:rPr>
              <w:t>锂电池制造项目</w:t>
            </w:r>
          </w:p>
          <w:p>
            <w:pPr>
              <w:spacing w:line="240" w:lineRule="auto"/>
              <w:ind w:firstLine="0" w:firstLineChars="0"/>
              <w:rPr>
                <w:rFonts w:cs="Times New Roman"/>
                <w:sz w:val="24"/>
                <w:szCs w:val="24"/>
                <w:u w:val="none"/>
              </w:rPr>
            </w:pPr>
            <w:r>
              <w:rPr>
                <w:rFonts w:hint="eastAsia" w:cs="Times New Roman"/>
                <w:sz w:val="24"/>
                <w:szCs w:val="24"/>
                <w:u w:val="none"/>
              </w:rPr>
              <w:t>推动联动天翼、天润项目尽快落地实施，加快建设远景等储能电池制造项目建设进度，“十四五”期间，预计配建储能电站200万千瓦时以上。</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207" w:type="dxa"/>
            <w:tcMar>
              <w:top w:w="57" w:type="dxa"/>
              <w:left w:w="57" w:type="dxa"/>
              <w:bottom w:w="57" w:type="dxa"/>
              <w:right w:w="57" w:type="dxa"/>
            </w:tcMar>
            <w:vAlign w:val="center"/>
          </w:tcPr>
          <w:p>
            <w:pPr>
              <w:spacing w:line="240" w:lineRule="auto"/>
              <w:ind w:firstLine="0" w:firstLineChars="0"/>
              <w:rPr>
                <w:rFonts w:cs="Times New Roman"/>
                <w:b/>
                <w:bCs/>
                <w:sz w:val="24"/>
                <w:szCs w:val="24"/>
                <w:u w:val="none"/>
              </w:rPr>
            </w:pPr>
            <w:r>
              <w:rPr>
                <w:rFonts w:cs="Times New Roman"/>
                <w:b/>
                <w:bCs/>
                <w:sz w:val="24"/>
                <w:szCs w:val="24"/>
                <w:u w:val="none"/>
              </w:rPr>
              <w:t xml:space="preserve">02 </w:t>
            </w:r>
            <w:r>
              <w:rPr>
                <w:rFonts w:hint="eastAsia" w:cs="Times New Roman"/>
                <w:b/>
                <w:bCs/>
                <w:sz w:val="24"/>
                <w:szCs w:val="24"/>
                <w:u w:val="none"/>
              </w:rPr>
              <w:t>锂电池负极材料产业项目</w:t>
            </w:r>
          </w:p>
          <w:p>
            <w:pPr>
              <w:spacing w:line="240" w:lineRule="auto"/>
              <w:ind w:firstLine="0" w:firstLineChars="0"/>
              <w:rPr>
                <w:rFonts w:cs="Times New Roman"/>
                <w:sz w:val="24"/>
                <w:szCs w:val="24"/>
                <w:u w:val="none"/>
              </w:rPr>
            </w:pPr>
            <w:r>
              <w:rPr>
                <w:rFonts w:hint="eastAsia" w:cs="Times New Roman"/>
                <w:sz w:val="24"/>
                <w:szCs w:val="24"/>
                <w:u w:val="none"/>
              </w:rPr>
              <w:t>积极推动西苏旗睿创20万吨/年、新蒙新10万吨/年，多伦雁大3万吨/年负极材料等项目。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207" w:type="dxa"/>
            <w:tcMar>
              <w:top w:w="57" w:type="dxa"/>
              <w:left w:w="57" w:type="dxa"/>
              <w:bottom w:w="57" w:type="dxa"/>
              <w:right w:w="57" w:type="dxa"/>
            </w:tcMar>
            <w:vAlign w:val="center"/>
          </w:tcPr>
          <w:p>
            <w:pPr>
              <w:spacing w:line="240" w:lineRule="auto"/>
              <w:ind w:firstLine="0" w:firstLineChars="0"/>
              <w:rPr>
                <w:rFonts w:cs="Times New Roman"/>
                <w:b/>
                <w:bCs/>
                <w:sz w:val="24"/>
                <w:szCs w:val="24"/>
                <w:u w:val="none"/>
              </w:rPr>
            </w:pPr>
            <w:r>
              <w:rPr>
                <w:rFonts w:cs="Times New Roman"/>
                <w:b/>
                <w:bCs/>
                <w:sz w:val="24"/>
                <w:szCs w:val="24"/>
                <w:u w:val="none"/>
              </w:rPr>
              <w:t xml:space="preserve">03 </w:t>
            </w:r>
            <w:r>
              <w:rPr>
                <w:rFonts w:hint="eastAsia" w:cs="Times New Roman"/>
                <w:b/>
                <w:bCs/>
                <w:sz w:val="24"/>
                <w:szCs w:val="24"/>
                <w:u w:val="none"/>
              </w:rPr>
              <w:t>锂电池组件制造项目</w:t>
            </w:r>
          </w:p>
          <w:p>
            <w:pPr>
              <w:spacing w:line="240" w:lineRule="auto"/>
              <w:ind w:firstLine="0" w:firstLineChars="0"/>
              <w:rPr>
                <w:rFonts w:cs="Times New Roman"/>
                <w:sz w:val="24"/>
                <w:szCs w:val="24"/>
                <w:u w:val="none"/>
              </w:rPr>
            </w:pPr>
            <w:r>
              <w:rPr>
                <w:rFonts w:hint="eastAsia" w:cs="Times New Roman"/>
                <w:sz w:val="24"/>
                <w:szCs w:val="24"/>
                <w:u w:val="none"/>
              </w:rPr>
              <w:t>积极推进黄旗锂电池正极材料制造项目。积极引进隔膜、电芯等其他配套产业项目。</w:t>
            </w:r>
          </w:p>
        </w:tc>
      </w:tr>
    </w:tbl>
    <w:p>
      <w:pPr>
        <w:pStyle w:val="5"/>
        <w:keepNext w:val="0"/>
        <w:keepLines w:val="0"/>
        <w:pageBreakBefore w:val="0"/>
        <w:numPr>
          <w:ilvl w:val="0"/>
          <w:numId w:val="0"/>
        </w:numPr>
        <w:tabs>
          <w:tab w:val="left" w:pos="360"/>
        </w:tabs>
        <w:kinsoku/>
        <w:wordWrap/>
        <w:overflowPunct/>
        <w:topLinePunct w:val="0"/>
        <w:autoSpaceDE/>
        <w:autoSpaceDN/>
        <w:bidi w:val="0"/>
        <w:adjustRightInd/>
        <w:snapToGrid/>
        <w:spacing w:line="560" w:lineRule="exact"/>
        <w:ind w:firstLine="600" w:firstLineChars="200"/>
        <w:textAlignment w:val="auto"/>
        <w:rPr>
          <w:rFonts w:cs="Times New Roman"/>
        </w:rPr>
      </w:pPr>
      <w:bookmarkStart w:id="75" w:name="_Toc113540782"/>
      <w:r>
        <w:rPr>
          <w:rFonts w:hint="eastAsia" w:cs="Times New Roman"/>
        </w:rPr>
        <w:t>（三）着力打造特色氢产业</w:t>
      </w:r>
      <w:bookmarkEnd w:id="75"/>
    </w:p>
    <w:p>
      <w:pPr>
        <w:pStyle w:val="40"/>
        <w:keepNext w:val="0"/>
        <w:keepLines w:val="0"/>
        <w:pageBreakBefore w:val="0"/>
        <w:kinsoku/>
        <w:wordWrap/>
        <w:overflowPunct/>
        <w:topLinePunct w:val="0"/>
        <w:autoSpaceDE/>
        <w:autoSpaceDN/>
        <w:bidi w:val="0"/>
        <w:adjustRightInd/>
        <w:snapToGrid/>
        <w:spacing w:line="560" w:lineRule="exact"/>
        <w:ind w:firstLine="640"/>
        <w:textAlignment w:val="auto"/>
        <w:rPr>
          <w:rFonts w:eastAsia="仿宋"/>
          <w:sz w:val="32"/>
          <w:szCs w:val="21"/>
        </w:rPr>
      </w:pPr>
      <w:r>
        <w:rPr>
          <w:rFonts w:hint="eastAsia" w:eastAsia="仿宋"/>
          <w:sz w:val="32"/>
          <w:szCs w:val="21"/>
          <w:u w:val="none"/>
        </w:rPr>
        <w:t>立足自治区氢能发展规划，积极落实氢能产业实施路径，把氢能作为延伸新能源产业链的主攻方向，积极推进京能国际风光储氢制绿氨、多伦大唐风光制氢一体化、多伦明阳风光制氢一体化等重点项目，年产绿氢约24万吨、绿氨60万吨。</w:t>
      </w:r>
      <w:r>
        <w:rPr>
          <w:rFonts w:hint="eastAsia" w:eastAsia="仿宋"/>
          <w:sz w:val="32"/>
          <w:szCs w:val="21"/>
        </w:rPr>
        <w:t>加快构筑绿氢制取、存储、运输、应用一体化产业链。加强运输、存储、加注环节的设施配套，为终端应用提供稳定的氢源保障。下游应用环节，优先在胜利、白音华、芒来、查干淖尔等矿区推广中重型燃料电池矿卡；通过用氢需求提升带动氢能源装备制造业和上游生产发展。</w:t>
      </w:r>
    </w:p>
    <w:p>
      <w:pPr>
        <w:pStyle w:val="40"/>
        <w:keepNext w:val="0"/>
        <w:keepLines w:val="0"/>
        <w:pageBreakBefore w:val="0"/>
        <w:kinsoku/>
        <w:wordWrap/>
        <w:overflowPunct/>
        <w:topLinePunct w:val="0"/>
        <w:autoSpaceDE/>
        <w:autoSpaceDN/>
        <w:bidi w:val="0"/>
        <w:adjustRightInd/>
        <w:snapToGrid/>
        <w:spacing w:line="560" w:lineRule="exact"/>
        <w:textAlignment w:val="auto"/>
        <w:rPr>
          <w:rFonts w:hint="eastAsia" w:eastAsia="黑体"/>
          <w:szCs w:val="21"/>
        </w:rPr>
      </w:pPr>
    </w:p>
    <w:p>
      <w:pPr>
        <w:pStyle w:val="40"/>
        <w:keepNext w:val="0"/>
        <w:keepLines w:val="0"/>
        <w:pageBreakBefore w:val="0"/>
        <w:kinsoku/>
        <w:wordWrap/>
        <w:overflowPunct/>
        <w:topLinePunct w:val="0"/>
        <w:autoSpaceDE/>
        <w:autoSpaceDN/>
        <w:bidi w:val="0"/>
        <w:adjustRightInd/>
        <w:snapToGrid/>
        <w:spacing w:line="560" w:lineRule="exact"/>
        <w:textAlignment w:val="auto"/>
        <w:rPr>
          <w:rFonts w:eastAsia="黑体"/>
          <w:szCs w:val="21"/>
        </w:rPr>
      </w:pPr>
      <w:r>
        <w:rPr>
          <w:rFonts w:hint="eastAsia" w:eastAsia="黑体"/>
          <w:szCs w:val="21"/>
        </w:rPr>
        <w:t>（四）谋划发展光伏产业</w:t>
      </w:r>
    </w:p>
    <w:p>
      <w:pPr>
        <w:pStyle w:val="40"/>
        <w:keepNext w:val="0"/>
        <w:keepLines w:val="0"/>
        <w:pageBreakBefore w:val="0"/>
        <w:kinsoku/>
        <w:wordWrap/>
        <w:overflowPunct/>
        <w:topLinePunct w:val="0"/>
        <w:autoSpaceDE/>
        <w:autoSpaceDN/>
        <w:bidi w:val="0"/>
        <w:adjustRightInd/>
        <w:snapToGrid/>
        <w:spacing w:line="560" w:lineRule="exact"/>
        <w:ind w:firstLine="640"/>
        <w:textAlignment w:val="auto"/>
        <w:rPr>
          <w:rFonts w:eastAsia="仿宋"/>
          <w:sz w:val="32"/>
          <w:szCs w:val="21"/>
        </w:rPr>
      </w:pPr>
      <w:r>
        <w:rPr>
          <w:rFonts w:hint="eastAsia" w:eastAsia="仿宋"/>
          <w:sz w:val="32"/>
          <w:szCs w:val="21"/>
        </w:rPr>
        <w:t>积极引进光伏、储能装备制造企业，发展背板、逆变器、电池组件等光伏装备制造项目，培育光伏发电产业链。争取“十四五”期间引进光伏组件年产能50万千瓦。</w:t>
      </w:r>
    </w:p>
    <w:p>
      <w:pPr>
        <w:pStyle w:val="5"/>
        <w:keepNext w:val="0"/>
        <w:keepLines w:val="0"/>
        <w:pageBreakBefore w:val="0"/>
        <w:numPr>
          <w:ilvl w:val="0"/>
          <w:numId w:val="0"/>
        </w:numPr>
        <w:tabs>
          <w:tab w:val="left" w:pos="360"/>
        </w:tabs>
        <w:kinsoku/>
        <w:wordWrap/>
        <w:overflowPunct/>
        <w:topLinePunct w:val="0"/>
        <w:autoSpaceDE/>
        <w:autoSpaceDN/>
        <w:bidi w:val="0"/>
        <w:adjustRightInd/>
        <w:snapToGrid/>
        <w:spacing w:line="560" w:lineRule="exact"/>
        <w:ind w:firstLine="600" w:firstLineChars="200"/>
        <w:textAlignment w:val="auto"/>
        <w:rPr>
          <w:rFonts w:cs="Times New Roman"/>
        </w:rPr>
      </w:pPr>
      <w:bookmarkStart w:id="76" w:name="_Toc113540783"/>
      <w:r>
        <w:rPr>
          <w:rFonts w:hint="eastAsia" w:cs="Times New Roman"/>
        </w:rPr>
        <w:t>（五）多举措提升产业创新能力</w:t>
      </w:r>
      <w:bookmarkEnd w:id="74"/>
      <w:bookmarkEnd w:id="76"/>
    </w:p>
    <w:p>
      <w:pPr>
        <w:keepNext w:val="0"/>
        <w:keepLines w:val="0"/>
        <w:pageBreakBefore w:val="0"/>
        <w:kinsoku/>
        <w:wordWrap/>
        <w:overflowPunct/>
        <w:topLinePunct w:val="0"/>
        <w:autoSpaceDE/>
        <w:autoSpaceDN/>
        <w:bidi w:val="0"/>
        <w:adjustRightInd/>
        <w:snapToGrid/>
        <w:spacing w:line="560" w:lineRule="exact"/>
        <w:ind w:firstLine="640"/>
        <w:jc w:val="left"/>
        <w:textAlignment w:val="auto"/>
        <w:rPr>
          <w:rFonts w:cs="Times New Roman"/>
          <w:sz w:val="28"/>
          <w:szCs w:val="28"/>
        </w:rPr>
      </w:pPr>
      <w:r>
        <w:rPr>
          <w:rFonts w:hint="eastAsia" w:cs="Times New Roman"/>
        </w:rPr>
        <w:t>推动锡林郭勒盟新能源、火电、储能、氢能等耦合式发展，实现电力电量绿色低碳供应。在火电灵活性改造、新型储能规模化应用、电网智能化运行提高系统调峰能力等基础上，</w:t>
      </w:r>
      <w:r>
        <w:rPr>
          <w:rFonts w:hint="eastAsia" w:cs="Times New Roman"/>
          <w:u w:val="none"/>
        </w:rPr>
        <w:t>推进实施源网荷储、风光储氢一体化等项目，发展碳捕捉碳封存、绿电制氢、绿氢制甲醇、绿氢合成氨、氢燃料电池重卡替代等应用示范。</w:t>
      </w:r>
      <w:r>
        <w:rPr>
          <w:rFonts w:hint="eastAsia" w:cs="Times New Roman"/>
        </w:rPr>
        <w:t>积极布局各类新能源创新平台，推动一批科研装置、研发中心在我盟落户。支持与新能源装备制造业发展相适应的国内外先进创新技术成果在我盟率先实现产业化应用。</w:t>
      </w:r>
      <w:bookmarkStart w:id="77" w:name="_Toc113540785"/>
    </w:p>
    <w:p>
      <w:pPr>
        <w:pStyle w:val="8"/>
        <w:keepNext/>
        <w:ind w:firstLine="560"/>
        <w:rPr>
          <w:rFonts w:cs="Times New Roman"/>
          <w:sz w:val="28"/>
          <w:szCs w:val="28"/>
        </w:rPr>
      </w:pPr>
      <w:r>
        <w:rPr>
          <w:rFonts w:cs="Times New Roman"/>
          <w:sz w:val="28"/>
          <w:szCs w:val="28"/>
        </w:rPr>
        <w:t>专栏</w:t>
      </w:r>
      <w:r>
        <w:rPr>
          <w:rFonts w:hint="eastAsia" w:cs="Times New Roman"/>
          <w:sz w:val="28"/>
          <w:szCs w:val="28"/>
        </w:rPr>
        <w:t>9</w:t>
      </w:r>
      <w:r>
        <w:rPr>
          <w:rFonts w:cs="Times New Roman"/>
          <w:sz w:val="28"/>
          <w:szCs w:val="28"/>
        </w:rPr>
        <w:t xml:space="preserve"> </w:t>
      </w:r>
      <w:r>
        <w:rPr>
          <w:rFonts w:hint="eastAsia" w:cs="Times New Roman"/>
          <w:sz w:val="28"/>
          <w:szCs w:val="28"/>
        </w:rPr>
        <w:t>新能源现代产业重点项目</w:t>
      </w:r>
    </w:p>
    <w:tbl>
      <w:tblPr>
        <w:tblStyle w:val="19"/>
        <w:tblW w:w="8505"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50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sz w:val="24"/>
                <w:szCs w:val="24"/>
              </w:rPr>
            </w:pPr>
            <w:r>
              <w:rPr>
                <w:rFonts w:cs="Times New Roman"/>
                <w:b/>
                <w:sz w:val="24"/>
                <w:szCs w:val="24"/>
              </w:rPr>
              <w:t xml:space="preserve">01 </w:t>
            </w:r>
            <w:r>
              <w:rPr>
                <w:rFonts w:hint="eastAsia" w:cs="Times New Roman"/>
                <w:b/>
                <w:sz w:val="24"/>
                <w:szCs w:val="24"/>
              </w:rPr>
              <w:t>风电全产业链制造基地</w:t>
            </w:r>
          </w:p>
          <w:p>
            <w:pPr>
              <w:spacing w:line="240" w:lineRule="auto"/>
              <w:ind w:firstLine="0" w:firstLineChars="0"/>
              <w:rPr>
                <w:rFonts w:cs="Times New Roman"/>
                <w:sz w:val="24"/>
                <w:szCs w:val="24"/>
              </w:rPr>
            </w:pPr>
            <w:r>
              <w:rPr>
                <w:rFonts w:hint="eastAsia" w:cs="Times New Roman"/>
                <w:sz w:val="24"/>
                <w:szCs w:val="24"/>
              </w:rPr>
              <w:t>锡林浩特市、正镶白旗、苏尼特右旗三个风电装备制造基地。推动金风科技、明阳智能、上海电气、海装风电、中车风电总装厂升级改造，加快建设锡林浩特市远景能源、正蓝旗运达风电总装基地，推动爱纳康机舱罩、天顺塔筒、衡佳塔筒、明阳叶片等配套零部件产业项目尽快落地。</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bCs/>
                <w:sz w:val="24"/>
                <w:szCs w:val="24"/>
              </w:rPr>
            </w:pPr>
            <w:r>
              <w:rPr>
                <w:rFonts w:cs="Times New Roman"/>
                <w:b/>
                <w:bCs/>
                <w:sz w:val="24"/>
                <w:szCs w:val="24"/>
              </w:rPr>
              <w:t>0</w:t>
            </w:r>
            <w:r>
              <w:rPr>
                <w:rFonts w:hint="eastAsia" w:cs="Times New Roman"/>
                <w:b/>
                <w:bCs/>
                <w:sz w:val="24"/>
                <w:szCs w:val="24"/>
                <w:lang w:val="en-US" w:eastAsia="zh-CN"/>
              </w:rPr>
              <w:t xml:space="preserve">2 </w:t>
            </w:r>
            <w:r>
              <w:rPr>
                <w:rFonts w:hint="eastAsia" w:cs="Times New Roman"/>
                <w:b/>
                <w:bCs/>
                <w:sz w:val="24"/>
                <w:szCs w:val="24"/>
              </w:rPr>
              <w:t>新能源应用技术研发中心</w:t>
            </w:r>
          </w:p>
          <w:p>
            <w:pPr>
              <w:spacing w:line="240" w:lineRule="auto"/>
              <w:ind w:firstLine="0" w:firstLineChars="0"/>
              <w:rPr>
                <w:rFonts w:cs="Times New Roman"/>
                <w:sz w:val="24"/>
                <w:szCs w:val="24"/>
              </w:rPr>
            </w:pPr>
            <w:r>
              <w:rPr>
                <w:rFonts w:hint="eastAsia" w:cs="Times New Roman"/>
                <w:sz w:val="24"/>
                <w:szCs w:val="24"/>
              </w:rPr>
              <w:t>锡林浩特市新能源运维技术研发中心。京能五间房大功率风氢储科研试验工程。</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8505" w:type="dxa"/>
            <w:tcMar>
              <w:top w:w="57" w:type="dxa"/>
              <w:left w:w="57" w:type="dxa"/>
              <w:bottom w:w="57" w:type="dxa"/>
              <w:right w:w="57" w:type="dxa"/>
            </w:tcMar>
            <w:vAlign w:val="center"/>
          </w:tcPr>
          <w:p>
            <w:pPr>
              <w:spacing w:line="240" w:lineRule="auto"/>
              <w:ind w:firstLine="0" w:firstLineChars="0"/>
              <w:rPr>
                <w:rFonts w:cs="Times New Roman"/>
                <w:b/>
                <w:bCs/>
                <w:sz w:val="24"/>
                <w:szCs w:val="24"/>
              </w:rPr>
            </w:pPr>
            <w:r>
              <w:rPr>
                <w:rFonts w:hint="eastAsia" w:cs="Times New Roman"/>
                <w:b/>
                <w:bCs/>
                <w:sz w:val="24"/>
                <w:szCs w:val="24"/>
              </w:rPr>
              <w:t>0</w:t>
            </w:r>
            <w:r>
              <w:rPr>
                <w:rFonts w:hint="eastAsia" w:cs="Times New Roman"/>
                <w:b/>
                <w:bCs/>
                <w:sz w:val="24"/>
                <w:szCs w:val="24"/>
                <w:lang w:val="en-US" w:eastAsia="zh-CN"/>
              </w:rPr>
              <w:t>3</w:t>
            </w:r>
            <w:r>
              <w:rPr>
                <w:rFonts w:cs="Times New Roman"/>
                <w:b/>
                <w:bCs/>
                <w:sz w:val="24"/>
                <w:szCs w:val="24"/>
              </w:rPr>
              <w:t xml:space="preserve"> </w:t>
            </w:r>
            <w:r>
              <w:rPr>
                <w:rFonts w:hint="eastAsia" w:cs="Times New Roman"/>
                <w:b/>
                <w:bCs/>
                <w:sz w:val="24"/>
                <w:szCs w:val="24"/>
              </w:rPr>
              <w:t>退役风机装备资源化利用产业片区</w:t>
            </w:r>
          </w:p>
          <w:p>
            <w:pPr>
              <w:spacing w:line="240" w:lineRule="auto"/>
              <w:ind w:firstLine="0" w:firstLineChars="0"/>
              <w:rPr>
                <w:rFonts w:cs="Times New Roman"/>
                <w:sz w:val="24"/>
                <w:szCs w:val="24"/>
              </w:rPr>
            </w:pPr>
            <w:r>
              <w:rPr>
                <w:rFonts w:hint="eastAsia" w:cs="Times New Roman"/>
                <w:sz w:val="24"/>
                <w:szCs w:val="24"/>
              </w:rPr>
              <w:t>在正镶白旗、苏尼特右旗、蓝旗布局退役风机装备资源化利用产业，加快落实运达集团退役风机装备资源化利用项目。</w:t>
            </w:r>
          </w:p>
        </w:tc>
      </w:tr>
    </w:tbl>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textAlignment w:val="auto"/>
        <w:rPr>
          <w:rFonts w:hint="eastAsia" w:ascii="黑体" w:hAnsi="黑体" w:eastAsia="黑体" w:cs="黑体"/>
          <w:sz w:val="36"/>
          <w:szCs w:val="36"/>
        </w:rPr>
      </w:pPr>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textAlignment w:val="auto"/>
        <w:rPr>
          <w:rFonts w:ascii="黑体" w:hAnsi="黑体" w:eastAsia="黑体" w:cs="黑体"/>
          <w:sz w:val="36"/>
          <w:szCs w:val="36"/>
        </w:rPr>
      </w:pPr>
      <w:r>
        <w:rPr>
          <w:rFonts w:hint="eastAsia" w:ascii="黑体" w:hAnsi="黑体" w:eastAsia="黑体" w:cs="黑体"/>
          <w:sz w:val="36"/>
          <w:szCs w:val="36"/>
        </w:rPr>
        <w:t>六、环境影响评价</w:t>
      </w:r>
      <w:bookmarkEnd w:id="77"/>
      <w:bookmarkStart w:id="78" w:name="_Toc98139857"/>
      <w:bookmarkEnd w:id="78"/>
      <w:bookmarkStart w:id="79" w:name="_Toc98101195"/>
      <w:bookmarkEnd w:id="79"/>
      <w:bookmarkStart w:id="80" w:name="_Toc113540786"/>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cs="Times New Roman"/>
        </w:rPr>
      </w:pPr>
      <w:r>
        <w:rPr>
          <w:rFonts w:hint="eastAsia" w:cs="Times New Roman"/>
        </w:rPr>
        <w:t>（一）环境影响分析</w:t>
      </w:r>
      <w:bookmarkEnd w:id="80"/>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cs="Times New Roman"/>
        </w:rPr>
      </w:pPr>
      <w:r>
        <w:rPr>
          <w:rFonts w:cs="Times New Roman"/>
        </w:rPr>
        <w:t>本规划遵循《能源生产和消费革命战略（2016-2030）》</w:t>
      </w:r>
    </w:p>
    <w:p>
      <w:pPr>
        <w:keepNext w:val="0"/>
        <w:keepLines w:val="0"/>
        <w:pageBreakBefore w:val="0"/>
        <w:widowControl/>
        <w:kinsoku/>
        <w:wordWrap/>
        <w:overflowPunct/>
        <w:topLinePunct w:val="0"/>
        <w:autoSpaceDE/>
        <w:autoSpaceDN/>
        <w:bidi w:val="0"/>
        <w:adjustRightInd/>
        <w:snapToGrid/>
        <w:spacing w:line="580" w:lineRule="exact"/>
        <w:ind w:firstLine="0" w:firstLineChars="0"/>
        <w:textAlignment w:val="auto"/>
        <w:rPr>
          <w:rFonts w:cs="Times New Roman"/>
        </w:rPr>
      </w:pPr>
      <w:r>
        <w:rPr>
          <w:rFonts w:hint="eastAsia" w:cs="Times New Roman"/>
        </w:rPr>
        <w:t>《内蒙古自治区“十四五”可再生能源发展规划》《推动全区风电光伏新能源产业高质量发展的意见》和《锡林郭勒盟国民经济和社会发展第十四个五年规划和二Ο三五年远景目标纲要》</w:t>
      </w:r>
      <w:r>
        <w:rPr>
          <w:rFonts w:cs="Times New Roman"/>
        </w:rPr>
        <w:t>总体要求，以构建清洁低碳、安全高效、智能创新的现代能源体系为目标，以开源、节流、低碳为重点，在电源规划建设中坚持“资源节约，环境友好”原则，科学规划和合理利用资源，降低对土地、水资源、生态环境等的影响，持续优化</w:t>
      </w:r>
      <w:r>
        <w:rPr>
          <w:rFonts w:hint="eastAsia" w:cs="Times New Roman"/>
        </w:rPr>
        <w:t>我</w:t>
      </w:r>
      <w:r>
        <w:rPr>
          <w:rFonts w:cs="Times New Roman"/>
        </w:rPr>
        <w:t>能源供应结构，切实减少能源发展对环境的影响，全面助力社会经济绿色发展。</w:t>
      </w:r>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cs="Times New Roman"/>
        </w:rPr>
      </w:pPr>
      <w:r>
        <w:rPr>
          <w:rFonts w:cs="Times New Roman"/>
        </w:rPr>
        <w:t>通过推动</w:t>
      </w:r>
      <w:r>
        <w:rPr>
          <w:rFonts w:hint="eastAsia" w:cs="Times New Roman"/>
        </w:rPr>
        <w:t>本规划</w:t>
      </w:r>
      <w:r>
        <w:rPr>
          <w:rFonts w:cs="Times New Roman"/>
        </w:rPr>
        <w:t>项目</w:t>
      </w:r>
      <w:r>
        <w:rPr>
          <w:rFonts w:hint="eastAsia" w:cs="Times New Roman"/>
        </w:rPr>
        <w:t>的</w:t>
      </w:r>
      <w:r>
        <w:rPr>
          <w:rFonts w:cs="Times New Roman"/>
        </w:rPr>
        <w:t>有效实施，不断提高电力系统中风光等清洁能源占比，有助于解决电网供电问题，减少电网煤炭消耗，促进能源结构低碳化调整，缓解电力行业二氧化碳、二氧化硫排放限制压力，促进社会经济可持续发展；有利于</w:t>
      </w:r>
      <w:r>
        <w:rPr>
          <w:rFonts w:hint="eastAsia" w:cs="Times New Roman"/>
        </w:rPr>
        <w:t>我盟</w:t>
      </w:r>
      <w:r>
        <w:rPr>
          <w:rFonts w:cs="Times New Roman"/>
        </w:rPr>
        <w:t>落实节能减排、提升清洁能源消纳和存储能力，构建多能互济互补的现代能源体系，为实现“</w:t>
      </w:r>
      <w:r>
        <w:rPr>
          <w:rFonts w:hint="eastAsia" w:cs="Times New Roman"/>
        </w:rPr>
        <w:t>碳达峰</w:t>
      </w:r>
      <w:r>
        <w:rPr>
          <w:rFonts w:cs="Times New Roman"/>
        </w:rPr>
        <w:t>碳中和”战略目标奠定基础。</w:t>
      </w:r>
      <w:r>
        <w:rPr>
          <w:rFonts w:hint="eastAsia" w:cs="Times New Roman"/>
        </w:rPr>
        <w:t>规划新能源项目</w:t>
      </w:r>
      <w:r>
        <w:rPr>
          <w:rFonts w:cs="Times New Roman"/>
        </w:rPr>
        <w:t>建成</w:t>
      </w:r>
      <w:r>
        <w:rPr>
          <w:rFonts w:hint="eastAsia" w:cs="Times New Roman"/>
        </w:rPr>
        <w:t>达产</w:t>
      </w:r>
      <w:r>
        <w:rPr>
          <w:rFonts w:cs="Times New Roman"/>
        </w:rPr>
        <w:t>后，每年可减少烟尘排放量约0.06万吨，减少排放温室效应气体二氧化碳排放量约1400万吨，减少二氧化硫排放量约0.33万吨，氮氧化合物排放量约0.31万吨。</w:t>
      </w:r>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hint="eastAsia" w:cs="Times New Roman"/>
        </w:rPr>
      </w:pPr>
      <w:bookmarkStart w:id="81" w:name="_Toc113540787"/>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hint="eastAsia" w:cs="Times New Roman"/>
        </w:rPr>
      </w:pPr>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cs="Times New Roman"/>
        </w:rPr>
      </w:pPr>
      <w:r>
        <w:rPr>
          <w:rFonts w:hint="eastAsia" w:cs="Times New Roman"/>
        </w:rPr>
        <w:t>（二）</w:t>
      </w:r>
      <w:r>
        <w:rPr>
          <w:rFonts w:cs="Times New Roman"/>
        </w:rPr>
        <w:t>环境保护措施</w:t>
      </w:r>
      <w:bookmarkEnd w:id="81"/>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cs="Times New Roman"/>
        </w:rPr>
      </w:pPr>
      <w:r>
        <w:rPr>
          <w:rFonts w:cs="Times New Roman"/>
        </w:rPr>
        <w:t>加强规划设计环节环保措施。在电源配置规划方面，合理优化电源布局，降低电力系统调度压力，优化配置储能，降低调峰压力。在项目选址方面，减少房屋拆迁和</w:t>
      </w:r>
      <w:r>
        <w:rPr>
          <w:rFonts w:hint="eastAsia" w:cs="Times New Roman"/>
        </w:rPr>
        <w:t>地表植被破坏</w:t>
      </w:r>
      <w:r>
        <w:rPr>
          <w:rFonts w:cs="Times New Roman"/>
        </w:rPr>
        <w:t>，节省土地资源。在设备选型方面，主变采用低损耗变压器、结合远景发展合理选择容量，线路采用大截面、多分裂导线和节能金具，降低运行成本。</w:t>
      </w:r>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cs="Times New Roman"/>
        </w:rPr>
      </w:pPr>
      <w:r>
        <w:rPr>
          <w:rFonts w:cs="Times New Roman"/>
        </w:rPr>
        <w:t>加强建设运维环节环保措施。强化施工期规范管理，加强污水、生活垃圾、固体废物等集中处理处置设施和收运体系建设。强化运行期环保监测，加快环境监测、监控体系设应急处置能力建设，确保项目周边电磁环境、声环境、水环境等指标满足国家标准要求。</w:t>
      </w:r>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cs="Times New Roman"/>
        </w:rPr>
      </w:pPr>
      <w:r>
        <w:rPr>
          <w:rFonts w:cs="Times New Roman"/>
        </w:rPr>
        <w:t>通过实施规划，</w:t>
      </w:r>
      <w:r>
        <w:rPr>
          <w:rFonts w:hint="eastAsia" w:cs="Times New Roman"/>
        </w:rPr>
        <w:t>锡林郭勒盟风电光伏</w:t>
      </w:r>
      <w:r>
        <w:rPr>
          <w:rFonts w:cs="Times New Roman"/>
        </w:rPr>
        <w:t>的建设对环境的影响合理可控，</w:t>
      </w:r>
      <w:r>
        <w:rPr>
          <w:rFonts w:hint="eastAsia" w:cs="Times New Roman"/>
        </w:rPr>
        <w:t>可以</w:t>
      </w:r>
      <w:r>
        <w:rPr>
          <w:rFonts w:cs="Times New Roman"/>
        </w:rPr>
        <w:t>实现能源与环境协调发展。</w:t>
      </w:r>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jc w:val="left"/>
        <w:textAlignment w:val="auto"/>
        <w:rPr>
          <w:rFonts w:ascii="黑体" w:hAnsi="黑体" w:eastAsia="黑体" w:cs="黑体"/>
        </w:rPr>
      </w:pPr>
      <w:bookmarkStart w:id="82" w:name="_Toc113540788"/>
      <w:r>
        <w:rPr>
          <w:rFonts w:hint="eastAsia" w:ascii="黑体" w:hAnsi="黑体" w:eastAsia="黑体" w:cs="黑体"/>
          <w:sz w:val="36"/>
          <w:szCs w:val="36"/>
        </w:rPr>
        <w:t>七、投资估算和规划实施效果</w:t>
      </w:r>
      <w:bookmarkEnd w:id="82"/>
      <w:bookmarkStart w:id="83" w:name="_Toc113540789"/>
    </w:p>
    <w:p>
      <w:pPr>
        <w:keepNext w:val="0"/>
        <w:keepLines w:val="0"/>
        <w:pageBreakBefore w:val="0"/>
        <w:widowControl/>
        <w:kinsoku/>
        <w:wordWrap/>
        <w:overflowPunct/>
        <w:topLinePunct w:val="0"/>
        <w:autoSpaceDE/>
        <w:autoSpaceDN/>
        <w:bidi w:val="0"/>
        <w:adjustRightInd/>
        <w:snapToGrid/>
        <w:spacing w:line="580" w:lineRule="exact"/>
        <w:ind w:firstLine="640"/>
        <w:jc w:val="left"/>
        <w:textAlignment w:val="auto"/>
        <w:rPr>
          <w:rFonts w:ascii="黑体" w:hAnsi="黑体" w:eastAsia="黑体" w:cs="黑体"/>
        </w:rPr>
      </w:pPr>
      <w:r>
        <w:rPr>
          <w:rFonts w:hint="eastAsia" w:ascii="黑体" w:hAnsi="黑体" w:eastAsia="黑体" w:cs="黑体"/>
        </w:rPr>
        <w:t>（一）投资估算</w:t>
      </w:r>
      <w:bookmarkEnd w:id="83"/>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cs="Times New Roman"/>
        </w:rPr>
      </w:pPr>
      <w:r>
        <w:rPr>
          <w:rFonts w:cs="Times New Roman"/>
        </w:rPr>
        <w:t>“十四五”期间</w:t>
      </w:r>
      <w:r>
        <w:rPr>
          <w:rFonts w:hint="eastAsia" w:cs="Times New Roman"/>
        </w:rPr>
        <w:t>，锡林郭勒盟风电光伏</w:t>
      </w:r>
      <w:r>
        <w:rPr>
          <w:rFonts w:cs="Times New Roman"/>
        </w:rPr>
        <w:t>项目</w:t>
      </w:r>
      <w:r>
        <w:rPr>
          <w:rFonts w:hint="eastAsia" w:cs="Times New Roman"/>
        </w:rPr>
        <w:t>建设</w:t>
      </w:r>
      <w:r>
        <w:rPr>
          <w:rFonts w:cs="Times New Roman"/>
        </w:rPr>
        <w:t>总投资约680亿元，其中：风电项目总投资约600亿元，光伏项目总投资约80亿元。GDP贡献值达1300亿元</w:t>
      </w:r>
      <w:r>
        <w:rPr>
          <w:rFonts w:hint="eastAsia" w:cs="Times New Roman"/>
        </w:rPr>
        <w:t>/年</w:t>
      </w:r>
      <w:r>
        <w:rPr>
          <w:rFonts w:cs="Times New Roman"/>
        </w:rPr>
        <w:t>，建成后每年贡献税费约</w:t>
      </w:r>
      <w:r>
        <w:rPr>
          <w:rFonts w:hint="eastAsia" w:cs="Times New Roman"/>
        </w:rPr>
        <w:t>30</w:t>
      </w:r>
      <w:r>
        <w:rPr>
          <w:rFonts w:cs="Times New Roman"/>
        </w:rPr>
        <w:t>亿元</w:t>
      </w:r>
      <w:r>
        <w:rPr>
          <w:rFonts w:hint="eastAsia" w:cs="Times New Roman"/>
        </w:rPr>
        <w:t>左右。</w:t>
      </w:r>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cs="Times New Roman"/>
        </w:rPr>
      </w:pPr>
      <w:bookmarkStart w:id="84" w:name="_Toc113540790"/>
      <w:r>
        <w:rPr>
          <w:rFonts w:hint="eastAsia" w:cs="Times New Roman"/>
        </w:rPr>
        <w:t>（二）</w:t>
      </w:r>
      <w:r>
        <w:rPr>
          <w:rFonts w:cs="Times New Roman"/>
        </w:rPr>
        <w:t>规划</w:t>
      </w:r>
      <w:r>
        <w:rPr>
          <w:rFonts w:hint="eastAsia" w:cs="Times New Roman"/>
        </w:rPr>
        <w:t>实施效果</w:t>
      </w:r>
      <w:r>
        <w:rPr>
          <w:rFonts w:cs="Times New Roman"/>
        </w:rPr>
        <w:t>评估</w:t>
      </w:r>
      <w:bookmarkEnd w:id="84"/>
    </w:p>
    <w:p>
      <w:pPr>
        <w:keepNext w:val="0"/>
        <w:keepLines w:val="0"/>
        <w:pageBreakBefore w:val="0"/>
        <w:widowControl/>
        <w:kinsoku/>
        <w:wordWrap/>
        <w:overflowPunct/>
        <w:topLinePunct w:val="0"/>
        <w:autoSpaceDE/>
        <w:autoSpaceDN/>
        <w:bidi w:val="0"/>
        <w:adjustRightInd/>
        <w:snapToGrid/>
        <w:spacing w:line="580" w:lineRule="exact"/>
        <w:ind w:firstLine="643"/>
        <w:textAlignment w:val="auto"/>
        <w:rPr>
          <w:rFonts w:cs="Times New Roman"/>
          <w:bCs/>
        </w:rPr>
      </w:pPr>
      <w:r>
        <w:rPr>
          <w:rFonts w:hint="eastAsia" w:cs="Times New Roman"/>
          <w:b/>
        </w:rPr>
        <w:t>环境效益，</w:t>
      </w:r>
      <w:r>
        <w:rPr>
          <w:rFonts w:hint="eastAsia" w:cs="Times New Roman"/>
          <w:bCs/>
        </w:rPr>
        <w:t>建设风电光伏项目可为锡林郭勒盟带来良好的环境效益。风电光伏等绿色电力可替代大量化石能源消耗，减少二氧化碳、二氧化硫、烟尘等温室气体和污染物排放。到2025年，新能源项目每年可减少烟尘排放量约</w:t>
      </w:r>
      <w:r>
        <w:rPr>
          <w:rFonts w:cs="Times New Roman"/>
          <w:bCs/>
        </w:rPr>
        <w:t>0.06</w:t>
      </w:r>
      <w:r>
        <w:rPr>
          <w:rFonts w:hint="eastAsia" w:cs="Times New Roman"/>
          <w:bCs/>
        </w:rPr>
        <w:t>万吨，减少排放温室效应气体二氧化碳排放量约</w:t>
      </w:r>
      <w:r>
        <w:rPr>
          <w:rFonts w:cs="Times New Roman"/>
          <w:bCs/>
        </w:rPr>
        <w:t>1400</w:t>
      </w:r>
      <w:r>
        <w:rPr>
          <w:rFonts w:hint="eastAsia" w:cs="Times New Roman"/>
          <w:bCs/>
        </w:rPr>
        <w:t>万吨，减少二氧化硫排放量约</w:t>
      </w:r>
      <w:r>
        <w:rPr>
          <w:rFonts w:cs="Times New Roman"/>
          <w:bCs/>
        </w:rPr>
        <w:t>0.33</w:t>
      </w:r>
      <w:r>
        <w:rPr>
          <w:rFonts w:hint="eastAsia" w:cs="Times New Roman"/>
          <w:bCs/>
        </w:rPr>
        <w:t>万吨，氮氧化合物排放量约</w:t>
      </w:r>
      <w:r>
        <w:rPr>
          <w:rFonts w:cs="Times New Roman"/>
          <w:bCs/>
        </w:rPr>
        <w:t>0.31</w:t>
      </w:r>
      <w:r>
        <w:rPr>
          <w:rFonts w:hint="eastAsia" w:cs="Times New Roman"/>
          <w:bCs/>
        </w:rPr>
        <w:t>万吨。</w:t>
      </w:r>
    </w:p>
    <w:p>
      <w:pPr>
        <w:keepNext w:val="0"/>
        <w:keepLines w:val="0"/>
        <w:pageBreakBefore w:val="0"/>
        <w:widowControl/>
        <w:kinsoku/>
        <w:wordWrap/>
        <w:overflowPunct/>
        <w:topLinePunct w:val="0"/>
        <w:autoSpaceDE/>
        <w:autoSpaceDN/>
        <w:bidi w:val="0"/>
        <w:adjustRightInd/>
        <w:snapToGrid/>
        <w:spacing w:line="580" w:lineRule="exact"/>
        <w:ind w:firstLine="643"/>
        <w:textAlignment w:val="auto"/>
        <w:rPr>
          <w:rFonts w:cs="Times New Roman"/>
          <w:bCs/>
        </w:rPr>
      </w:pPr>
      <w:r>
        <w:rPr>
          <w:rFonts w:hint="eastAsia" w:cs="Times New Roman"/>
          <w:b/>
        </w:rPr>
        <w:t>经济效益，</w:t>
      </w:r>
      <w:r>
        <w:rPr>
          <w:rFonts w:hint="eastAsia" w:cs="Times New Roman"/>
          <w:bCs/>
        </w:rPr>
        <w:t>可有效推动当地自然资源转化为经济效益，有力促进当地的发展和带动就业，为当地乡村振兴注入新动力。结合农牧业发展的实际情况，发展现代高效农业，既具有无污染零排放的发电能力，又不额外占用土地，可实现土地立体化增值利用，实现光伏发展和畜牧业生产双赢。草场建设光伏阵列发电、阵列下生态养殖、种植，提高了土地的综合利用率。为失地农牧民提供二次就业机会，增加农牧民收入。</w:t>
      </w:r>
    </w:p>
    <w:p>
      <w:pPr>
        <w:keepNext w:val="0"/>
        <w:keepLines w:val="0"/>
        <w:pageBreakBefore w:val="0"/>
        <w:widowControl/>
        <w:kinsoku/>
        <w:wordWrap/>
        <w:overflowPunct/>
        <w:topLinePunct w:val="0"/>
        <w:autoSpaceDE/>
        <w:autoSpaceDN/>
        <w:bidi w:val="0"/>
        <w:adjustRightInd/>
        <w:snapToGrid/>
        <w:spacing w:line="580" w:lineRule="exact"/>
        <w:ind w:firstLine="643"/>
        <w:textAlignment w:val="auto"/>
        <w:rPr>
          <w:rFonts w:cs="Times New Roman"/>
        </w:rPr>
      </w:pPr>
      <w:r>
        <w:rPr>
          <w:rFonts w:hint="eastAsia" w:cs="Times New Roman"/>
          <w:b/>
        </w:rPr>
        <w:t>社会效益，</w:t>
      </w:r>
      <w:r>
        <w:rPr>
          <w:rFonts w:cs="Times New Roman"/>
        </w:rPr>
        <w:t>建设</w:t>
      </w:r>
      <w:r>
        <w:rPr>
          <w:rFonts w:hint="eastAsia" w:cs="Times New Roman"/>
        </w:rPr>
        <w:t>风电光伏项目</w:t>
      </w:r>
      <w:r>
        <w:rPr>
          <w:rFonts w:cs="Times New Roman"/>
        </w:rPr>
        <w:t>可为</w:t>
      </w:r>
      <w:r>
        <w:rPr>
          <w:rFonts w:hint="eastAsia" w:cs="Times New Roman"/>
        </w:rPr>
        <w:t>我盟</w:t>
      </w:r>
      <w:r>
        <w:rPr>
          <w:rFonts w:cs="Times New Roman"/>
        </w:rPr>
        <w:t>带来较好的经济和社会效益。</w:t>
      </w:r>
      <w:r>
        <w:rPr>
          <w:rFonts w:hint="eastAsia" w:cs="Times New Roman"/>
        </w:rPr>
        <w:t>围绕国家能源基地建设，推动能源产业向高端化、智能化、绿色化、融合化方向发展，形成多种能源协同互补、综合利用、集约高效供能方式，可有效助力我盟和自治区构建清洁低碳安全高效的能源体系。</w:t>
      </w:r>
      <w:bookmarkStart w:id="85" w:name="_Toc113540791"/>
    </w:p>
    <w:p>
      <w:pPr>
        <w:keepNext w:val="0"/>
        <w:keepLines w:val="0"/>
        <w:pageBreakBefore w:val="0"/>
        <w:widowControl/>
        <w:kinsoku/>
        <w:wordWrap/>
        <w:overflowPunct/>
        <w:topLinePunct w:val="0"/>
        <w:autoSpaceDE/>
        <w:autoSpaceDN/>
        <w:bidi w:val="0"/>
        <w:adjustRightInd/>
        <w:snapToGrid/>
        <w:spacing w:line="580" w:lineRule="exact"/>
        <w:ind w:left="0" w:leftChars="0" w:firstLine="720" w:firstLineChars="200"/>
        <w:textAlignment w:val="auto"/>
        <w:rPr>
          <w:rFonts w:ascii="黑体" w:hAnsi="黑体" w:eastAsia="黑体" w:cs="黑体"/>
          <w:sz w:val="36"/>
          <w:szCs w:val="36"/>
        </w:rPr>
      </w:pPr>
      <w:r>
        <w:rPr>
          <w:rFonts w:hint="eastAsia" w:ascii="黑体" w:hAnsi="黑体" w:eastAsia="黑体" w:cs="黑体"/>
          <w:sz w:val="36"/>
          <w:szCs w:val="36"/>
        </w:rPr>
        <w:t>八、保障措施</w:t>
      </w:r>
      <w:bookmarkEnd w:id="85"/>
      <w:bookmarkStart w:id="86" w:name="_Toc98702812"/>
      <w:bookmarkStart w:id="87" w:name="_Toc113540794"/>
      <w:bookmarkStart w:id="88" w:name="_Toc113540792"/>
      <w:bookmarkStart w:id="89" w:name="_Toc98702810"/>
    </w:p>
    <w:p>
      <w:pPr>
        <w:keepNext w:val="0"/>
        <w:keepLines w:val="0"/>
        <w:pageBreakBefore w:val="0"/>
        <w:widowControl/>
        <w:kinsoku/>
        <w:wordWrap/>
        <w:overflowPunct/>
        <w:topLinePunct w:val="0"/>
        <w:autoSpaceDE/>
        <w:autoSpaceDN/>
        <w:bidi w:val="0"/>
        <w:adjustRightInd/>
        <w:snapToGrid/>
        <w:spacing w:line="580" w:lineRule="exact"/>
        <w:ind w:firstLine="640"/>
        <w:textAlignment w:val="auto"/>
        <w:rPr>
          <w:rFonts w:cs="Times New Roman"/>
        </w:rPr>
      </w:pPr>
      <w:r>
        <w:rPr>
          <w:rFonts w:hint="eastAsia" w:ascii="黑体" w:hAnsi="黑体" w:eastAsia="黑体" w:cs="黑体"/>
        </w:rPr>
        <w:t>（一）加强组织协调</w:t>
      </w:r>
      <w:bookmarkEnd w:id="86"/>
      <w:bookmarkEnd w:id="87"/>
      <w:r>
        <w:rPr>
          <w:rFonts w:hint="eastAsia" w:ascii="黑体" w:hAnsi="黑体" w:eastAsia="黑体" w:cs="黑体"/>
        </w:rPr>
        <w:t>。</w:t>
      </w:r>
      <w:r>
        <w:rPr>
          <w:rFonts w:hint="eastAsia" w:cs="Times New Roman"/>
        </w:rPr>
        <w:t>建立健全规划实施责任机制，能源主管部门统筹，其他有关部门分工配合、企业细化落实。建立规划统筹协调机制，统筹研究制定各项子规划，使新能源发展与能源规划、电力专项规划、国土空间规划及产业布局相互衔接，与新能源发展相关的产业建设要与本规划协调统筹考虑，使新能源发展与其他产业协调发展。</w:t>
      </w:r>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cs="Times New Roman"/>
        </w:rPr>
      </w:pPr>
      <w:r>
        <w:rPr>
          <w:rFonts w:hint="eastAsia" w:cs="Times New Roman"/>
        </w:rPr>
        <w:t>（二）完善政策支持</w:t>
      </w:r>
      <w:bookmarkEnd w:id="88"/>
      <w:bookmarkEnd w:id="89"/>
      <w:r>
        <w:rPr>
          <w:rFonts w:hint="eastAsia" w:cs="Times New Roman"/>
        </w:rPr>
        <w:t>。</w:t>
      </w:r>
      <w:r>
        <w:rPr>
          <w:rFonts w:hint="eastAsia" w:eastAsia="仿宋" w:cs="Times New Roman"/>
          <w:sz w:val="32"/>
        </w:rPr>
        <w:t>全面落实国家、自治区、盟级新能源产业各项政策，完善保障性及市场化并网项目机制，多渠道支持新能源产业。落实国家和自治区新型储能相关政策，建立健全储能市场化补偿机制，规范新型储能行业管理体系，为新型储能规模化应用创造良好的政策环境。完善新能源绿色金融体系，拓宽资金渠道，社会资本按照市场化原则，多渠道筹资，支持新能源产业发展。</w:t>
      </w:r>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pPr>
      <w:bookmarkStart w:id="90" w:name="_Toc113540793"/>
      <w:bookmarkStart w:id="91" w:name="_Toc98702811"/>
      <w:r>
        <w:rPr>
          <w:rFonts w:hint="eastAsia" w:cs="Times New Roman"/>
        </w:rPr>
        <w:t>（三）提高电网</w:t>
      </w:r>
      <w:bookmarkEnd w:id="90"/>
      <w:bookmarkEnd w:id="91"/>
      <w:r>
        <w:rPr>
          <w:rFonts w:hint="eastAsia" w:cs="Times New Roman"/>
        </w:rPr>
        <w:t>保障能力。</w:t>
      </w:r>
      <w:r>
        <w:rPr>
          <w:rFonts w:hint="eastAsia" w:eastAsia="仿宋" w:cs="Times New Roman"/>
          <w:sz w:val="32"/>
        </w:rPr>
        <w:t>统筹资源开发条件和电源送出通道，做好新能源与配套汇集和送出工程的统一规划。符合规划的新能源项目建成即并网，对纳入相关规划的新能源配套送出工程项目开辟绿色审批通道。优先电网企业承建新能源配套送出工程，满足新能源并网需求。衔接好网源建设进度，实现网源协同发展。通过电网智能化运行提高系统调峰能力，推进支撑适应高比例、大规模新能源发展的主干电网建设。</w:t>
      </w:r>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eastAsia="仿宋" w:cs="Times New Roman"/>
          <w:sz w:val="32"/>
        </w:rPr>
      </w:pPr>
      <w:r>
        <w:rPr>
          <w:rFonts w:hint="eastAsia" w:cs="Times New Roman"/>
        </w:rPr>
        <w:t>（四）加强用地支撑。</w:t>
      </w:r>
      <w:r>
        <w:rPr>
          <w:rFonts w:hint="eastAsia" w:eastAsia="仿宋" w:cs="Times New Roman"/>
          <w:sz w:val="32"/>
        </w:rPr>
        <w:t>统筹兼顾生态安全屏障建设和新能源发展，按照区域发展定位和产业发展布局，依据国土空间规划，完善新能源空间用途管制规则，保障新能源开发利用合理的用地空间需求。落实草原林地征占用分区管控政策，保障新能源项目使用草原林地需求。支持风电光伏项目使用未利用土地，鼓励风电光伏项目利用沙地、露天矿排土场、采煤沉陷区和已关闭退出的煤矿治理区。对新建先进制造业项目用地，可采取长期租赁、先租后让、弹性年期出让等多种方式取得土地使用权。</w:t>
      </w:r>
    </w:p>
    <w:p>
      <w:pPr>
        <w:keepNext w:val="0"/>
        <w:keepLines w:val="0"/>
        <w:pageBreakBefore w:val="0"/>
        <w:widowControl/>
        <w:kinsoku/>
        <w:wordWrap/>
        <w:overflowPunct/>
        <w:topLinePunct w:val="0"/>
        <w:autoSpaceDE/>
        <w:autoSpaceDN/>
        <w:bidi w:val="0"/>
        <w:adjustRightInd/>
        <w:snapToGrid/>
        <w:spacing w:line="580" w:lineRule="exact"/>
        <w:ind w:firstLine="600"/>
        <w:textAlignment w:val="auto"/>
        <w:rPr>
          <w:rFonts w:cs="Times New Roman"/>
        </w:rPr>
      </w:pPr>
      <w:r>
        <w:rPr>
          <w:rFonts w:hint="eastAsia" w:eastAsia="黑体" w:cs="Times New Roman"/>
          <w:sz w:val="30"/>
        </w:rPr>
        <w:t>（五）加强实施评估。</w:t>
      </w:r>
      <w:r>
        <w:rPr>
          <w:rFonts w:hint="eastAsia" w:cs="Times New Roman"/>
        </w:rPr>
        <w:t>加强规划实施评估，适时进行滚动修编，强化规划刚性管理，完善评估考核制度，跟踪分析规划实施情况，掌握目标任务进度，及时发现并纠正规划实施中存在的问题，确保规划提出的各项目标落到实处。</w:t>
      </w:r>
    </w:p>
    <w:p>
      <w:pPr>
        <w:pStyle w:val="5"/>
        <w:keepNext w:val="0"/>
        <w:keepLines w:val="0"/>
        <w:pageBreakBefore w:val="0"/>
        <w:widowControl/>
        <w:numPr>
          <w:ilvl w:val="1"/>
          <w:numId w:val="0"/>
        </w:numPr>
        <w:kinsoku/>
        <w:wordWrap/>
        <w:overflowPunct/>
        <w:topLinePunct w:val="0"/>
        <w:autoSpaceDE/>
        <w:autoSpaceDN/>
        <w:bidi w:val="0"/>
        <w:adjustRightInd/>
        <w:snapToGrid/>
        <w:spacing w:line="580" w:lineRule="exact"/>
        <w:ind w:firstLine="600" w:firstLineChars="200"/>
        <w:textAlignment w:val="auto"/>
        <w:rPr>
          <w:rFonts w:eastAsia="仿宋" w:cs="Times New Roman"/>
          <w:sz w:val="32"/>
        </w:rPr>
      </w:pPr>
      <w:bookmarkStart w:id="92" w:name="_Toc98702813"/>
      <w:bookmarkStart w:id="93" w:name="_Toc113540795"/>
      <w:r>
        <w:rPr>
          <w:rFonts w:hint="eastAsia" w:cs="Times New Roman"/>
        </w:rPr>
        <w:t>（六）落实产业保障和激励措施</w:t>
      </w:r>
      <w:bookmarkEnd w:id="92"/>
      <w:bookmarkEnd w:id="93"/>
      <w:r>
        <w:rPr>
          <w:rFonts w:hint="eastAsia" w:cs="Times New Roman"/>
        </w:rPr>
        <w:t>。</w:t>
      </w:r>
      <w:r>
        <w:rPr>
          <w:rFonts w:hint="eastAsia" w:eastAsia="仿宋" w:cs="Times New Roman"/>
          <w:sz w:val="32"/>
        </w:rPr>
        <w:t>统筹推进新能源开发与装备制造业发展，优先支持新能源开发与装备制造一体化建设。鼓励产业链链主企业单独开展大型新能源协同互动示范项目建设，对符合战略性新兴产业发展定位、产业链配套的重大示范项目，支持建设一定规模的保障性新能源项目。研究推动设立新能源装备制造业产业基金，针对具有核心竞争力的关键零部件配套项目，给予投资补助或贷款贴息支持。对盟内新能源装备制造企业建设研发中心、技术中心以及新创建国家级、自治区级制造业创新中心的，按照国家、自治区、盟级有关规定，给予奖励和补助。</w:t>
      </w:r>
    </w:p>
    <w:p>
      <w:pPr>
        <w:keepNext w:val="0"/>
        <w:keepLines w:val="0"/>
        <w:pageBreakBefore w:val="0"/>
        <w:widowControl/>
        <w:kinsoku/>
        <w:wordWrap/>
        <w:overflowPunct/>
        <w:topLinePunct w:val="0"/>
        <w:autoSpaceDE/>
        <w:autoSpaceDN/>
        <w:bidi w:val="0"/>
        <w:adjustRightInd/>
        <w:snapToGrid/>
        <w:spacing w:line="580" w:lineRule="exact"/>
        <w:ind w:firstLine="0" w:firstLineChars="0"/>
        <w:textAlignment w:val="auto"/>
        <w:rPr>
          <w:rFonts w:cs="Times New Roman"/>
        </w:rPr>
      </w:pPr>
      <w:r>
        <w:rPr>
          <w:rFonts w:cs="Times New Roman"/>
        </w:rPr>
        <w:t xml:space="preserve"> </w:t>
      </w:r>
    </w:p>
    <w:p>
      <w:pPr>
        <w:ind w:firstLine="0" w:firstLineChars="0"/>
        <w:rPr>
          <w:rFonts w:hint="eastAsia" w:ascii="楷体" w:hAnsi="楷体" w:eastAsia="楷体" w:cs="楷体"/>
          <w:sz w:val="30"/>
          <w:szCs w:val="30"/>
        </w:rPr>
      </w:pPr>
    </w:p>
    <w:p>
      <w:pPr>
        <w:ind w:firstLine="0" w:firstLineChars="0"/>
        <w:rPr>
          <w:rFonts w:hint="eastAsia" w:ascii="楷体" w:hAnsi="楷体" w:eastAsia="楷体" w:cs="楷体"/>
          <w:sz w:val="30"/>
          <w:szCs w:val="30"/>
        </w:rPr>
      </w:pPr>
    </w:p>
    <w:p>
      <w:pPr>
        <w:ind w:firstLine="0" w:firstLineChars="0"/>
        <w:rPr>
          <w:rFonts w:hint="eastAsia" w:ascii="楷体" w:hAnsi="楷体" w:eastAsia="楷体" w:cs="楷体"/>
          <w:sz w:val="30"/>
          <w:szCs w:val="30"/>
        </w:rPr>
      </w:pPr>
    </w:p>
    <w:p>
      <w:pPr>
        <w:ind w:firstLine="0" w:firstLineChars="0"/>
        <w:rPr>
          <w:rFonts w:hint="eastAsia" w:ascii="楷体" w:hAnsi="楷体" w:eastAsia="楷体" w:cs="楷体"/>
          <w:sz w:val="30"/>
          <w:szCs w:val="30"/>
        </w:rPr>
      </w:pPr>
    </w:p>
    <w:p>
      <w:pPr>
        <w:ind w:firstLine="0" w:firstLineChars="0"/>
        <w:rPr>
          <w:rFonts w:hint="eastAsia" w:ascii="楷体" w:hAnsi="楷体" w:eastAsia="楷体" w:cs="楷体"/>
          <w:sz w:val="30"/>
          <w:szCs w:val="30"/>
        </w:rPr>
      </w:pPr>
    </w:p>
    <w:p>
      <w:pPr>
        <w:ind w:firstLine="0" w:firstLineChars="0"/>
        <w:rPr>
          <w:rFonts w:hint="eastAsia" w:ascii="楷体" w:hAnsi="楷体" w:eastAsia="楷体" w:cs="楷体"/>
          <w:sz w:val="30"/>
          <w:szCs w:val="30"/>
        </w:rPr>
      </w:pPr>
    </w:p>
    <w:p>
      <w:pPr>
        <w:ind w:firstLine="0" w:firstLineChars="0"/>
        <w:rPr>
          <w:rFonts w:hint="eastAsia" w:ascii="楷体" w:hAnsi="楷体" w:eastAsia="楷体" w:cs="楷体"/>
          <w:sz w:val="30"/>
          <w:szCs w:val="30"/>
        </w:rPr>
      </w:pPr>
    </w:p>
    <w:p>
      <w:pPr>
        <w:ind w:firstLine="0" w:firstLineChars="0"/>
        <w:rPr>
          <w:rFonts w:hint="eastAsia" w:ascii="楷体" w:hAnsi="楷体" w:eastAsia="楷体" w:cs="楷体"/>
          <w:sz w:val="30"/>
          <w:szCs w:val="30"/>
        </w:rPr>
      </w:pPr>
    </w:p>
    <w:p>
      <w:pPr>
        <w:ind w:firstLine="0" w:firstLineChars="0"/>
        <w:rPr>
          <w:rFonts w:ascii="楷体" w:hAnsi="楷体" w:eastAsia="楷体" w:cs="楷体"/>
          <w:sz w:val="30"/>
          <w:szCs w:val="30"/>
        </w:rPr>
      </w:pPr>
      <w:r>
        <w:rPr>
          <w:rFonts w:hint="eastAsia" w:ascii="楷体" w:hAnsi="楷体" w:eastAsia="楷体" w:cs="楷体"/>
          <w:sz w:val="30"/>
          <w:szCs w:val="30"/>
        </w:rPr>
        <w:t>附表1：</w:t>
      </w:r>
    </w:p>
    <w:p>
      <w:pPr>
        <w:ind w:firstLine="0" w:firstLineChars="0"/>
        <w:rPr>
          <w:rFonts w:hint="eastAsia" w:ascii="楷体" w:hAnsi="楷体" w:eastAsia="楷体" w:cs="楷体"/>
          <w:sz w:val="30"/>
          <w:szCs w:val="30"/>
        </w:rPr>
      </w:pPr>
      <w:r>
        <w:rPr>
          <w:rFonts w:hint="eastAsia" w:ascii="楷体" w:hAnsi="楷体" w:eastAsia="楷体" w:cs="楷体"/>
          <w:sz w:val="30"/>
          <w:szCs w:val="30"/>
          <w:lang w:eastAsia="zh-CN"/>
        </w:rPr>
        <w:drawing>
          <wp:inline distT="0" distB="0" distL="114300" distR="114300">
            <wp:extent cx="5762625" cy="8156575"/>
            <wp:effectExtent l="0" t="0" r="9525" b="15875"/>
            <wp:docPr id="7" name="图片 7" descr="全盟“十四五”期间拟实施重大新能源项目清单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全盟“十四五”期间拟实施重大新能源项目清单_00"/>
                    <pic:cNvPicPr>
                      <a:picLocks noChangeAspect="1"/>
                    </pic:cNvPicPr>
                  </pic:nvPicPr>
                  <pic:blipFill>
                    <a:blip r:embed="rId16"/>
                    <a:stretch>
                      <a:fillRect/>
                    </a:stretch>
                  </pic:blipFill>
                  <pic:spPr>
                    <a:xfrm>
                      <a:off x="0" y="0"/>
                      <a:ext cx="5762625" cy="8156575"/>
                    </a:xfrm>
                    <a:prstGeom prst="rect">
                      <a:avLst/>
                    </a:prstGeom>
                  </pic:spPr>
                </pic:pic>
              </a:graphicData>
            </a:graphic>
          </wp:inline>
        </w:drawing>
      </w:r>
    </w:p>
    <w:p>
      <w:pPr>
        <w:ind w:firstLine="0" w:firstLineChars="0"/>
        <w:rPr>
          <w:rFonts w:ascii="楷体" w:hAnsi="楷体" w:eastAsia="楷体" w:cs="楷体"/>
          <w:sz w:val="30"/>
          <w:szCs w:val="30"/>
        </w:rPr>
      </w:pPr>
      <w:r>
        <w:rPr>
          <w:rFonts w:hint="eastAsia" w:ascii="楷体" w:hAnsi="楷体" w:eastAsia="楷体" w:cs="楷体"/>
          <w:sz w:val="30"/>
          <w:szCs w:val="30"/>
        </w:rPr>
        <w:t>附件2：</w:t>
      </w:r>
    </w:p>
    <w:p>
      <w:pPr>
        <w:ind w:firstLine="0" w:firstLineChars="0"/>
        <w:rPr>
          <w:rFonts w:hint="eastAsia" w:eastAsia="仿宋" w:cs="Times New Roman"/>
          <w:lang w:eastAsia="zh-CN"/>
        </w:rPr>
      </w:pPr>
      <w:r>
        <w:rPr>
          <w:rFonts w:hint="eastAsia" w:eastAsia="仿宋" w:cs="Times New Roman"/>
          <w:lang w:eastAsia="zh-CN"/>
        </w:rPr>
        <w:drawing>
          <wp:inline distT="0" distB="0" distL="114300" distR="114300">
            <wp:extent cx="8114665" cy="5570220"/>
            <wp:effectExtent l="0" t="0" r="11430" b="635"/>
            <wp:docPr id="6" name="图片 6" descr="webwxgetmsg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webwxgetmsgimg"/>
                    <pic:cNvPicPr>
                      <a:picLocks noChangeAspect="1"/>
                    </pic:cNvPicPr>
                  </pic:nvPicPr>
                  <pic:blipFill>
                    <a:blip r:embed="rId17"/>
                    <a:stretch>
                      <a:fillRect/>
                    </a:stretch>
                  </pic:blipFill>
                  <pic:spPr>
                    <a:xfrm rot="16200000">
                      <a:off x="0" y="0"/>
                      <a:ext cx="8114665" cy="5570220"/>
                    </a:xfrm>
                    <a:prstGeom prst="rect">
                      <a:avLst/>
                    </a:prstGeom>
                  </pic:spPr>
                </pic:pic>
              </a:graphicData>
            </a:graphic>
          </wp:inline>
        </w:drawing>
      </w:r>
    </w:p>
    <w:sectPr>
      <w:headerReference r:id="rId10" w:type="default"/>
      <w:footerReference r:id="rId11" w:type="default"/>
      <w:pgSz w:w="11906" w:h="16838"/>
      <w:pgMar w:top="1440" w:right="1800" w:bottom="1440" w:left="1800" w:header="851" w:footer="833" w:gutter="0"/>
      <w:pgNumType w:fmt="decimal" w:start="2"/>
      <w:cols w:space="425" w:num="1"/>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CAGKDB+CESI_FS_GB18030"/>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Calibri Light">
    <w:altName w:val="DejaVu Sans"/>
    <w:panose1 w:val="020F0302020204030204"/>
    <w:charset w:val="00"/>
    <w:family w:val="swiss"/>
    <w:pitch w:val="default"/>
    <w:sig w:usb0="00000000" w:usb1="00000000" w:usb2="00000009" w:usb3="00000000" w:csb0="200001FF" w:csb1="00000000"/>
  </w:font>
  <w:font w:name="方正仿宋_GBK">
    <w:panose1 w:val="02000000000000000000"/>
    <w:charset w:val="86"/>
    <w:family w:val="script"/>
    <w:pitch w:val="default"/>
    <w:sig w:usb0="00000001" w:usb1="08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微软雅黑">
    <w:panose1 w:val="020B0503020204020204"/>
    <w:charset w:val="86"/>
    <w:family w:val="auto"/>
    <w:pitch w:val="default"/>
    <w:sig w:usb0="80000287" w:usb1="280F3C52" w:usb2="00000016" w:usb3="00000000" w:csb0="0004001F" w:csb1="00000000"/>
  </w:font>
  <w:font w:name="CAGKDB+CESI_FS_GB18030">
    <w:altName w:val="宋体"/>
    <w:panose1 w:val="02000500000000000000"/>
    <w:charset w:val="86"/>
    <w:family w:val="auto"/>
    <w:pitch w:val="default"/>
    <w:sig w:usb0="00000000" w:usb1="00000000" w:usb2="00000000" w:usb3="00000000" w:csb0="80000000" w:csb1="00000000"/>
  </w:font>
  <w:font w:name="Arial">
    <w:altName w:val="Times New Roman"/>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480"/>
      <w:jc w:val="center"/>
      <w:rPr>
        <w:color w:val="000000" w:themeColor="text1"/>
        <w:sz w:val="24"/>
        <w:szCs w:val="24"/>
        <w14:textFill>
          <w14:solidFill>
            <w14:schemeClr w14:val="tx1"/>
          </w14:solidFill>
        </w14:textFil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ind w:firstLine="36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WAAAA&#10;ZHJzL1BLAQIUABQAAAAIAIdO4kCzSVju0AAAAAUBAAAPAAAAAAAAAAEAIAAAADgAAABkcnMvZG93&#10;bnJldi54bWxQSwECFAAUAAAACACHTuJActDybSsCAABVBAAADgAAAAAAAAABACAAAAA1AQAAZHJz&#10;L2Uyb0RvYy54bWxQSwUGAAAAAAYABgBZAQAA0gUAAAAA&#10;">
              <v:fill on="f" focussize="0,0"/>
              <v:stroke on="f" weight="0.5pt"/>
              <v:imagedata o:title=""/>
              <o:lock v:ext="edit" aspectratio="f"/>
              <v:textbox inset="0mm,0mm,0mm,0mm" style="mso-fit-shape-to-text:t;">
                <w:txbxContent>
                  <w:p>
                    <w:pPr>
                      <w:pStyle w:val="14"/>
                      <w:ind w:firstLine="36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480"/>
      <w:jc w:val="center"/>
      <w:rPr>
        <w:color w:val="000000" w:themeColor="text1"/>
        <w:sz w:val="24"/>
        <w:szCs w:val="24"/>
        <w14:textFill>
          <w14:solidFill>
            <w14:schemeClr w14:val="tx1"/>
          </w14:solidFill>
        </w14:textFill>
      </w:rPr>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593086520"/>
                          </w:sdtPr>
                          <w:sdtEndPr>
                            <w:rPr>
                              <w:color w:val="000000" w:themeColor="text1"/>
                              <w:sz w:val="24"/>
                              <w:szCs w:val="24"/>
                              <w14:textFill>
                                <w14:solidFill>
                                  <w14:schemeClr w14:val="tx1"/>
                                </w14:solidFill>
                              </w14:textFill>
                            </w:rPr>
                          </w:sdtEndPr>
                          <w:sdtContent>
                            <w:p>
                              <w:pPr>
                                <w:pStyle w:val="14"/>
                                <w:ind w:firstLine="360"/>
                                <w:jc w:val="cente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fldChar w:fldCharType="begin"/>
                              </w:r>
                              <w:r>
                                <w:rPr>
                                  <w:color w:val="000000" w:themeColor="text1"/>
                                  <w:sz w:val="24"/>
                                  <w:szCs w:val="24"/>
                                  <w14:textFill>
                                    <w14:solidFill>
                                      <w14:schemeClr w14:val="tx1"/>
                                    </w14:solidFill>
                                  </w14:textFill>
                                </w:rPr>
                                <w:instrText xml:space="preserve">PAGE   \* MERGEFORMAT</w:instrText>
                              </w:r>
                              <w:r>
                                <w:rPr>
                                  <w:color w:val="000000" w:themeColor="text1"/>
                                  <w:sz w:val="24"/>
                                  <w:szCs w:val="24"/>
                                  <w14:textFill>
                                    <w14:solidFill>
                                      <w14:schemeClr w14:val="tx1"/>
                                    </w14:solidFill>
                                  </w14:textFill>
                                </w:rPr>
                                <w:fldChar w:fldCharType="separate"/>
                              </w:r>
                              <w:r>
                                <w:rPr>
                                  <w:color w:val="000000" w:themeColor="text1"/>
                                  <w:sz w:val="24"/>
                                  <w:szCs w:val="24"/>
                                  <w:lang w:val="zh-CN"/>
                                  <w14:textFill>
                                    <w14:solidFill>
                                      <w14:schemeClr w14:val="tx1"/>
                                    </w14:solidFill>
                                  </w14:textFill>
                                </w:rPr>
                                <w:t>II</w:t>
                              </w:r>
                              <w:r>
                                <w:rPr>
                                  <w:color w:val="000000" w:themeColor="text1"/>
                                  <w:sz w:val="24"/>
                                  <w:szCs w:val="24"/>
                                  <w14:textFill>
                                    <w14:solidFill>
                                      <w14:schemeClr w14:val="tx1"/>
                                    </w14:solidFill>
                                  </w14:textFill>
                                </w:rPr>
                                <w:fldChar w:fldCharType="end"/>
                              </w:r>
                            </w:p>
                          </w:sdtContent>
                        </w:sdt>
                        <w:p>
                          <w:pPr>
                            <w:ind w:firstLine="480"/>
                            <w:rPr>
                              <w:color w:val="000000" w:themeColor="text1"/>
                              <w:sz w:val="24"/>
                              <w:szCs w:val="24"/>
                              <w14:textFill>
                                <w14:solidFill>
                                  <w14:schemeClr w14:val="tx1"/>
                                </w14:solidFill>
                              </w14:textFill>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WAAAA&#10;ZHJzL1BLAQIUABQAAAAIAIdO4kCzSVju0AAAAAUBAAAPAAAAAAAAAAEAIAAAADgAAABkcnMvZG93&#10;bnJldi54bWxQSwECFAAUAAAACACHTuJABWGMPysCAABVBAAADgAAAAAAAAABACAAAAA1AQAAZHJz&#10;L2Uyb0RvYy54bWxQSwUGAAAAAAYABgBZAQAA0gUAAAAA&#10;">
              <v:fill on="f" focussize="0,0"/>
              <v:stroke on="f" weight="0.5pt"/>
              <v:imagedata o:title=""/>
              <o:lock v:ext="edit" aspectratio="f"/>
              <v:textbox inset="0mm,0mm,0mm,0mm" style="mso-fit-shape-to-text:t;">
                <w:txbxContent>
                  <w:sdt>
                    <w:sdtPr>
                      <w:id w:val="-593086520"/>
                    </w:sdtPr>
                    <w:sdtEndPr>
                      <w:rPr>
                        <w:color w:val="000000" w:themeColor="text1"/>
                        <w:sz w:val="24"/>
                        <w:szCs w:val="24"/>
                        <w14:textFill>
                          <w14:solidFill>
                            <w14:schemeClr w14:val="tx1"/>
                          </w14:solidFill>
                        </w14:textFill>
                      </w:rPr>
                    </w:sdtEndPr>
                    <w:sdtContent>
                      <w:p>
                        <w:pPr>
                          <w:pStyle w:val="14"/>
                          <w:ind w:firstLine="360"/>
                          <w:jc w:val="cente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fldChar w:fldCharType="begin"/>
                        </w:r>
                        <w:r>
                          <w:rPr>
                            <w:color w:val="000000" w:themeColor="text1"/>
                            <w:sz w:val="24"/>
                            <w:szCs w:val="24"/>
                            <w14:textFill>
                              <w14:solidFill>
                                <w14:schemeClr w14:val="tx1"/>
                              </w14:solidFill>
                            </w14:textFill>
                          </w:rPr>
                          <w:instrText xml:space="preserve">PAGE   \* MERGEFORMAT</w:instrText>
                        </w:r>
                        <w:r>
                          <w:rPr>
                            <w:color w:val="000000" w:themeColor="text1"/>
                            <w:sz w:val="24"/>
                            <w:szCs w:val="24"/>
                            <w14:textFill>
                              <w14:solidFill>
                                <w14:schemeClr w14:val="tx1"/>
                              </w14:solidFill>
                            </w14:textFill>
                          </w:rPr>
                          <w:fldChar w:fldCharType="separate"/>
                        </w:r>
                        <w:r>
                          <w:rPr>
                            <w:color w:val="000000" w:themeColor="text1"/>
                            <w:sz w:val="24"/>
                            <w:szCs w:val="24"/>
                            <w:lang w:val="zh-CN"/>
                            <w14:textFill>
                              <w14:solidFill>
                                <w14:schemeClr w14:val="tx1"/>
                              </w14:solidFill>
                            </w14:textFill>
                          </w:rPr>
                          <w:t>II</w:t>
                        </w:r>
                        <w:r>
                          <w:rPr>
                            <w:color w:val="000000" w:themeColor="text1"/>
                            <w:sz w:val="24"/>
                            <w:szCs w:val="24"/>
                            <w14:textFill>
                              <w14:solidFill>
                                <w14:schemeClr w14:val="tx1"/>
                              </w14:solidFill>
                            </w14:textFill>
                          </w:rPr>
                          <w:fldChar w:fldCharType="end"/>
                        </w:r>
                      </w:p>
                    </w:sdtContent>
                  </w:sdt>
                  <w:p>
                    <w:pPr>
                      <w:ind w:firstLine="480"/>
                      <w:rPr>
                        <w:color w:val="000000" w:themeColor="text1"/>
                        <w:sz w:val="24"/>
                        <w:szCs w:val="24"/>
                        <w14:textFill>
                          <w14:solidFill>
                            <w14:schemeClr w14:val="tx1"/>
                          </w14:solidFill>
                        </w14:textFill>
                      </w:rPr>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690880" cy="1828800"/>
              <wp:effectExtent l="0" t="0" r="13970" b="17145"/>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691117" cy="1828800"/>
                      </a:xfrm>
                      <a:prstGeom prst="rect">
                        <a:avLst/>
                      </a:prstGeom>
                      <a:noFill/>
                      <a:ln>
                        <a:noFill/>
                      </a:ln>
                    </wps:spPr>
                    <wps:txbx>
                      <w:txbxContent>
                        <w:p>
                          <w:pPr>
                            <w:snapToGrid w:val="0"/>
                            <w:ind w:firstLine="480"/>
                            <w:rPr>
                              <w:rFonts w:hint="eastAsia" w:eastAsia="仿宋" w:cs="Times New Roman"/>
                              <w:sz w:val="24"/>
                              <w:szCs w:val="24"/>
                              <w:lang w:val="en-US" w:eastAsia="zh-CN"/>
                            </w:rPr>
                          </w:pPr>
                          <w:r>
                            <w:rPr>
                              <w:rFonts w:hint="eastAsia" w:cs="Times New Roman"/>
                              <w:sz w:val="24"/>
                              <w:szCs w:val="24"/>
                              <w:lang w:val="en-US" w:eastAsia="zh-CN"/>
                            </w:rPr>
                            <w:t>1</w:t>
                          </w:r>
                        </w:p>
                      </w:txbxContent>
                    </wps:txbx>
                    <wps:bodyPr rot="0" vert="horz" wrap="square" lIns="0" tIns="0" rIns="0" bIns="0" anchor="t" anchorCtr="0" upright="1">
                      <a:spAutoFit/>
                    </wps:bodyPr>
                  </wps:wsp>
                </a:graphicData>
              </a:graphic>
            </wp:anchor>
          </w:drawing>
        </mc:Choice>
        <mc:Fallback>
          <w:pict>
            <v:shape id="_x0000_s1026" o:spid="_x0000_s1026" o:spt="202" type="#_x0000_t202" style="position:absolute;left:0pt;margin-top:0pt;height:144pt;width:54.4pt;mso-position-horizontal:center;mso-position-horizontal-relative:margin;z-index:251659264;mso-width-relative:page;mso-height-relative:page;" filled="f" stroked="f" coordsize="21600,21600" o:gfxdata="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BYAAABkcnMvUEsBAhQAFAAAAAgAh07iQBMYe9fSAAAABQEA&#10;AA8AAAAAAAAAAQAgAAAAOAAAAGRycy9kb3ducmV2LnhtbFBLAQIUABQAAAAIAIdO4kDbFvmACgIA&#10;AAUEAAAOAAAAAAAAAAEAIAAAADcBAABkcnMvZTJvRG9jLnhtbFBLBQYAAAAABgAGAFkBAACzBQAA&#10;AAA=&#10;">
              <v:fill on="f" focussize="0,0"/>
              <v:stroke on="f"/>
              <v:imagedata o:title=""/>
              <o:lock v:ext="edit" aspectratio="f"/>
              <v:textbox inset="0mm,0mm,0mm,0mm" style="mso-fit-shape-to-text:t;">
                <w:txbxContent>
                  <w:p>
                    <w:pPr>
                      <w:snapToGrid w:val="0"/>
                      <w:ind w:firstLine="480"/>
                      <w:rPr>
                        <w:rFonts w:hint="eastAsia" w:eastAsia="仿宋" w:cs="Times New Roman"/>
                        <w:sz w:val="24"/>
                        <w:szCs w:val="24"/>
                        <w:lang w:val="en-US" w:eastAsia="zh-CN"/>
                      </w:rPr>
                    </w:pPr>
                    <w:r>
                      <w:rPr>
                        <w:rFonts w:hint="eastAsia" w:cs="Times New Roman"/>
                        <w:sz w:val="24"/>
                        <w:szCs w:val="24"/>
                        <w:lang w:val="en-US" w:eastAsia="zh-CN"/>
                      </w:rPr>
                      <w:t>1</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480"/>
      <w:jc w:val="center"/>
      <w:rPr>
        <w:rFonts w:cs="Times New Roman"/>
        <w:sz w:val="24"/>
        <w:szCs w:val="24"/>
      </w:rPr>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960259954"/>
                          </w:sdtPr>
                          <w:sdtEndPr>
                            <w:rPr>
                              <w:rFonts w:cs="Times New Roman"/>
                              <w:sz w:val="24"/>
                              <w:szCs w:val="24"/>
                            </w:rPr>
                          </w:sdtEndPr>
                          <w:sdtContent>
                            <w:p>
                              <w:pPr>
                                <w:pStyle w:val="14"/>
                                <w:ind w:firstLine="360"/>
                                <w:jc w:val="center"/>
                                <w:rPr>
                                  <w:rFonts w:cs="Times New Roman"/>
                                  <w:sz w:val="24"/>
                                  <w:szCs w:val="24"/>
                                </w:rPr>
                              </w:pPr>
                              <w:r>
                                <w:rPr>
                                  <w:rFonts w:cs="Times New Roman"/>
                                  <w:sz w:val="24"/>
                                  <w:szCs w:val="24"/>
                                </w:rPr>
                                <w:fldChar w:fldCharType="begin"/>
                              </w:r>
                              <w:r>
                                <w:rPr>
                                  <w:rFonts w:cs="Times New Roman"/>
                                  <w:sz w:val="24"/>
                                  <w:szCs w:val="24"/>
                                </w:rPr>
                                <w:instrText xml:space="preserve">PAGE   \* MERGEFORMAT</w:instrText>
                              </w:r>
                              <w:r>
                                <w:rPr>
                                  <w:rFonts w:cs="Times New Roman"/>
                                  <w:sz w:val="24"/>
                                  <w:szCs w:val="24"/>
                                </w:rPr>
                                <w:fldChar w:fldCharType="separate"/>
                              </w:r>
                              <w:r>
                                <w:rPr>
                                  <w:rFonts w:cs="Times New Roman"/>
                                  <w:sz w:val="24"/>
                                  <w:szCs w:val="24"/>
                                  <w:lang w:val="zh-CN"/>
                                </w:rPr>
                                <w:t>-</w:t>
                              </w:r>
                              <w:r>
                                <w:rPr>
                                  <w:rFonts w:cs="Times New Roman"/>
                                  <w:sz w:val="24"/>
                                  <w:szCs w:val="24"/>
                                </w:rPr>
                                <w:t xml:space="preserve"> 25 -</w:t>
                              </w:r>
                              <w:r>
                                <w:rPr>
                                  <w:rFonts w:cs="Times New Roman"/>
                                  <w:sz w:val="24"/>
                                  <w:szCs w:val="24"/>
                                </w:rPr>
                                <w:fldChar w:fldCharType="end"/>
                              </w:r>
                            </w:p>
                          </w:sdtContent>
                        </w:sdt>
                        <w:p>
                          <w:pPr>
                            <w:ind w:firstLine="480"/>
                            <w:rPr>
                              <w:rFonts w:cs="Times New Roman"/>
                              <w:sz w:val="24"/>
                              <w:szCs w:val="24"/>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FgAA&#10;AGRycy9QSwECFAAUAAAACACHTuJAs0lY7tAAAAAFAQAADwAAAAAAAAABACAAAAA4AAAAZHJzL2Rv&#10;d25yZXYueG1sUEsBAhQAFAAAAAgAh07iQBcMibgsAgAAVQQAAA4AAAAAAAAAAQAgAAAANQEAAGRy&#10;cy9lMm9Eb2MueG1sUEsFBgAAAAAGAAYAWQEAANMFAAAAAA==&#10;">
              <v:fill on="f" focussize="0,0"/>
              <v:stroke on="f" weight="0.5pt"/>
              <v:imagedata o:title=""/>
              <o:lock v:ext="edit" aspectratio="f"/>
              <v:textbox inset="0mm,0mm,0mm,0mm" style="mso-fit-shape-to-text:t;">
                <w:txbxContent>
                  <w:sdt>
                    <w:sdtPr>
                      <w:id w:val="-960259954"/>
                    </w:sdtPr>
                    <w:sdtEndPr>
                      <w:rPr>
                        <w:rFonts w:cs="Times New Roman"/>
                        <w:sz w:val="24"/>
                        <w:szCs w:val="24"/>
                      </w:rPr>
                    </w:sdtEndPr>
                    <w:sdtContent>
                      <w:p>
                        <w:pPr>
                          <w:pStyle w:val="14"/>
                          <w:ind w:firstLine="360"/>
                          <w:jc w:val="center"/>
                          <w:rPr>
                            <w:rFonts w:cs="Times New Roman"/>
                            <w:sz w:val="24"/>
                            <w:szCs w:val="24"/>
                          </w:rPr>
                        </w:pPr>
                        <w:r>
                          <w:rPr>
                            <w:rFonts w:cs="Times New Roman"/>
                            <w:sz w:val="24"/>
                            <w:szCs w:val="24"/>
                          </w:rPr>
                          <w:fldChar w:fldCharType="begin"/>
                        </w:r>
                        <w:r>
                          <w:rPr>
                            <w:rFonts w:cs="Times New Roman"/>
                            <w:sz w:val="24"/>
                            <w:szCs w:val="24"/>
                          </w:rPr>
                          <w:instrText xml:space="preserve">PAGE   \* MERGEFORMAT</w:instrText>
                        </w:r>
                        <w:r>
                          <w:rPr>
                            <w:rFonts w:cs="Times New Roman"/>
                            <w:sz w:val="24"/>
                            <w:szCs w:val="24"/>
                          </w:rPr>
                          <w:fldChar w:fldCharType="separate"/>
                        </w:r>
                        <w:r>
                          <w:rPr>
                            <w:rFonts w:cs="Times New Roman"/>
                            <w:sz w:val="24"/>
                            <w:szCs w:val="24"/>
                            <w:lang w:val="zh-CN"/>
                          </w:rPr>
                          <w:t>-</w:t>
                        </w:r>
                        <w:r>
                          <w:rPr>
                            <w:rFonts w:cs="Times New Roman"/>
                            <w:sz w:val="24"/>
                            <w:szCs w:val="24"/>
                          </w:rPr>
                          <w:t xml:space="preserve"> 25 -</w:t>
                        </w:r>
                        <w:r>
                          <w:rPr>
                            <w:rFonts w:cs="Times New Roman"/>
                            <w:sz w:val="24"/>
                            <w:szCs w:val="24"/>
                          </w:rPr>
                          <w:fldChar w:fldCharType="end"/>
                        </w:r>
                      </w:p>
                    </w:sdtContent>
                  </w:sdt>
                  <w:p>
                    <w:pPr>
                      <w:ind w:firstLine="480"/>
                      <w:rPr>
                        <w:rFonts w:cs="Times New Roman"/>
                        <w:sz w:val="24"/>
                        <w:szCs w:val="24"/>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933538"/>
    <w:multiLevelType w:val="multilevel"/>
    <w:tmpl w:val="12933538"/>
    <w:lvl w:ilvl="0" w:tentative="0">
      <w:start w:val="1"/>
      <w:numFmt w:val="chineseCountingThousand"/>
      <w:pStyle w:val="4"/>
      <w:suff w:val="space"/>
      <w:lvlText w:val="%1、"/>
      <w:lvlJc w:val="left"/>
      <w:pPr>
        <w:ind w:left="432" w:hanging="432"/>
      </w:pPr>
      <w:rPr>
        <w:rFonts w:hint="eastAsia"/>
      </w:rPr>
    </w:lvl>
    <w:lvl w:ilvl="1" w:tentative="0">
      <w:start w:val="1"/>
      <w:numFmt w:val="decimal"/>
      <w:pStyle w:val="5"/>
      <w:lvlText w:val="%1.%2"/>
      <w:lvlJc w:val="left"/>
      <w:pPr>
        <w:ind w:left="576" w:hanging="576"/>
      </w:pPr>
      <w:rPr>
        <w:rFonts w:hint="eastAsia"/>
      </w:rPr>
    </w:lvl>
    <w:lvl w:ilvl="2" w:tentative="0">
      <w:start w:val="1"/>
      <w:numFmt w:val="decimal"/>
      <w:pStyle w:val="6"/>
      <w:lvlText w:val="%1.%2.%3"/>
      <w:lvlJc w:val="left"/>
      <w:pPr>
        <w:ind w:left="720" w:hanging="720"/>
      </w:pPr>
      <w:rPr>
        <w:rFonts w:hint="eastAsia"/>
      </w:rPr>
    </w:lvl>
    <w:lvl w:ilvl="3" w:tentative="0">
      <w:start w:val="1"/>
      <w:numFmt w:val="decimal"/>
      <w:pStyle w:val="7"/>
      <w:lvlText w:val="%1.%2.%3.%4"/>
      <w:lvlJc w:val="left"/>
      <w:pPr>
        <w:ind w:left="864" w:hanging="864"/>
      </w:pPr>
      <w:rPr>
        <w:rFonts w:hint="eastAsia"/>
        <w:color w:val="auto"/>
      </w:rPr>
    </w:lvl>
    <w:lvl w:ilvl="4" w:tentative="0">
      <w:start w:val="1"/>
      <w:numFmt w:val="decimal"/>
      <w:lvlText w:val="%1.%2.%3.%4.%5"/>
      <w:lvlJc w:val="left"/>
      <w:pPr>
        <w:ind w:left="1008" w:hanging="1008"/>
      </w:pPr>
      <w:rPr>
        <w:rFonts w:hint="eastAsia"/>
      </w:rPr>
    </w:lvl>
    <w:lvl w:ilvl="5" w:tentative="0">
      <w:start w:val="1"/>
      <w:numFmt w:val="decimal"/>
      <w:lvlText w:val="%1.%2.%3.%4.%5.%6"/>
      <w:lvlJc w:val="left"/>
      <w:pPr>
        <w:ind w:left="1152" w:hanging="1152"/>
      </w:pPr>
      <w:rPr>
        <w:rFonts w:hint="eastAsia"/>
      </w:rPr>
    </w:lvl>
    <w:lvl w:ilvl="6" w:tentative="0">
      <w:start w:val="1"/>
      <w:numFmt w:val="decimal"/>
      <w:lvlText w:val="%1.%2.%3.%4.%5.%6.%7"/>
      <w:lvlJc w:val="left"/>
      <w:pPr>
        <w:ind w:left="1296" w:hanging="1296"/>
      </w:pPr>
      <w:rPr>
        <w:rFonts w:hint="eastAsia"/>
      </w:rPr>
    </w:lvl>
    <w:lvl w:ilvl="7" w:tentative="0">
      <w:start w:val="1"/>
      <w:numFmt w:val="decimal"/>
      <w:lvlText w:val="%1.%2.%3.%4.%5.%6.%7.%8"/>
      <w:lvlJc w:val="left"/>
      <w:pPr>
        <w:ind w:left="1440" w:hanging="1440"/>
      </w:pPr>
      <w:rPr>
        <w:rFonts w:hint="eastAsia"/>
      </w:rPr>
    </w:lvl>
    <w:lvl w:ilvl="8" w:tentative="0">
      <w:start w:val="1"/>
      <w:numFmt w:val="decimal"/>
      <w:lvlText w:val="%1.%2.%3.%4.%5.%6.%7.%8.%9"/>
      <w:lvlJc w:val="left"/>
      <w:pPr>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60"/>
  <w:drawingGridVerticalSpacing w:val="435"/>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FlMDFiZTQyYzkyNzU0NjYwOTBkYTNiYmQ3NzYxMzkifQ=="/>
  </w:docVars>
  <w:rsids>
    <w:rsidRoot w:val="000D05BB"/>
    <w:rsid w:val="00004D63"/>
    <w:rsid w:val="0000547F"/>
    <w:rsid w:val="000078BB"/>
    <w:rsid w:val="00013595"/>
    <w:rsid w:val="000167F0"/>
    <w:rsid w:val="00020480"/>
    <w:rsid w:val="0002302A"/>
    <w:rsid w:val="00023211"/>
    <w:rsid w:val="00024ACE"/>
    <w:rsid w:val="00024F49"/>
    <w:rsid w:val="000267BA"/>
    <w:rsid w:val="00033D19"/>
    <w:rsid w:val="000343B7"/>
    <w:rsid w:val="00034E50"/>
    <w:rsid w:val="00037481"/>
    <w:rsid w:val="00037C7C"/>
    <w:rsid w:val="00043C71"/>
    <w:rsid w:val="00052151"/>
    <w:rsid w:val="00052D32"/>
    <w:rsid w:val="00055A42"/>
    <w:rsid w:val="000560B9"/>
    <w:rsid w:val="000769B6"/>
    <w:rsid w:val="00080235"/>
    <w:rsid w:val="00080AC1"/>
    <w:rsid w:val="000810CD"/>
    <w:rsid w:val="000821C3"/>
    <w:rsid w:val="00083589"/>
    <w:rsid w:val="0008449E"/>
    <w:rsid w:val="00085A5F"/>
    <w:rsid w:val="00091FA9"/>
    <w:rsid w:val="00094E87"/>
    <w:rsid w:val="000976BA"/>
    <w:rsid w:val="000A0EA3"/>
    <w:rsid w:val="000A663D"/>
    <w:rsid w:val="000B219A"/>
    <w:rsid w:val="000C2BC6"/>
    <w:rsid w:val="000C508C"/>
    <w:rsid w:val="000C658A"/>
    <w:rsid w:val="000C7428"/>
    <w:rsid w:val="000D05BB"/>
    <w:rsid w:val="000E4248"/>
    <w:rsid w:val="000E48C4"/>
    <w:rsid w:val="000F251D"/>
    <w:rsid w:val="00100CFB"/>
    <w:rsid w:val="0010390F"/>
    <w:rsid w:val="00103D7E"/>
    <w:rsid w:val="001077ED"/>
    <w:rsid w:val="0011018B"/>
    <w:rsid w:val="00111D1C"/>
    <w:rsid w:val="00115227"/>
    <w:rsid w:val="00116141"/>
    <w:rsid w:val="001163E6"/>
    <w:rsid w:val="00121D59"/>
    <w:rsid w:val="00122792"/>
    <w:rsid w:val="001263FE"/>
    <w:rsid w:val="001326AA"/>
    <w:rsid w:val="001341BA"/>
    <w:rsid w:val="0013656D"/>
    <w:rsid w:val="00151880"/>
    <w:rsid w:val="00163E0A"/>
    <w:rsid w:val="00167210"/>
    <w:rsid w:val="00173B8F"/>
    <w:rsid w:val="00175EBC"/>
    <w:rsid w:val="00176CD6"/>
    <w:rsid w:val="0017722A"/>
    <w:rsid w:val="001800D2"/>
    <w:rsid w:val="00186188"/>
    <w:rsid w:val="00186B36"/>
    <w:rsid w:val="00191121"/>
    <w:rsid w:val="00196177"/>
    <w:rsid w:val="001A43A8"/>
    <w:rsid w:val="001A4CD0"/>
    <w:rsid w:val="001A6001"/>
    <w:rsid w:val="001A723E"/>
    <w:rsid w:val="001B05DC"/>
    <w:rsid w:val="001B0701"/>
    <w:rsid w:val="001B306C"/>
    <w:rsid w:val="001B4DBD"/>
    <w:rsid w:val="001C4272"/>
    <w:rsid w:val="001E00AA"/>
    <w:rsid w:val="001E2B11"/>
    <w:rsid w:val="001E4934"/>
    <w:rsid w:val="001E7C12"/>
    <w:rsid w:val="001F0225"/>
    <w:rsid w:val="001F57E3"/>
    <w:rsid w:val="001F5865"/>
    <w:rsid w:val="001F6612"/>
    <w:rsid w:val="002071B0"/>
    <w:rsid w:val="00207BC7"/>
    <w:rsid w:val="00207BEA"/>
    <w:rsid w:val="00211FD4"/>
    <w:rsid w:val="002173C5"/>
    <w:rsid w:val="0022155E"/>
    <w:rsid w:val="00223127"/>
    <w:rsid w:val="00226B51"/>
    <w:rsid w:val="00235229"/>
    <w:rsid w:val="00241AB5"/>
    <w:rsid w:val="002421FC"/>
    <w:rsid w:val="00242F59"/>
    <w:rsid w:val="0024339D"/>
    <w:rsid w:val="002436C6"/>
    <w:rsid w:val="0025187B"/>
    <w:rsid w:val="00252573"/>
    <w:rsid w:val="00253A70"/>
    <w:rsid w:val="00262564"/>
    <w:rsid w:val="00263173"/>
    <w:rsid w:val="00264853"/>
    <w:rsid w:val="00271631"/>
    <w:rsid w:val="00272DBC"/>
    <w:rsid w:val="00281098"/>
    <w:rsid w:val="0029055D"/>
    <w:rsid w:val="002A1A34"/>
    <w:rsid w:val="002B184E"/>
    <w:rsid w:val="002C1B17"/>
    <w:rsid w:val="002C5810"/>
    <w:rsid w:val="002D0FC2"/>
    <w:rsid w:val="002D2DB4"/>
    <w:rsid w:val="002D3619"/>
    <w:rsid w:val="002D4A68"/>
    <w:rsid w:val="002D62AF"/>
    <w:rsid w:val="002D66F7"/>
    <w:rsid w:val="002E2F79"/>
    <w:rsid w:val="002E4941"/>
    <w:rsid w:val="002E7225"/>
    <w:rsid w:val="002F2A7A"/>
    <w:rsid w:val="0030055E"/>
    <w:rsid w:val="0030252C"/>
    <w:rsid w:val="00305099"/>
    <w:rsid w:val="0031024D"/>
    <w:rsid w:val="00312CD1"/>
    <w:rsid w:val="003159CA"/>
    <w:rsid w:val="00315D00"/>
    <w:rsid w:val="00315FDA"/>
    <w:rsid w:val="00322A81"/>
    <w:rsid w:val="00324E57"/>
    <w:rsid w:val="00330CA8"/>
    <w:rsid w:val="00333872"/>
    <w:rsid w:val="003348A5"/>
    <w:rsid w:val="0033503C"/>
    <w:rsid w:val="0034172B"/>
    <w:rsid w:val="00346150"/>
    <w:rsid w:val="00350F4C"/>
    <w:rsid w:val="00351248"/>
    <w:rsid w:val="003523CB"/>
    <w:rsid w:val="00353A22"/>
    <w:rsid w:val="00353F95"/>
    <w:rsid w:val="003541BB"/>
    <w:rsid w:val="00354A13"/>
    <w:rsid w:val="00357E58"/>
    <w:rsid w:val="0036227E"/>
    <w:rsid w:val="00376AAA"/>
    <w:rsid w:val="00381664"/>
    <w:rsid w:val="00381DA2"/>
    <w:rsid w:val="00386B39"/>
    <w:rsid w:val="0039154D"/>
    <w:rsid w:val="0039651D"/>
    <w:rsid w:val="00397568"/>
    <w:rsid w:val="00397DE0"/>
    <w:rsid w:val="003A77AA"/>
    <w:rsid w:val="003B0514"/>
    <w:rsid w:val="003B1184"/>
    <w:rsid w:val="003B3A31"/>
    <w:rsid w:val="003B6C28"/>
    <w:rsid w:val="003B7F1E"/>
    <w:rsid w:val="003C20FB"/>
    <w:rsid w:val="003C32E8"/>
    <w:rsid w:val="003D5CEB"/>
    <w:rsid w:val="003D73CD"/>
    <w:rsid w:val="003E2729"/>
    <w:rsid w:val="003F3163"/>
    <w:rsid w:val="0040187A"/>
    <w:rsid w:val="0040271B"/>
    <w:rsid w:val="004038B8"/>
    <w:rsid w:val="00404669"/>
    <w:rsid w:val="00405E75"/>
    <w:rsid w:val="00411A27"/>
    <w:rsid w:val="004140D5"/>
    <w:rsid w:val="00417F99"/>
    <w:rsid w:val="00421A74"/>
    <w:rsid w:val="00421DA8"/>
    <w:rsid w:val="004233C4"/>
    <w:rsid w:val="004301A9"/>
    <w:rsid w:val="0044155D"/>
    <w:rsid w:val="0044677D"/>
    <w:rsid w:val="00455619"/>
    <w:rsid w:val="004644B1"/>
    <w:rsid w:val="00465B9E"/>
    <w:rsid w:val="0047022E"/>
    <w:rsid w:val="00481692"/>
    <w:rsid w:val="00481FCC"/>
    <w:rsid w:val="0048245B"/>
    <w:rsid w:val="00482549"/>
    <w:rsid w:val="004910BE"/>
    <w:rsid w:val="0049321F"/>
    <w:rsid w:val="00493F73"/>
    <w:rsid w:val="004967EE"/>
    <w:rsid w:val="004A0184"/>
    <w:rsid w:val="004A2144"/>
    <w:rsid w:val="004A44FC"/>
    <w:rsid w:val="004A7583"/>
    <w:rsid w:val="004A7864"/>
    <w:rsid w:val="004B0B44"/>
    <w:rsid w:val="004C00C0"/>
    <w:rsid w:val="004C60E3"/>
    <w:rsid w:val="004C6AE3"/>
    <w:rsid w:val="004C6B2D"/>
    <w:rsid w:val="004D0B94"/>
    <w:rsid w:val="004D4C1D"/>
    <w:rsid w:val="004D7BCB"/>
    <w:rsid w:val="004E11F8"/>
    <w:rsid w:val="004E44CA"/>
    <w:rsid w:val="004E745C"/>
    <w:rsid w:val="004F15C9"/>
    <w:rsid w:val="004F5F9D"/>
    <w:rsid w:val="0050105E"/>
    <w:rsid w:val="00501539"/>
    <w:rsid w:val="005049EA"/>
    <w:rsid w:val="0050571F"/>
    <w:rsid w:val="00506994"/>
    <w:rsid w:val="00512D47"/>
    <w:rsid w:val="005344CD"/>
    <w:rsid w:val="0054193B"/>
    <w:rsid w:val="00542A05"/>
    <w:rsid w:val="00543EB5"/>
    <w:rsid w:val="00544182"/>
    <w:rsid w:val="005457E0"/>
    <w:rsid w:val="00557EAB"/>
    <w:rsid w:val="005603AE"/>
    <w:rsid w:val="005668EA"/>
    <w:rsid w:val="00574F01"/>
    <w:rsid w:val="005820F0"/>
    <w:rsid w:val="00583C0A"/>
    <w:rsid w:val="00586FA3"/>
    <w:rsid w:val="00596213"/>
    <w:rsid w:val="0059770E"/>
    <w:rsid w:val="005A07C3"/>
    <w:rsid w:val="005A20B9"/>
    <w:rsid w:val="005A7AAE"/>
    <w:rsid w:val="005B0364"/>
    <w:rsid w:val="005B304C"/>
    <w:rsid w:val="005B746F"/>
    <w:rsid w:val="005C1029"/>
    <w:rsid w:val="005C3492"/>
    <w:rsid w:val="005C6AD2"/>
    <w:rsid w:val="005C727C"/>
    <w:rsid w:val="005D0B49"/>
    <w:rsid w:val="005D5925"/>
    <w:rsid w:val="005D7993"/>
    <w:rsid w:val="005E0832"/>
    <w:rsid w:val="005E1479"/>
    <w:rsid w:val="005E30A3"/>
    <w:rsid w:val="005E34BD"/>
    <w:rsid w:val="005E45F1"/>
    <w:rsid w:val="005E4EA2"/>
    <w:rsid w:val="005E58C7"/>
    <w:rsid w:val="005F71B9"/>
    <w:rsid w:val="00604322"/>
    <w:rsid w:val="00606730"/>
    <w:rsid w:val="00610203"/>
    <w:rsid w:val="00611440"/>
    <w:rsid w:val="006127AF"/>
    <w:rsid w:val="00613866"/>
    <w:rsid w:val="00613FF2"/>
    <w:rsid w:val="00615BA7"/>
    <w:rsid w:val="006371EC"/>
    <w:rsid w:val="00643E88"/>
    <w:rsid w:val="00646580"/>
    <w:rsid w:val="00647E09"/>
    <w:rsid w:val="00650098"/>
    <w:rsid w:val="00650955"/>
    <w:rsid w:val="00652065"/>
    <w:rsid w:val="00653D15"/>
    <w:rsid w:val="006626DC"/>
    <w:rsid w:val="00662A7E"/>
    <w:rsid w:val="00663CCA"/>
    <w:rsid w:val="00666973"/>
    <w:rsid w:val="00667E6B"/>
    <w:rsid w:val="00672A92"/>
    <w:rsid w:val="006735AA"/>
    <w:rsid w:val="00674FA2"/>
    <w:rsid w:val="006754D3"/>
    <w:rsid w:val="00676451"/>
    <w:rsid w:val="0068384B"/>
    <w:rsid w:val="00683A24"/>
    <w:rsid w:val="006843E1"/>
    <w:rsid w:val="0068444D"/>
    <w:rsid w:val="0068569A"/>
    <w:rsid w:val="00692FF1"/>
    <w:rsid w:val="00693840"/>
    <w:rsid w:val="00697B34"/>
    <w:rsid w:val="00697DDB"/>
    <w:rsid w:val="006A0490"/>
    <w:rsid w:val="006A2E50"/>
    <w:rsid w:val="006A357F"/>
    <w:rsid w:val="006B1A35"/>
    <w:rsid w:val="006B532A"/>
    <w:rsid w:val="006B5D46"/>
    <w:rsid w:val="006C2D23"/>
    <w:rsid w:val="006C3C27"/>
    <w:rsid w:val="006C4A82"/>
    <w:rsid w:val="006D0C3D"/>
    <w:rsid w:val="006D7568"/>
    <w:rsid w:val="006E482E"/>
    <w:rsid w:val="007042C5"/>
    <w:rsid w:val="00706CD0"/>
    <w:rsid w:val="007075B7"/>
    <w:rsid w:val="00715F93"/>
    <w:rsid w:val="007163B8"/>
    <w:rsid w:val="007165F1"/>
    <w:rsid w:val="007236E3"/>
    <w:rsid w:val="007243B5"/>
    <w:rsid w:val="00724AC4"/>
    <w:rsid w:val="007331F9"/>
    <w:rsid w:val="0073624C"/>
    <w:rsid w:val="007416CB"/>
    <w:rsid w:val="00744473"/>
    <w:rsid w:val="00753A43"/>
    <w:rsid w:val="00754E5D"/>
    <w:rsid w:val="00755CA1"/>
    <w:rsid w:val="0076115F"/>
    <w:rsid w:val="00762558"/>
    <w:rsid w:val="0076266B"/>
    <w:rsid w:val="00763585"/>
    <w:rsid w:val="00766142"/>
    <w:rsid w:val="00770C0E"/>
    <w:rsid w:val="00776EEB"/>
    <w:rsid w:val="00783082"/>
    <w:rsid w:val="00783FEF"/>
    <w:rsid w:val="007848DC"/>
    <w:rsid w:val="00790A5D"/>
    <w:rsid w:val="007933AD"/>
    <w:rsid w:val="00794C07"/>
    <w:rsid w:val="00796D48"/>
    <w:rsid w:val="007A37EF"/>
    <w:rsid w:val="007A3B03"/>
    <w:rsid w:val="007A5115"/>
    <w:rsid w:val="007A5C02"/>
    <w:rsid w:val="007B05A4"/>
    <w:rsid w:val="007B08A6"/>
    <w:rsid w:val="007B3079"/>
    <w:rsid w:val="007B3646"/>
    <w:rsid w:val="007B488A"/>
    <w:rsid w:val="007B6FDD"/>
    <w:rsid w:val="007B7E74"/>
    <w:rsid w:val="007C1EC5"/>
    <w:rsid w:val="007C2204"/>
    <w:rsid w:val="007C5ABE"/>
    <w:rsid w:val="007C7E66"/>
    <w:rsid w:val="007C7E93"/>
    <w:rsid w:val="007D1556"/>
    <w:rsid w:val="007D1EE4"/>
    <w:rsid w:val="007D3D2D"/>
    <w:rsid w:val="007D6BC2"/>
    <w:rsid w:val="007E0C86"/>
    <w:rsid w:val="007E1DE1"/>
    <w:rsid w:val="007E588B"/>
    <w:rsid w:val="007E70CD"/>
    <w:rsid w:val="007F4646"/>
    <w:rsid w:val="007F4700"/>
    <w:rsid w:val="007F4849"/>
    <w:rsid w:val="007F530A"/>
    <w:rsid w:val="00800248"/>
    <w:rsid w:val="008023EE"/>
    <w:rsid w:val="00803C8F"/>
    <w:rsid w:val="008102C3"/>
    <w:rsid w:val="008133FC"/>
    <w:rsid w:val="00814DD9"/>
    <w:rsid w:val="00817608"/>
    <w:rsid w:val="00817D2A"/>
    <w:rsid w:val="00830E76"/>
    <w:rsid w:val="008323BF"/>
    <w:rsid w:val="00835650"/>
    <w:rsid w:val="008375A2"/>
    <w:rsid w:val="008375B8"/>
    <w:rsid w:val="00841547"/>
    <w:rsid w:val="008429AD"/>
    <w:rsid w:val="008446FF"/>
    <w:rsid w:val="0084493A"/>
    <w:rsid w:val="0084708C"/>
    <w:rsid w:val="00856E5B"/>
    <w:rsid w:val="00860507"/>
    <w:rsid w:val="00862506"/>
    <w:rsid w:val="008655C0"/>
    <w:rsid w:val="00867B73"/>
    <w:rsid w:val="00872957"/>
    <w:rsid w:val="0087583B"/>
    <w:rsid w:val="00876B38"/>
    <w:rsid w:val="008775FB"/>
    <w:rsid w:val="00885D3B"/>
    <w:rsid w:val="00890683"/>
    <w:rsid w:val="008932F8"/>
    <w:rsid w:val="00893C97"/>
    <w:rsid w:val="008A6AC9"/>
    <w:rsid w:val="008C19B3"/>
    <w:rsid w:val="008C40B6"/>
    <w:rsid w:val="008C5D98"/>
    <w:rsid w:val="008C7AF2"/>
    <w:rsid w:val="008D3DD5"/>
    <w:rsid w:val="008D75CC"/>
    <w:rsid w:val="008E051E"/>
    <w:rsid w:val="008E6499"/>
    <w:rsid w:val="008E6F7A"/>
    <w:rsid w:val="008F53A0"/>
    <w:rsid w:val="008F7402"/>
    <w:rsid w:val="008F7429"/>
    <w:rsid w:val="008F7D3B"/>
    <w:rsid w:val="00900CED"/>
    <w:rsid w:val="009048DF"/>
    <w:rsid w:val="009052A6"/>
    <w:rsid w:val="009056DF"/>
    <w:rsid w:val="00907E22"/>
    <w:rsid w:val="00920853"/>
    <w:rsid w:val="00923164"/>
    <w:rsid w:val="0093101A"/>
    <w:rsid w:val="0093660D"/>
    <w:rsid w:val="009421FC"/>
    <w:rsid w:val="0094719F"/>
    <w:rsid w:val="00953D92"/>
    <w:rsid w:val="00963ED3"/>
    <w:rsid w:val="00965B07"/>
    <w:rsid w:val="009735FF"/>
    <w:rsid w:val="00976741"/>
    <w:rsid w:val="00976CA4"/>
    <w:rsid w:val="00976FC0"/>
    <w:rsid w:val="00977914"/>
    <w:rsid w:val="00980EA8"/>
    <w:rsid w:val="00982516"/>
    <w:rsid w:val="00983387"/>
    <w:rsid w:val="00984F85"/>
    <w:rsid w:val="00985340"/>
    <w:rsid w:val="00985646"/>
    <w:rsid w:val="00993AAF"/>
    <w:rsid w:val="009967F8"/>
    <w:rsid w:val="00996804"/>
    <w:rsid w:val="00997946"/>
    <w:rsid w:val="009A3EF6"/>
    <w:rsid w:val="009B531B"/>
    <w:rsid w:val="009C03EE"/>
    <w:rsid w:val="009C1277"/>
    <w:rsid w:val="009C1EB8"/>
    <w:rsid w:val="009D3492"/>
    <w:rsid w:val="009D55BA"/>
    <w:rsid w:val="009D6671"/>
    <w:rsid w:val="009D6F15"/>
    <w:rsid w:val="009F1652"/>
    <w:rsid w:val="009F19A1"/>
    <w:rsid w:val="009F285B"/>
    <w:rsid w:val="009F346D"/>
    <w:rsid w:val="00A000A7"/>
    <w:rsid w:val="00A14569"/>
    <w:rsid w:val="00A17049"/>
    <w:rsid w:val="00A25EE1"/>
    <w:rsid w:val="00A27D3D"/>
    <w:rsid w:val="00A30CFA"/>
    <w:rsid w:val="00A31D0D"/>
    <w:rsid w:val="00A34498"/>
    <w:rsid w:val="00A365C2"/>
    <w:rsid w:val="00A50029"/>
    <w:rsid w:val="00A535F9"/>
    <w:rsid w:val="00A54AB6"/>
    <w:rsid w:val="00A54F5B"/>
    <w:rsid w:val="00A61505"/>
    <w:rsid w:val="00A624A3"/>
    <w:rsid w:val="00A645AC"/>
    <w:rsid w:val="00A65ECC"/>
    <w:rsid w:val="00A72BCB"/>
    <w:rsid w:val="00A72C77"/>
    <w:rsid w:val="00A753B1"/>
    <w:rsid w:val="00A75FC5"/>
    <w:rsid w:val="00A83ECC"/>
    <w:rsid w:val="00A8558E"/>
    <w:rsid w:val="00A9021A"/>
    <w:rsid w:val="00A91E89"/>
    <w:rsid w:val="00A91F21"/>
    <w:rsid w:val="00A94FA7"/>
    <w:rsid w:val="00AA4290"/>
    <w:rsid w:val="00AA55B8"/>
    <w:rsid w:val="00AB3493"/>
    <w:rsid w:val="00AB35A2"/>
    <w:rsid w:val="00AB577D"/>
    <w:rsid w:val="00AC0198"/>
    <w:rsid w:val="00AC0CE5"/>
    <w:rsid w:val="00AC2F39"/>
    <w:rsid w:val="00AC3C29"/>
    <w:rsid w:val="00AC69C1"/>
    <w:rsid w:val="00AD1A34"/>
    <w:rsid w:val="00AD36E1"/>
    <w:rsid w:val="00AD6A80"/>
    <w:rsid w:val="00AD7A9E"/>
    <w:rsid w:val="00AE6C78"/>
    <w:rsid w:val="00AF1F08"/>
    <w:rsid w:val="00AF3932"/>
    <w:rsid w:val="00AF4E36"/>
    <w:rsid w:val="00AF5E4D"/>
    <w:rsid w:val="00B03212"/>
    <w:rsid w:val="00B03D81"/>
    <w:rsid w:val="00B06C89"/>
    <w:rsid w:val="00B1125B"/>
    <w:rsid w:val="00B13795"/>
    <w:rsid w:val="00B16C79"/>
    <w:rsid w:val="00B16CF4"/>
    <w:rsid w:val="00B17F2E"/>
    <w:rsid w:val="00B208F2"/>
    <w:rsid w:val="00B22AE2"/>
    <w:rsid w:val="00B2768B"/>
    <w:rsid w:val="00B30FC0"/>
    <w:rsid w:val="00B31372"/>
    <w:rsid w:val="00B35AC1"/>
    <w:rsid w:val="00B44791"/>
    <w:rsid w:val="00B4574F"/>
    <w:rsid w:val="00B51710"/>
    <w:rsid w:val="00B56872"/>
    <w:rsid w:val="00B577C6"/>
    <w:rsid w:val="00B66305"/>
    <w:rsid w:val="00B70F7A"/>
    <w:rsid w:val="00B73988"/>
    <w:rsid w:val="00B7432E"/>
    <w:rsid w:val="00B80EE1"/>
    <w:rsid w:val="00B818BE"/>
    <w:rsid w:val="00B81D25"/>
    <w:rsid w:val="00B829ED"/>
    <w:rsid w:val="00B83BC2"/>
    <w:rsid w:val="00B90D6B"/>
    <w:rsid w:val="00B919C5"/>
    <w:rsid w:val="00B94876"/>
    <w:rsid w:val="00B96725"/>
    <w:rsid w:val="00BA6C16"/>
    <w:rsid w:val="00BC1382"/>
    <w:rsid w:val="00BC1F9E"/>
    <w:rsid w:val="00BC3642"/>
    <w:rsid w:val="00BC6108"/>
    <w:rsid w:val="00BD12B4"/>
    <w:rsid w:val="00BD2FFA"/>
    <w:rsid w:val="00BE0637"/>
    <w:rsid w:val="00BE13DE"/>
    <w:rsid w:val="00BE2270"/>
    <w:rsid w:val="00BE7C54"/>
    <w:rsid w:val="00BF07A7"/>
    <w:rsid w:val="00BF31F0"/>
    <w:rsid w:val="00BF6453"/>
    <w:rsid w:val="00BF74F7"/>
    <w:rsid w:val="00C01676"/>
    <w:rsid w:val="00C0688B"/>
    <w:rsid w:val="00C13121"/>
    <w:rsid w:val="00C136B8"/>
    <w:rsid w:val="00C23A7B"/>
    <w:rsid w:val="00C24737"/>
    <w:rsid w:val="00C24E8A"/>
    <w:rsid w:val="00C30960"/>
    <w:rsid w:val="00C310A8"/>
    <w:rsid w:val="00C31461"/>
    <w:rsid w:val="00C327A3"/>
    <w:rsid w:val="00C41292"/>
    <w:rsid w:val="00C41E18"/>
    <w:rsid w:val="00C42DB6"/>
    <w:rsid w:val="00C43EAF"/>
    <w:rsid w:val="00C45016"/>
    <w:rsid w:val="00C51E18"/>
    <w:rsid w:val="00C63B40"/>
    <w:rsid w:val="00C64A41"/>
    <w:rsid w:val="00C71321"/>
    <w:rsid w:val="00C745AB"/>
    <w:rsid w:val="00C76069"/>
    <w:rsid w:val="00C76D9B"/>
    <w:rsid w:val="00C81863"/>
    <w:rsid w:val="00C8275C"/>
    <w:rsid w:val="00C846DE"/>
    <w:rsid w:val="00C90F6C"/>
    <w:rsid w:val="00C93FC2"/>
    <w:rsid w:val="00C947D7"/>
    <w:rsid w:val="00C953AD"/>
    <w:rsid w:val="00C9700F"/>
    <w:rsid w:val="00CA3C3F"/>
    <w:rsid w:val="00CB228F"/>
    <w:rsid w:val="00CB3A64"/>
    <w:rsid w:val="00CB3EB3"/>
    <w:rsid w:val="00CB6994"/>
    <w:rsid w:val="00CC0FA1"/>
    <w:rsid w:val="00CC3850"/>
    <w:rsid w:val="00CD3706"/>
    <w:rsid w:val="00CE420F"/>
    <w:rsid w:val="00CE4328"/>
    <w:rsid w:val="00CE455F"/>
    <w:rsid w:val="00CE7D2C"/>
    <w:rsid w:val="00CF115E"/>
    <w:rsid w:val="00D013CB"/>
    <w:rsid w:val="00D03584"/>
    <w:rsid w:val="00D04C60"/>
    <w:rsid w:val="00D10B93"/>
    <w:rsid w:val="00D13BD9"/>
    <w:rsid w:val="00D16191"/>
    <w:rsid w:val="00D23495"/>
    <w:rsid w:val="00D26009"/>
    <w:rsid w:val="00D26AC6"/>
    <w:rsid w:val="00D27AC8"/>
    <w:rsid w:val="00D321AA"/>
    <w:rsid w:val="00D32796"/>
    <w:rsid w:val="00D332CB"/>
    <w:rsid w:val="00D402B2"/>
    <w:rsid w:val="00D42F34"/>
    <w:rsid w:val="00D52BC9"/>
    <w:rsid w:val="00D53315"/>
    <w:rsid w:val="00D53511"/>
    <w:rsid w:val="00D54DA8"/>
    <w:rsid w:val="00D55C6B"/>
    <w:rsid w:val="00D6121E"/>
    <w:rsid w:val="00D631B1"/>
    <w:rsid w:val="00D7603A"/>
    <w:rsid w:val="00D8168D"/>
    <w:rsid w:val="00D82635"/>
    <w:rsid w:val="00D83421"/>
    <w:rsid w:val="00D875E1"/>
    <w:rsid w:val="00D904E0"/>
    <w:rsid w:val="00D92FF3"/>
    <w:rsid w:val="00D93253"/>
    <w:rsid w:val="00D942A0"/>
    <w:rsid w:val="00D95368"/>
    <w:rsid w:val="00D95FA5"/>
    <w:rsid w:val="00DA572E"/>
    <w:rsid w:val="00DB4010"/>
    <w:rsid w:val="00DB40AB"/>
    <w:rsid w:val="00DB5050"/>
    <w:rsid w:val="00DB5DF7"/>
    <w:rsid w:val="00DC6F9F"/>
    <w:rsid w:val="00DC7700"/>
    <w:rsid w:val="00DC793D"/>
    <w:rsid w:val="00DD0DF9"/>
    <w:rsid w:val="00DD47C4"/>
    <w:rsid w:val="00DD4F65"/>
    <w:rsid w:val="00DE0252"/>
    <w:rsid w:val="00DE0333"/>
    <w:rsid w:val="00DE4F44"/>
    <w:rsid w:val="00DE57B5"/>
    <w:rsid w:val="00DF2936"/>
    <w:rsid w:val="00DF6EB6"/>
    <w:rsid w:val="00DF7325"/>
    <w:rsid w:val="00E00384"/>
    <w:rsid w:val="00E02D03"/>
    <w:rsid w:val="00E132C9"/>
    <w:rsid w:val="00E14517"/>
    <w:rsid w:val="00E2007C"/>
    <w:rsid w:val="00E251A8"/>
    <w:rsid w:val="00E25FCC"/>
    <w:rsid w:val="00E35727"/>
    <w:rsid w:val="00E40708"/>
    <w:rsid w:val="00E42323"/>
    <w:rsid w:val="00E56486"/>
    <w:rsid w:val="00E64565"/>
    <w:rsid w:val="00E652BF"/>
    <w:rsid w:val="00E71858"/>
    <w:rsid w:val="00E753E9"/>
    <w:rsid w:val="00E75ABC"/>
    <w:rsid w:val="00E75DA8"/>
    <w:rsid w:val="00E77027"/>
    <w:rsid w:val="00E8150F"/>
    <w:rsid w:val="00E838E1"/>
    <w:rsid w:val="00E90249"/>
    <w:rsid w:val="00E909A4"/>
    <w:rsid w:val="00E90C94"/>
    <w:rsid w:val="00E9690D"/>
    <w:rsid w:val="00E97162"/>
    <w:rsid w:val="00E97559"/>
    <w:rsid w:val="00E97C23"/>
    <w:rsid w:val="00EA0ADD"/>
    <w:rsid w:val="00EA12C3"/>
    <w:rsid w:val="00EA2601"/>
    <w:rsid w:val="00EA4FF5"/>
    <w:rsid w:val="00EA6EBC"/>
    <w:rsid w:val="00EB0715"/>
    <w:rsid w:val="00EB2342"/>
    <w:rsid w:val="00EB2B67"/>
    <w:rsid w:val="00EB3D66"/>
    <w:rsid w:val="00EB78A1"/>
    <w:rsid w:val="00EC75A5"/>
    <w:rsid w:val="00EE19A9"/>
    <w:rsid w:val="00EE1B0C"/>
    <w:rsid w:val="00EF0147"/>
    <w:rsid w:val="00EF2973"/>
    <w:rsid w:val="00EF2F67"/>
    <w:rsid w:val="00EF3A55"/>
    <w:rsid w:val="00EF3E66"/>
    <w:rsid w:val="00EF5CF3"/>
    <w:rsid w:val="00EF677F"/>
    <w:rsid w:val="00F03AA4"/>
    <w:rsid w:val="00F05F31"/>
    <w:rsid w:val="00F102B1"/>
    <w:rsid w:val="00F10CAC"/>
    <w:rsid w:val="00F13C61"/>
    <w:rsid w:val="00F13FBF"/>
    <w:rsid w:val="00F155B2"/>
    <w:rsid w:val="00F22A85"/>
    <w:rsid w:val="00F2647B"/>
    <w:rsid w:val="00F33E40"/>
    <w:rsid w:val="00F4675F"/>
    <w:rsid w:val="00F467B2"/>
    <w:rsid w:val="00F51709"/>
    <w:rsid w:val="00F52135"/>
    <w:rsid w:val="00F605A2"/>
    <w:rsid w:val="00F61412"/>
    <w:rsid w:val="00F622B1"/>
    <w:rsid w:val="00F63C3A"/>
    <w:rsid w:val="00F66F35"/>
    <w:rsid w:val="00F67DAA"/>
    <w:rsid w:val="00F734C9"/>
    <w:rsid w:val="00F769AB"/>
    <w:rsid w:val="00F8035B"/>
    <w:rsid w:val="00F818DF"/>
    <w:rsid w:val="00F824C3"/>
    <w:rsid w:val="00F85802"/>
    <w:rsid w:val="00F92801"/>
    <w:rsid w:val="00F95D03"/>
    <w:rsid w:val="00F97DF2"/>
    <w:rsid w:val="00FA1555"/>
    <w:rsid w:val="00FB18BB"/>
    <w:rsid w:val="00FB5E58"/>
    <w:rsid w:val="00FC3F00"/>
    <w:rsid w:val="00FC4B87"/>
    <w:rsid w:val="00FD65DE"/>
    <w:rsid w:val="00FD77CF"/>
    <w:rsid w:val="00FE46AA"/>
    <w:rsid w:val="00FE492C"/>
    <w:rsid w:val="00FE582F"/>
    <w:rsid w:val="00FE6BB9"/>
    <w:rsid w:val="00FF0F84"/>
    <w:rsid w:val="00FF55B8"/>
    <w:rsid w:val="00FF6677"/>
    <w:rsid w:val="00FF6BDF"/>
    <w:rsid w:val="03EE1AEC"/>
    <w:rsid w:val="050464FD"/>
    <w:rsid w:val="05453151"/>
    <w:rsid w:val="07156F22"/>
    <w:rsid w:val="083E59D1"/>
    <w:rsid w:val="0B2D5A37"/>
    <w:rsid w:val="0F991705"/>
    <w:rsid w:val="13EB3C1A"/>
    <w:rsid w:val="142D2841"/>
    <w:rsid w:val="15F07486"/>
    <w:rsid w:val="16ED01F4"/>
    <w:rsid w:val="179B42A8"/>
    <w:rsid w:val="193D3590"/>
    <w:rsid w:val="19D05BA1"/>
    <w:rsid w:val="1A010D9A"/>
    <w:rsid w:val="1DCC5684"/>
    <w:rsid w:val="1EE66159"/>
    <w:rsid w:val="214B02AC"/>
    <w:rsid w:val="251A1BEF"/>
    <w:rsid w:val="265C0E4B"/>
    <w:rsid w:val="2967433C"/>
    <w:rsid w:val="2BAF7786"/>
    <w:rsid w:val="2D26792F"/>
    <w:rsid w:val="2D7B4196"/>
    <w:rsid w:val="2DE31C52"/>
    <w:rsid w:val="300C4166"/>
    <w:rsid w:val="31846595"/>
    <w:rsid w:val="31B3600C"/>
    <w:rsid w:val="385D524E"/>
    <w:rsid w:val="38D516D1"/>
    <w:rsid w:val="397516CD"/>
    <w:rsid w:val="3BE40B70"/>
    <w:rsid w:val="3CFDB906"/>
    <w:rsid w:val="3D2E2FD3"/>
    <w:rsid w:val="422928C0"/>
    <w:rsid w:val="43A42AD1"/>
    <w:rsid w:val="441F20F1"/>
    <w:rsid w:val="471661F1"/>
    <w:rsid w:val="49F5568A"/>
    <w:rsid w:val="4A430DC5"/>
    <w:rsid w:val="4A6E655D"/>
    <w:rsid w:val="4DFF2ADC"/>
    <w:rsid w:val="51A671F6"/>
    <w:rsid w:val="58E921A9"/>
    <w:rsid w:val="59FF2562"/>
    <w:rsid w:val="614806E7"/>
    <w:rsid w:val="63867D23"/>
    <w:rsid w:val="64986CF8"/>
    <w:rsid w:val="65452566"/>
    <w:rsid w:val="65E22639"/>
    <w:rsid w:val="67771B00"/>
    <w:rsid w:val="68D3262A"/>
    <w:rsid w:val="6A7D9DC3"/>
    <w:rsid w:val="6BEF7A97"/>
    <w:rsid w:val="6C6A0E47"/>
    <w:rsid w:val="6DE77F79"/>
    <w:rsid w:val="6EE27680"/>
    <w:rsid w:val="6F300AA8"/>
    <w:rsid w:val="6FCFF9C0"/>
    <w:rsid w:val="74B97F51"/>
    <w:rsid w:val="74C437D7"/>
    <w:rsid w:val="75642164"/>
    <w:rsid w:val="76BF4232"/>
    <w:rsid w:val="76DA7D95"/>
    <w:rsid w:val="77F13C60"/>
    <w:rsid w:val="78DB50A5"/>
    <w:rsid w:val="7C370E41"/>
    <w:rsid w:val="7F01712E"/>
    <w:rsid w:val="7FE31574"/>
    <w:rsid w:val="9FEFF885"/>
    <w:rsid w:val="CBAD1308"/>
    <w:rsid w:val="DF7FE39E"/>
    <w:rsid w:val="FB76DEB2"/>
    <w:rsid w:val="FDD3513A"/>
    <w:rsid w:val="FF5DB06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4" w:semiHidden="0" w:name="Normal"/>
    <w:lsdException w:qFormat="1" w:unhideWhenUsed="0" w:uiPriority="5" w:semiHidden="0" w:name="heading 1"/>
    <w:lsdException w:qFormat="1" w:unhideWhenUsed="0" w:uiPriority="6" w:semiHidden="0" w:name="heading 2"/>
    <w:lsdException w:qFormat="1" w:unhideWhenUsed="0" w:uiPriority="7" w:semiHidden="0" w:name="heading 3"/>
    <w:lsdException w:qFormat="1" w:unhideWhenUsed="0" w:uiPriority="8"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qFormat="1"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4"/>
    <w:pPr>
      <w:spacing w:line="360" w:lineRule="auto"/>
      <w:ind w:firstLine="200" w:firstLineChars="200"/>
      <w:jc w:val="both"/>
    </w:pPr>
    <w:rPr>
      <w:rFonts w:ascii="Times New Roman" w:hAnsi="Times New Roman" w:eastAsia="仿宋" w:cstheme="minorBidi"/>
      <w:kern w:val="2"/>
      <w:sz w:val="32"/>
      <w:szCs w:val="21"/>
      <w:lang w:val="en-US" w:eastAsia="zh-CN" w:bidi="ar-SA"/>
    </w:rPr>
  </w:style>
  <w:style w:type="paragraph" w:styleId="4">
    <w:name w:val="heading 1"/>
    <w:next w:val="1"/>
    <w:link w:val="26"/>
    <w:qFormat/>
    <w:uiPriority w:val="5"/>
    <w:pPr>
      <w:keepNext/>
      <w:keepLines/>
      <w:numPr>
        <w:ilvl w:val="0"/>
        <w:numId w:val="1"/>
      </w:numPr>
      <w:spacing w:before="340" w:after="330"/>
      <w:jc w:val="center"/>
      <w:outlineLvl w:val="0"/>
    </w:pPr>
    <w:rPr>
      <w:rFonts w:ascii="Times New Roman" w:hAnsi="Times New Roman" w:eastAsia="黑体" w:cstheme="minorBidi"/>
      <w:bCs/>
      <w:kern w:val="44"/>
      <w:sz w:val="36"/>
      <w:szCs w:val="44"/>
      <w:lang w:val="en-US" w:eastAsia="zh-CN" w:bidi="ar-SA"/>
    </w:rPr>
  </w:style>
  <w:style w:type="paragraph" w:styleId="5">
    <w:name w:val="heading 2"/>
    <w:next w:val="1"/>
    <w:link w:val="27"/>
    <w:qFormat/>
    <w:uiPriority w:val="6"/>
    <w:pPr>
      <w:numPr>
        <w:ilvl w:val="1"/>
        <w:numId w:val="1"/>
      </w:numPr>
      <w:outlineLvl w:val="1"/>
    </w:pPr>
    <w:rPr>
      <w:rFonts w:ascii="Times New Roman" w:hAnsi="Times New Roman" w:eastAsia="黑体" w:cstheme="minorBidi"/>
      <w:kern w:val="2"/>
      <w:sz w:val="30"/>
      <w:szCs w:val="21"/>
      <w:lang w:val="en-US" w:eastAsia="zh-CN" w:bidi="ar-SA"/>
    </w:rPr>
  </w:style>
  <w:style w:type="paragraph" w:styleId="6">
    <w:name w:val="heading 3"/>
    <w:next w:val="1"/>
    <w:link w:val="28"/>
    <w:qFormat/>
    <w:uiPriority w:val="7"/>
    <w:pPr>
      <w:keepNext/>
      <w:keepLines/>
      <w:numPr>
        <w:ilvl w:val="2"/>
        <w:numId w:val="1"/>
      </w:numPr>
      <w:spacing w:before="120" w:line="360" w:lineRule="auto"/>
      <w:outlineLvl w:val="2"/>
    </w:pPr>
    <w:rPr>
      <w:rFonts w:ascii="Times New Roman" w:hAnsi="Times New Roman" w:eastAsia="黑体" w:cstheme="minorBidi"/>
      <w:bCs/>
      <w:kern w:val="2"/>
      <w:sz w:val="28"/>
      <w:szCs w:val="32"/>
      <w:lang w:val="en-US" w:eastAsia="zh-CN" w:bidi="ar-SA"/>
    </w:rPr>
  </w:style>
  <w:style w:type="paragraph" w:styleId="7">
    <w:name w:val="heading 4"/>
    <w:next w:val="1"/>
    <w:link w:val="29"/>
    <w:qFormat/>
    <w:uiPriority w:val="8"/>
    <w:pPr>
      <w:keepNext/>
      <w:keepLines/>
      <w:numPr>
        <w:ilvl w:val="3"/>
        <w:numId w:val="1"/>
      </w:numPr>
      <w:spacing w:before="120" w:line="360" w:lineRule="auto"/>
      <w:outlineLvl w:val="3"/>
    </w:pPr>
    <w:rPr>
      <w:rFonts w:ascii="Times New Roman" w:hAnsi="Times New Roman" w:eastAsia="黑体" w:cstheme="majorBidi"/>
      <w:bCs/>
      <w:kern w:val="2"/>
      <w:sz w:val="24"/>
      <w:szCs w:val="28"/>
      <w:lang w:val="en-US" w:eastAsia="zh-CN" w:bidi="ar-SA"/>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next w:val="2"/>
    <w:qFormat/>
    <w:uiPriority w:val="0"/>
    <w:pPr>
      <w:spacing w:after="120"/>
      <w:ind w:left="420" w:leftChars="200"/>
    </w:pPr>
  </w:style>
  <w:style w:type="paragraph" w:styleId="8">
    <w:name w:val="caption"/>
    <w:next w:val="1"/>
    <w:link w:val="35"/>
    <w:unhideWhenUsed/>
    <w:qFormat/>
    <w:uiPriority w:val="35"/>
    <w:pPr>
      <w:jc w:val="center"/>
    </w:pPr>
    <w:rPr>
      <w:rFonts w:ascii="Times New Roman" w:hAnsi="Times New Roman" w:eastAsia="黑体" w:cstheme="majorBidi"/>
      <w:kern w:val="2"/>
      <w:sz w:val="24"/>
      <w:lang w:val="en-US" w:eastAsia="zh-CN" w:bidi="ar-SA"/>
    </w:rPr>
  </w:style>
  <w:style w:type="paragraph" w:styleId="9">
    <w:name w:val="annotation text"/>
    <w:basedOn w:val="1"/>
    <w:link w:val="39"/>
    <w:qFormat/>
    <w:uiPriority w:val="0"/>
    <w:pPr>
      <w:widowControl w:val="0"/>
      <w:spacing w:line="240" w:lineRule="auto"/>
      <w:ind w:firstLine="0" w:firstLineChars="0"/>
      <w:jc w:val="left"/>
    </w:pPr>
    <w:rPr>
      <w:rFonts w:eastAsia="宋体" w:cs="Times New Roman"/>
      <w:sz w:val="21"/>
      <w:szCs w:val="24"/>
    </w:rPr>
  </w:style>
  <w:style w:type="paragraph" w:styleId="10">
    <w:name w:val="Body Text"/>
    <w:basedOn w:val="1"/>
    <w:qFormat/>
    <w:uiPriority w:val="0"/>
    <w:pPr>
      <w:spacing w:after="120" w:afterLines="0"/>
    </w:pPr>
  </w:style>
  <w:style w:type="paragraph" w:styleId="11">
    <w:name w:val="toc 5"/>
    <w:basedOn w:val="1"/>
    <w:next w:val="1"/>
    <w:semiHidden/>
    <w:unhideWhenUsed/>
    <w:qFormat/>
    <w:uiPriority w:val="39"/>
    <w:pPr>
      <w:ind w:left="1680" w:leftChars="800"/>
    </w:pPr>
  </w:style>
  <w:style w:type="paragraph" w:styleId="12">
    <w:name w:val="toc 3"/>
    <w:basedOn w:val="1"/>
    <w:next w:val="1"/>
    <w:unhideWhenUsed/>
    <w:qFormat/>
    <w:uiPriority w:val="39"/>
    <w:pPr>
      <w:ind w:left="840" w:leftChars="400"/>
    </w:pPr>
  </w:style>
  <w:style w:type="paragraph" w:styleId="13">
    <w:name w:val="Balloon Text"/>
    <w:basedOn w:val="1"/>
    <w:link w:val="33"/>
    <w:semiHidden/>
    <w:unhideWhenUsed/>
    <w:qFormat/>
    <w:uiPriority w:val="99"/>
    <w:pPr>
      <w:spacing w:line="240" w:lineRule="auto"/>
    </w:pPr>
    <w:rPr>
      <w:sz w:val="18"/>
      <w:szCs w:val="18"/>
    </w:rPr>
  </w:style>
  <w:style w:type="paragraph" w:styleId="14">
    <w:name w:val="footer"/>
    <w:basedOn w:val="1"/>
    <w:link w:val="36"/>
    <w:unhideWhenUsed/>
    <w:qFormat/>
    <w:uiPriority w:val="99"/>
    <w:pPr>
      <w:tabs>
        <w:tab w:val="center" w:pos="4153"/>
        <w:tab w:val="right" w:pos="8306"/>
      </w:tabs>
      <w:snapToGrid w:val="0"/>
      <w:spacing w:line="240" w:lineRule="auto"/>
      <w:jc w:val="left"/>
    </w:pPr>
    <w:rPr>
      <w:sz w:val="18"/>
      <w:szCs w:val="18"/>
    </w:rPr>
  </w:style>
  <w:style w:type="paragraph" w:styleId="15">
    <w:name w:val="header"/>
    <w:basedOn w:val="1"/>
    <w:link w:val="37"/>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6">
    <w:name w:val="toc 1"/>
    <w:basedOn w:val="1"/>
    <w:next w:val="1"/>
    <w:unhideWhenUsed/>
    <w:qFormat/>
    <w:uiPriority w:val="39"/>
    <w:pPr>
      <w:tabs>
        <w:tab w:val="right" w:leader="dot" w:pos="8296"/>
      </w:tabs>
      <w:ind w:firstLine="640"/>
    </w:pPr>
  </w:style>
  <w:style w:type="paragraph" w:styleId="17">
    <w:name w:val="toc 2"/>
    <w:basedOn w:val="1"/>
    <w:next w:val="1"/>
    <w:unhideWhenUsed/>
    <w:qFormat/>
    <w:uiPriority w:val="39"/>
    <w:pPr>
      <w:tabs>
        <w:tab w:val="right" w:leader="dot" w:pos="8296"/>
      </w:tabs>
      <w:ind w:left="640" w:leftChars="200" w:firstLine="640"/>
    </w:pPr>
  </w:style>
  <w:style w:type="paragraph" w:styleId="18">
    <w:name w:val="annotation subject"/>
    <w:basedOn w:val="9"/>
    <w:next w:val="9"/>
    <w:link w:val="44"/>
    <w:semiHidden/>
    <w:unhideWhenUsed/>
    <w:qFormat/>
    <w:uiPriority w:val="99"/>
    <w:pPr>
      <w:widowControl/>
      <w:spacing w:line="360" w:lineRule="auto"/>
      <w:ind w:firstLine="200" w:firstLineChars="200"/>
    </w:pPr>
    <w:rPr>
      <w:rFonts w:eastAsia="仿宋" w:cstheme="minorBidi"/>
      <w:b/>
      <w:bCs/>
      <w:sz w:val="32"/>
      <w:szCs w:val="21"/>
    </w:rPr>
  </w:style>
  <w:style w:type="table" w:styleId="20">
    <w:name w:val="Table Grid"/>
    <w:basedOn w:val="19"/>
    <w:qFormat/>
    <w:uiPriority w:val="39"/>
    <w:rPr>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Hyperlink"/>
    <w:basedOn w:val="21"/>
    <w:unhideWhenUsed/>
    <w:qFormat/>
    <w:uiPriority w:val="99"/>
    <w:rPr>
      <w:color w:val="0563C1" w:themeColor="hyperlink"/>
      <w:u w:val="single"/>
      <w14:textFill>
        <w14:solidFill>
          <w14:schemeClr w14:val="hlink"/>
        </w14:solidFill>
      </w14:textFill>
    </w:rPr>
  </w:style>
  <w:style w:type="character" w:styleId="23">
    <w:name w:val="annotation reference"/>
    <w:qFormat/>
    <w:uiPriority w:val="0"/>
    <w:rPr>
      <w:sz w:val="21"/>
      <w:szCs w:val="21"/>
    </w:rPr>
  </w:style>
  <w:style w:type="paragraph" w:customStyle="1" w:styleId="24">
    <w:name w:val="PICTURE"/>
    <w:qFormat/>
    <w:uiPriority w:val="1"/>
    <w:rPr>
      <w:rFonts w:ascii="Times New Roman" w:hAnsi="Times New Roman" w:eastAsiaTheme="minorEastAsia" w:cstheme="minorBidi"/>
      <w:kern w:val="2"/>
      <w:sz w:val="24"/>
      <w:szCs w:val="21"/>
      <w:lang w:val="en-US" w:eastAsia="zh-CN" w:bidi="ar-SA"/>
    </w:rPr>
  </w:style>
  <w:style w:type="paragraph" w:customStyle="1" w:styleId="25">
    <w:name w:val="TABLE"/>
    <w:qFormat/>
    <w:uiPriority w:val="3"/>
    <w:pPr>
      <w:jc w:val="center"/>
    </w:pPr>
    <w:rPr>
      <w:rFonts w:ascii="Times New Roman" w:hAnsi="Times New Roman" w:eastAsiaTheme="minorEastAsia" w:cstheme="minorBidi"/>
      <w:kern w:val="2"/>
      <w:sz w:val="21"/>
      <w:szCs w:val="21"/>
      <w:lang w:val="en-US" w:eastAsia="zh-CN" w:bidi="ar-SA"/>
    </w:rPr>
  </w:style>
  <w:style w:type="character" w:customStyle="1" w:styleId="26">
    <w:name w:val="标题 1 字符"/>
    <w:basedOn w:val="21"/>
    <w:link w:val="4"/>
    <w:qFormat/>
    <w:uiPriority w:val="5"/>
    <w:rPr>
      <w:rFonts w:ascii="Times New Roman" w:hAnsi="Times New Roman" w:eastAsia="黑体"/>
      <w:bCs/>
      <w:kern w:val="44"/>
      <w:sz w:val="36"/>
      <w:szCs w:val="44"/>
    </w:rPr>
  </w:style>
  <w:style w:type="character" w:customStyle="1" w:styleId="27">
    <w:name w:val="标题 2 字符"/>
    <w:basedOn w:val="21"/>
    <w:link w:val="5"/>
    <w:qFormat/>
    <w:uiPriority w:val="6"/>
    <w:rPr>
      <w:rFonts w:ascii="Times New Roman" w:hAnsi="Times New Roman" w:eastAsia="黑体"/>
      <w:sz w:val="30"/>
      <w:szCs w:val="21"/>
    </w:rPr>
  </w:style>
  <w:style w:type="character" w:customStyle="1" w:styleId="28">
    <w:name w:val="标题 3 字符"/>
    <w:basedOn w:val="21"/>
    <w:link w:val="6"/>
    <w:qFormat/>
    <w:uiPriority w:val="7"/>
    <w:rPr>
      <w:rFonts w:ascii="Times New Roman" w:hAnsi="Times New Roman" w:eastAsia="黑体"/>
      <w:bCs/>
      <w:sz w:val="28"/>
      <w:szCs w:val="32"/>
    </w:rPr>
  </w:style>
  <w:style w:type="character" w:customStyle="1" w:styleId="29">
    <w:name w:val="标题 4 字符"/>
    <w:basedOn w:val="21"/>
    <w:link w:val="7"/>
    <w:qFormat/>
    <w:uiPriority w:val="8"/>
    <w:rPr>
      <w:rFonts w:ascii="Times New Roman" w:hAnsi="Times New Roman" w:eastAsia="黑体" w:cstheme="majorBidi"/>
      <w:bCs/>
      <w:sz w:val="24"/>
      <w:szCs w:val="28"/>
    </w:rPr>
  </w:style>
  <w:style w:type="paragraph" w:customStyle="1" w:styleId="30">
    <w:name w:val="表题注"/>
    <w:next w:val="1"/>
    <w:link w:val="31"/>
    <w:qFormat/>
    <w:uiPriority w:val="2"/>
    <w:pPr>
      <w:adjustRightInd w:val="0"/>
      <w:spacing w:line="360" w:lineRule="auto"/>
    </w:pPr>
    <w:rPr>
      <w:rFonts w:ascii="Times New Roman" w:hAnsi="Times New Roman" w:eastAsia="黑体" w:cstheme="majorBidi"/>
      <w:kern w:val="2"/>
      <w:sz w:val="24"/>
      <w:lang w:val="en-US" w:eastAsia="zh-CN" w:bidi="ar-SA"/>
    </w:rPr>
  </w:style>
  <w:style w:type="character" w:customStyle="1" w:styleId="31">
    <w:name w:val="表题注 Char"/>
    <w:basedOn w:val="21"/>
    <w:link w:val="30"/>
    <w:qFormat/>
    <w:uiPriority w:val="2"/>
    <w:rPr>
      <w:rFonts w:ascii="Times New Roman" w:hAnsi="Times New Roman" w:eastAsia="黑体" w:cstheme="majorBidi"/>
      <w:sz w:val="24"/>
      <w:szCs w:val="20"/>
    </w:rPr>
  </w:style>
  <w:style w:type="paragraph" w:styleId="32">
    <w:name w:val="List Paragraph"/>
    <w:basedOn w:val="1"/>
    <w:qFormat/>
    <w:uiPriority w:val="34"/>
    <w:pPr>
      <w:ind w:firstLine="420"/>
    </w:pPr>
  </w:style>
  <w:style w:type="character" w:customStyle="1" w:styleId="33">
    <w:name w:val="批注框文本 字符"/>
    <w:basedOn w:val="21"/>
    <w:link w:val="13"/>
    <w:semiHidden/>
    <w:qFormat/>
    <w:uiPriority w:val="99"/>
    <w:rPr>
      <w:rFonts w:ascii="Times New Roman" w:hAnsi="Times New Roman"/>
      <w:sz w:val="18"/>
      <w:szCs w:val="18"/>
    </w:rPr>
  </w:style>
  <w:style w:type="table" w:customStyle="1" w:styleId="34">
    <w:name w:val="三线表"/>
    <w:basedOn w:val="19"/>
    <w:qFormat/>
    <w:uiPriority w:val="99"/>
    <w:rPr>
      <w:szCs w:val="21"/>
    </w:rPr>
    <w:tblPr>
      <w:tblBorders>
        <w:top w:val="single" w:color="auto" w:sz="12" w:space="0"/>
        <w:bottom w:val="single" w:color="auto" w:sz="12" w:space="0"/>
        <w:insideH w:val="single" w:color="auto" w:sz="2" w:space="0"/>
        <w:insideV w:val="single" w:color="auto" w:sz="2" w:space="0"/>
      </w:tblBorders>
    </w:tblPr>
    <w:tcPr>
      <w:vAlign w:val="center"/>
    </w:tcPr>
  </w:style>
  <w:style w:type="character" w:customStyle="1" w:styleId="35">
    <w:name w:val="题注 字符"/>
    <w:basedOn w:val="21"/>
    <w:link w:val="8"/>
    <w:qFormat/>
    <w:uiPriority w:val="35"/>
    <w:rPr>
      <w:rFonts w:ascii="Times New Roman" w:hAnsi="Times New Roman" w:eastAsia="黑体" w:cstheme="majorBidi"/>
      <w:sz w:val="24"/>
      <w:szCs w:val="20"/>
    </w:rPr>
  </w:style>
  <w:style w:type="character" w:customStyle="1" w:styleId="36">
    <w:name w:val="页脚 字符"/>
    <w:basedOn w:val="21"/>
    <w:link w:val="14"/>
    <w:qFormat/>
    <w:uiPriority w:val="99"/>
    <w:rPr>
      <w:rFonts w:ascii="Times New Roman" w:hAnsi="Times New Roman"/>
      <w:sz w:val="18"/>
      <w:szCs w:val="18"/>
    </w:rPr>
  </w:style>
  <w:style w:type="character" w:customStyle="1" w:styleId="37">
    <w:name w:val="页眉 字符"/>
    <w:basedOn w:val="21"/>
    <w:link w:val="15"/>
    <w:qFormat/>
    <w:uiPriority w:val="99"/>
    <w:rPr>
      <w:rFonts w:ascii="Times New Roman" w:hAnsi="Times New Roman"/>
      <w:sz w:val="18"/>
      <w:szCs w:val="18"/>
    </w:rPr>
  </w:style>
  <w:style w:type="table" w:customStyle="1" w:styleId="38">
    <w:name w:val="样式1"/>
    <w:basedOn w:val="19"/>
    <w:qFormat/>
    <w:uiPriority w:val="99"/>
    <w:pPr>
      <w:jc w:val="center"/>
      <w:textAlignment w:val="center"/>
    </w:pPr>
    <w:tblPr>
      <w:jc w:val="center"/>
      <w:tblBorders>
        <w:insideH w:val="single" w:color="auto" w:sz="6" w:space="0"/>
        <w:insideV w:val="single" w:color="auto" w:sz="6" w:space="0"/>
      </w:tblBorders>
    </w:tblPr>
    <w:trPr>
      <w:jc w:val="center"/>
    </w:trPr>
    <w:tcPr>
      <w:vAlign w:val="center"/>
    </w:tcPr>
    <w:tblStylePr w:type="firstRow">
      <w:tcPr>
        <w:tcBorders>
          <w:top w:val="single" w:color="auto" w:sz="8" w:space="0"/>
          <w:left w:val="nil"/>
          <w:bottom w:val="nil"/>
          <w:right w:val="nil"/>
          <w:insideH w:val="single" w:sz="4" w:space="0"/>
          <w:insideV w:val="single" w:sz="4" w:space="0"/>
          <w:tl2br w:val="nil"/>
          <w:tr2bl w:val="nil"/>
        </w:tcBorders>
      </w:tcPr>
    </w:tblStylePr>
    <w:tblStylePr w:type="lastRow">
      <w:tcPr>
        <w:tcBorders>
          <w:top w:val="nil"/>
          <w:left w:val="nil"/>
          <w:bottom w:val="single" w:color="auto" w:sz="8" w:space="0"/>
          <w:right w:val="nil"/>
          <w:insideH w:val="nil"/>
          <w:insideV w:val="nil"/>
          <w:tl2br w:val="nil"/>
          <w:tr2bl w:val="nil"/>
        </w:tcBorders>
      </w:tcPr>
    </w:tblStylePr>
  </w:style>
  <w:style w:type="character" w:customStyle="1" w:styleId="39">
    <w:name w:val="批注文字 字符"/>
    <w:basedOn w:val="21"/>
    <w:link w:val="9"/>
    <w:qFormat/>
    <w:uiPriority w:val="0"/>
    <w:rPr>
      <w:rFonts w:ascii="Times New Roman" w:hAnsi="Times New Roman" w:eastAsia="宋体" w:cs="Times New Roman"/>
      <w:szCs w:val="24"/>
    </w:rPr>
  </w:style>
  <w:style w:type="paragraph" w:customStyle="1" w:styleId="40">
    <w:name w:val="正文文字"/>
    <w:basedOn w:val="1"/>
    <w:qFormat/>
    <w:uiPriority w:val="0"/>
    <w:pPr>
      <w:widowControl w:val="0"/>
      <w:spacing w:line="240" w:lineRule="auto"/>
      <w:ind w:firstLine="600"/>
    </w:pPr>
    <w:rPr>
      <w:rFonts w:eastAsia="仿宋_GB2312" w:cs="Times New Roman"/>
      <w:sz w:val="30"/>
      <w:szCs w:val="24"/>
    </w:rPr>
  </w:style>
  <w:style w:type="paragraph" w:customStyle="1" w:styleId="41">
    <w:name w:val="TOC 标题1"/>
    <w:basedOn w:val="4"/>
    <w:next w:val="1"/>
    <w:unhideWhenUsed/>
    <w:qFormat/>
    <w:uiPriority w:val="39"/>
    <w:pPr>
      <w:numPr>
        <w:numId w:val="0"/>
      </w:numPr>
      <w:spacing w:before="240" w:after="0" w:line="259" w:lineRule="auto"/>
      <w:jc w:val="left"/>
      <w:outlineLvl w:val="9"/>
    </w:pPr>
    <w:rPr>
      <w:rFonts w:asciiTheme="majorHAnsi" w:hAnsiTheme="majorHAnsi" w:eastAsiaTheme="majorEastAsia" w:cstheme="majorBidi"/>
      <w:bCs w:val="0"/>
      <w:color w:val="2E75B6" w:themeColor="accent1" w:themeShade="BF"/>
      <w:kern w:val="0"/>
      <w:sz w:val="32"/>
      <w:szCs w:val="32"/>
    </w:rPr>
  </w:style>
  <w:style w:type="character" w:customStyle="1" w:styleId="42">
    <w:name w:val="fontstyle01"/>
    <w:qFormat/>
    <w:uiPriority w:val="0"/>
    <w:rPr>
      <w:rFonts w:ascii="仿宋_GB2312" w:hAnsi="仿宋_GB2312" w:eastAsia="仿宋_GB2312" w:cs="仿宋_GB2312"/>
      <w:color w:val="000000"/>
      <w:sz w:val="32"/>
      <w:szCs w:val="32"/>
    </w:rPr>
  </w:style>
  <w:style w:type="paragraph" w:customStyle="1" w:styleId="43">
    <w:name w:val="Default"/>
    <w:basedOn w:val="1"/>
    <w:qFormat/>
    <w:uiPriority w:val="0"/>
    <w:pPr>
      <w:widowControl w:val="0"/>
      <w:autoSpaceDE w:val="0"/>
      <w:autoSpaceDN w:val="0"/>
      <w:adjustRightInd w:val="0"/>
      <w:spacing w:line="440" w:lineRule="atLeast"/>
      <w:ind w:firstLine="0" w:firstLineChars="0"/>
      <w:jc w:val="left"/>
    </w:pPr>
    <w:rPr>
      <w:rFonts w:hint="eastAsia" w:ascii="方正仿宋_GBK" w:hAnsi="方正仿宋_GBK" w:eastAsia="方正仿宋_GBK" w:cs="Times New Roman"/>
      <w:color w:val="000000"/>
      <w:kern w:val="0"/>
      <w:sz w:val="24"/>
      <w:szCs w:val="20"/>
    </w:rPr>
  </w:style>
  <w:style w:type="character" w:customStyle="1" w:styleId="44">
    <w:name w:val="批注主题 字符"/>
    <w:basedOn w:val="39"/>
    <w:link w:val="18"/>
    <w:semiHidden/>
    <w:qFormat/>
    <w:uiPriority w:val="99"/>
    <w:rPr>
      <w:rFonts w:ascii="Times New Roman" w:hAnsi="Times New Roman" w:eastAsia="仿宋" w:cs="Times New Roman"/>
      <w:b/>
      <w:bCs/>
      <w:sz w:val="32"/>
      <w:szCs w:val="21"/>
    </w:rPr>
  </w:style>
  <w:style w:type="paragraph" w:customStyle="1" w:styleId="45">
    <w:name w:val="修订1"/>
    <w:hidden/>
    <w:semiHidden/>
    <w:qFormat/>
    <w:uiPriority w:val="99"/>
    <w:rPr>
      <w:rFonts w:ascii="Times New Roman" w:hAnsi="Times New Roman" w:eastAsia="仿宋" w:cstheme="minorBidi"/>
      <w:kern w:val="2"/>
      <w:sz w:val="32"/>
      <w:szCs w:val="21"/>
      <w:lang w:val="en-US" w:eastAsia="zh-CN" w:bidi="ar-SA"/>
    </w:rPr>
  </w:style>
  <w:style w:type="paragraph" w:customStyle="1" w:styleId="46">
    <w:name w:val="修订2"/>
    <w:hidden/>
    <w:semiHidden/>
    <w:qFormat/>
    <w:uiPriority w:val="99"/>
    <w:rPr>
      <w:rFonts w:ascii="Times New Roman" w:hAnsi="Times New Roman" w:eastAsia="仿宋" w:cstheme="minorBidi"/>
      <w:kern w:val="2"/>
      <w:sz w:val="32"/>
      <w:szCs w:val="21"/>
      <w:lang w:val="en-US" w:eastAsia="zh-CN" w:bidi="ar-SA"/>
    </w:rPr>
  </w:style>
  <w:style w:type="paragraph" w:customStyle="1" w:styleId="47">
    <w:name w:val="Revision"/>
    <w:hidden/>
    <w:semiHidden/>
    <w:qFormat/>
    <w:uiPriority w:val="99"/>
    <w:rPr>
      <w:rFonts w:ascii="Times New Roman" w:hAnsi="Times New Roman" w:eastAsia="仿宋" w:cstheme="minorBidi"/>
      <w:kern w:val="2"/>
      <w:sz w:val="32"/>
      <w:szCs w:val="21"/>
      <w:lang w:val="en-US" w:eastAsia="zh-CN" w:bidi="ar-SA"/>
    </w:rPr>
  </w:style>
  <w:style w:type="paragraph" w:customStyle="1" w:styleId="48">
    <w:name w:val="p0"/>
    <w:basedOn w:val="1"/>
    <w:qFormat/>
    <w:uiPriority w:val="0"/>
    <w:pPr>
      <w:widowControl/>
    </w:pPr>
    <w:rPr>
      <w:rFonts w:ascii="Times New Roman" w:hAnsi="Times New Roman" w:eastAsia="宋体" w:cs="Times New Roman"/>
      <w:kern w:val="0"/>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wmf"/><Relationship Id="rId14" Type="http://schemas.openxmlformats.org/officeDocument/2006/relationships/oleObject" Target="embeddings/oleObject1.bin"/><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33</Pages>
  <Words>2812</Words>
  <Characters>16035</Characters>
  <Lines>133</Lines>
  <Paragraphs>37</Paragraphs>
  <TotalTime>3</TotalTime>
  <ScaleCrop>false</ScaleCrop>
  <LinksUpToDate>false</LinksUpToDate>
  <CharactersWithSpaces>18810</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2022-11-28T16:26:00Z</dcterms:created>
  <dc:creator>zhao qiao</dc:creator>
  <cp:lastModifiedBy>inspur</cp:lastModifiedBy>
  <cp:lastPrinted>2022-12-29T02:53:00Z</cp:lastPrinted>
  <dcterms:modified xsi:type="dcterms:W3CDTF">2023-03-28T11:12:35Z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y fmtid="{D5CDD505-2E9C-101B-9397-08002B2CF9AE}" pid="3" name="ICV">
    <vt:lpwstr>456313805411450B94DEBA2A33AB5254</vt:lpwstr>
  </property>
</Properties>
</file>