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eastAsia="黑体" w:cs="宋体"/>
          <w:b/>
          <w:sz w:val="52"/>
          <w:szCs w:val="52"/>
        </w:rPr>
      </w:pPr>
    </w:p>
    <w:p>
      <w:pPr>
        <w:spacing w:line="600" w:lineRule="exact"/>
        <w:jc w:val="center"/>
        <w:rPr>
          <w:rFonts w:eastAsia="黑体" w:cs="宋体"/>
          <w:b/>
          <w:sz w:val="52"/>
          <w:szCs w:val="52"/>
        </w:rPr>
      </w:pPr>
    </w:p>
    <w:p>
      <w:pPr>
        <w:spacing w:line="600" w:lineRule="exact"/>
        <w:jc w:val="left"/>
        <w:rPr>
          <w:rFonts w:ascii="黑体" w:hAnsi="黑体" w:eastAsia="黑体" w:cs="黑体"/>
          <w:b/>
          <w:bCs/>
          <w:sz w:val="32"/>
          <w:szCs w:val="32"/>
        </w:rPr>
      </w:pPr>
    </w:p>
    <w:p>
      <w:pPr>
        <w:spacing w:line="600" w:lineRule="exact"/>
        <w:jc w:val="left"/>
        <w:rPr>
          <w:rFonts w:ascii="Arial" w:hAnsi="Arial" w:eastAsia="Symbol"/>
          <w:b/>
          <w:bCs/>
          <w:sz w:val="32"/>
          <w:szCs w:val="32"/>
        </w:rPr>
      </w:pPr>
    </w:p>
    <w:p>
      <w:pPr>
        <w:spacing w:line="600" w:lineRule="exact"/>
        <w:jc w:val="center"/>
        <w:rPr>
          <w:rFonts w:ascii="Arial" w:hAnsi="Arial" w:eastAsia="宋体"/>
          <w:b/>
          <w:bCs/>
          <w:sz w:val="32"/>
          <w:szCs w:val="32"/>
        </w:rPr>
      </w:pPr>
    </w:p>
    <w:p>
      <w:pPr>
        <w:spacing w:line="600" w:lineRule="exact"/>
        <w:jc w:val="center"/>
        <w:rPr>
          <w:rFonts w:ascii="Arial" w:hAnsi="Arial" w:eastAsia="宋体"/>
          <w:b/>
          <w:bCs/>
          <w:sz w:val="32"/>
          <w:szCs w:val="32"/>
        </w:rPr>
      </w:pPr>
    </w:p>
    <w:p>
      <w:pPr>
        <w:spacing w:line="600" w:lineRule="exact"/>
        <w:jc w:val="center"/>
        <w:rPr>
          <w:rFonts w:ascii="Arial" w:hAnsi="Arial" w:eastAsia="宋体"/>
          <w:b/>
          <w:bCs/>
          <w:sz w:val="32"/>
          <w:szCs w:val="32"/>
        </w:rPr>
      </w:pPr>
    </w:p>
    <w:p>
      <w:pPr>
        <w:spacing w:line="600" w:lineRule="exact"/>
        <w:jc w:val="center"/>
        <w:rPr>
          <w:rFonts w:ascii="方正小标宋简体" w:hAnsi="方正小标宋简体" w:eastAsia="方正小标宋简体" w:cs="方正小标宋简体"/>
          <w:sz w:val="44"/>
          <w:szCs w:val="44"/>
        </w:rPr>
      </w:pPr>
      <w:r>
        <w:rPr>
          <w:rFonts w:ascii="方正小标宋简体" w:hAnsi="方正小标宋简体" w:eastAsia="方正小标宋简体" w:cs="方正小标宋简体"/>
          <w:sz w:val="44"/>
          <w:szCs w:val="44"/>
        </w:rPr>
        <w:t>2026</w:t>
      </w:r>
      <w:r>
        <w:rPr>
          <w:rFonts w:hint="eastAsia" w:ascii="方正小标宋简体" w:hAnsi="方正小标宋简体" w:eastAsia="方正小标宋简体" w:cs="方正小标宋简体"/>
          <w:sz w:val="44"/>
          <w:szCs w:val="44"/>
        </w:rPr>
        <w:t>年度锡林郭勒盟统计局单位预算公开</w:t>
      </w: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adjustRightInd w:val="0"/>
        <w:snapToGrid w:val="0"/>
        <w:spacing w:line="600" w:lineRule="exact"/>
        <w:rPr>
          <w:rFonts w:ascii="黑体" w:hAnsi="黑体" w:eastAsia="黑体" w:cs="黑体"/>
          <w:sz w:val="32"/>
          <w:szCs w:val="32"/>
        </w:rPr>
      </w:pPr>
    </w:p>
    <w:p>
      <w:pPr>
        <w:adjustRightInd w:val="0"/>
        <w:snapToGrid w:val="0"/>
        <w:spacing w:line="600" w:lineRule="exact"/>
        <w:jc w:val="center"/>
        <w:rPr>
          <w:rFonts w:ascii="黑体" w:hAnsi="黑体" w:eastAsia="黑体" w:cs="黑体"/>
          <w:sz w:val="32"/>
          <w:szCs w:val="32"/>
        </w:rPr>
      </w:pPr>
      <w:r>
        <w:rPr>
          <w:rFonts w:hint="eastAsia" w:ascii="黑体" w:hAnsi="黑体" w:eastAsia="黑体" w:cs="黑体"/>
          <w:sz w:val="32"/>
          <w:szCs w:val="32"/>
        </w:rPr>
        <w:t>批复时间：</w:t>
      </w:r>
      <w:r>
        <w:rPr>
          <w:rFonts w:ascii="黑体" w:hAnsi="黑体" w:eastAsia="黑体" w:cs="黑体"/>
          <w:sz w:val="32"/>
          <w:szCs w:val="32"/>
          <w:u w:val="single"/>
        </w:rPr>
        <w:t>2026</w:t>
      </w:r>
      <w:r>
        <w:rPr>
          <w:rFonts w:hint="eastAsia" w:ascii="黑体" w:hAnsi="黑体" w:eastAsia="黑体" w:cs="黑体"/>
          <w:sz w:val="32"/>
          <w:szCs w:val="32"/>
          <w:u w:val="single"/>
        </w:rPr>
        <w:t>年</w:t>
      </w:r>
      <w:r>
        <w:rPr>
          <w:rFonts w:ascii="黑体" w:hAnsi="黑体" w:eastAsia="黑体" w:cs="黑体"/>
          <w:sz w:val="32"/>
          <w:szCs w:val="32"/>
          <w:u w:val="single"/>
        </w:rPr>
        <w:t>2</w:t>
      </w:r>
      <w:r>
        <w:rPr>
          <w:rFonts w:hint="eastAsia" w:ascii="黑体" w:hAnsi="黑体" w:eastAsia="黑体" w:cs="黑体"/>
          <w:sz w:val="32"/>
          <w:szCs w:val="32"/>
          <w:u w:val="single"/>
        </w:rPr>
        <w:t>月</w:t>
      </w:r>
      <w:r>
        <w:rPr>
          <w:rFonts w:ascii="黑体" w:hAnsi="黑体" w:eastAsia="黑体" w:cs="黑体"/>
          <w:sz w:val="32"/>
          <w:szCs w:val="32"/>
          <w:u w:val="single"/>
        </w:rPr>
        <w:t>24</w:t>
      </w:r>
      <w:r>
        <w:rPr>
          <w:rFonts w:hint="eastAsia" w:ascii="黑体" w:hAnsi="黑体" w:eastAsia="黑体" w:cs="黑体"/>
          <w:sz w:val="32"/>
          <w:szCs w:val="32"/>
          <w:u w:val="single"/>
        </w:rPr>
        <w:t>日</w:t>
      </w:r>
    </w:p>
    <w:p>
      <w:pPr>
        <w:pStyle w:val="2"/>
        <w:spacing w:after="0" w:line="600" w:lineRule="exact"/>
        <w:ind w:left="0" w:leftChars="0" w:firstLine="0"/>
        <w:jc w:val="center"/>
        <w:rPr>
          <w:rFonts w:hint="default" w:ascii="黑体" w:hAnsi="黑体" w:eastAsia="黑体" w:cs="黑体"/>
        </w:rPr>
      </w:pPr>
      <w:r>
        <w:rPr>
          <w:rFonts w:ascii="黑体" w:hAnsi="黑体" w:eastAsia="黑体" w:cs="黑体"/>
          <w:sz w:val="32"/>
          <w:szCs w:val="32"/>
        </w:rPr>
        <w:t>公开时间：</w:t>
      </w:r>
      <w:r>
        <w:rPr>
          <w:rFonts w:ascii="黑体" w:hAnsi="黑体" w:eastAsia="黑体" w:cs="黑体"/>
          <w:sz w:val="32"/>
          <w:szCs w:val="32"/>
          <w:u w:val="single"/>
        </w:rPr>
        <w:t xml:space="preserve"> </w:t>
      </w:r>
      <w:r>
        <w:rPr>
          <w:rFonts w:hint="default" w:ascii="黑体" w:hAnsi="黑体" w:eastAsia="黑体" w:cs="黑体"/>
          <w:sz w:val="32"/>
          <w:szCs w:val="32"/>
          <w:u w:val="single"/>
        </w:rPr>
        <w:t>2026</w:t>
      </w:r>
      <w:r>
        <w:rPr>
          <w:rFonts w:ascii="黑体" w:hAnsi="黑体" w:eastAsia="黑体" w:cs="黑体"/>
          <w:sz w:val="32"/>
          <w:szCs w:val="32"/>
          <w:u w:val="single"/>
        </w:rPr>
        <w:t>年</w:t>
      </w:r>
      <w:r>
        <w:rPr>
          <w:rFonts w:hint="default" w:ascii="黑体" w:hAnsi="黑体" w:eastAsia="黑体" w:cs="黑体"/>
          <w:sz w:val="32"/>
          <w:szCs w:val="32"/>
          <w:u w:val="single"/>
        </w:rPr>
        <w:t>3</w:t>
      </w:r>
      <w:r>
        <w:rPr>
          <w:rFonts w:ascii="黑体" w:hAnsi="黑体" w:eastAsia="黑体" w:cs="黑体"/>
          <w:sz w:val="32"/>
          <w:szCs w:val="32"/>
          <w:u w:val="single"/>
        </w:rPr>
        <w:t>月</w:t>
      </w:r>
      <w:r>
        <w:rPr>
          <w:rFonts w:hint="default" w:ascii="黑体" w:hAnsi="黑体" w:eastAsia="黑体" w:cs="黑体"/>
          <w:sz w:val="32"/>
          <w:szCs w:val="32"/>
          <w:u w:val="single"/>
        </w:rPr>
        <w:t>2</w:t>
      </w:r>
      <w:r>
        <w:rPr>
          <w:rFonts w:ascii="黑体" w:hAnsi="黑体" w:eastAsia="黑体" w:cs="黑体"/>
          <w:sz w:val="32"/>
          <w:szCs w:val="32"/>
          <w:u w:val="single"/>
        </w:rPr>
        <w:t>日</w:t>
      </w: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adjustRightInd w:val="0"/>
        <w:snapToGrid w:val="0"/>
        <w:spacing w:line="600" w:lineRule="exact"/>
        <w:ind w:firstLine="640"/>
        <w:rPr>
          <w:rFonts w:ascii="仿宋" w:hAnsi="仿宋" w:eastAsia="仿宋"/>
          <w:sz w:val="32"/>
          <w:szCs w:val="32"/>
        </w:rPr>
      </w:pPr>
    </w:p>
    <w:p>
      <w:pPr>
        <w:pStyle w:val="5"/>
        <w:tabs>
          <w:tab w:val="left" w:pos="4533"/>
        </w:tabs>
        <w:spacing w:before="0" w:after="0" w:line="600" w:lineRule="exact"/>
        <w:ind w:firstLine="0" w:firstLineChars="0"/>
        <w:jc w:val="center"/>
        <w:rPr>
          <w:sz w:val="44"/>
          <w:szCs w:val="44"/>
        </w:rPr>
      </w:pPr>
      <w:r>
        <w:rPr>
          <w:sz w:val="44"/>
          <w:szCs w:val="44"/>
        </w:rPr>
        <w:t>目</w:t>
      </w:r>
      <w:r>
        <w:rPr>
          <w:rFonts w:hint="eastAsia" w:eastAsia="宋体"/>
          <w:sz w:val="44"/>
          <w:szCs w:val="44"/>
        </w:rPr>
        <w:t xml:space="preserve">  </w:t>
      </w:r>
      <w:r>
        <w:rPr>
          <w:rFonts w:hint="eastAsia"/>
          <w:sz w:val="44"/>
          <w:szCs w:val="44"/>
        </w:rPr>
        <w:t xml:space="preserve">  </w:t>
      </w:r>
      <w:r>
        <w:rPr>
          <w:sz w:val="44"/>
          <w:szCs w:val="44"/>
        </w:rPr>
        <w:t>录</w:t>
      </w:r>
    </w:p>
    <w:p/>
    <w:p>
      <w:pPr>
        <w:pStyle w:val="12"/>
        <w:spacing w:after="0" w:line="600" w:lineRule="exact"/>
        <w:rPr>
          <w:rFonts w:ascii="黑体" w:hAnsi="黑体" w:eastAsia="黑体" w:cs="黑体"/>
          <w:sz w:val="32"/>
          <w:szCs w:val="32"/>
        </w:rPr>
      </w:pPr>
      <w:r>
        <w:rPr>
          <w:rFonts w:hint="eastAsia" w:ascii="黑体" w:hAnsi="黑体" w:eastAsia="黑体" w:cs="黑体"/>
          <w:sz w:val="32"/>
          <w:szCs w:val="32"/>
        </w:rPr>
        <w:t>第一部分 单位概况</w:t>
      </w:r>
    </w:p>
    <w:p>
      <w:pPr>
        <w:pStyle w:val="12"/>
        <w:spacing w:after="0" w:line="600" w:lineRule="exact"/>
        <w:rPr>
          <w:rFonts w:ascii="仿宋" w:hAnsi="仿宋" w:eastAsia="仿宋" w:cs="仿宋"/>
          <w:sz w:val="32"/>
          <w:szCs w:val="32"/>
          <w:highlight w:val="yellow"/>
        </w:rPr>
      </w:pPr>
      <w:r>
        <w:rPr>
          <w:rFonts w:hint="eastAsia" w:ascii="仿宋" w:hAnsi="仿宋" w:eastAsia="仿宋" w:cs="仿宋"/>
          <w:w w:val="95"/>
          <w:sz w:val="32"/>
          <w:szCs w:val="32"/>
        </w:rPr>
        <w:t>一、主要职能、职责</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二、单位机构设置及预算单位构成情况</w:t>
      </w:r>
    </w:p>
    <w:p>
      <w:pPr>
        <w:pStyle w:val="12"/>
        <w:spacing w:after="0" w:line="600" w:lineRule="exact"/>
        <w:rPr>
          <w:rFonts w:ascii="黑体" w:hAnsi="黑体" w:eastAsia="黑体" w:cs="黑体"/>
          <w:sz w:val="32"/>
          <w:szCs w:val="32"/>
          <w:highlight w:val="yellow"/>
        </w:rPr>
      </w:pPr>
      <w:r>
        <w:rPr>
          <w:rFonts w:hint="eastAsia" w:ascii="仿宋" w:hAnsi="仿宋" w:eastAsia="仿宋" w:cs="仿宋"/>
          <w:sz w:val="32"/>
          <w:szCs w:val="32"/>
        </w:rPr>
        <w:t>三、</w:t>
      </w:r>
      <w:r>
        <w:rPr>
          <w:rFonts w:ascii="仿宋" w:hAnsi="仿宋" w:eastAsia="仿宋" w:cs="仿宋"/>
          <w:sz w:val="32"/>
          <w:szCs w:val="32"/>
        </w:rPr>
        <w:t>2026</w:t>
      </w:r>
      <w:r>
        <w:rPr>
          <w:rFonts w:hint="eastAsia" w:ascii="仿宋" w:hAnsi="仿宋" w:eastAsia="仿宋" w:cs="仿宋"/>
          <w:sz w:val="32"/>
          <w:szCs w:val="32"/>
        </w:rPr>
        <w:t>年度单位主要工作任务及目标</w:t>
      </w:r>
    </w:p>
    <w:p>
      <w:pPr>
        <w:pStyle w:val="12"/>
        <w:spacing w:after="0" w:line="600" w:lineRule="exact"/>
        <w:rPr>
          <w:rFonts w:ascii="黑体" w:hAnsi="黑体" w:eastAsia="黑体" w:cs="黑体"/>
          <w:sz w:val="32"/>
          <w:szCs w:val="32"/>
        </w:rPr>
      </w:pPr>
      <w:r>
        <w:rPr>
          <w:rFonts w:hint="eastAsia" w:ascii="黑体" w:hAnsi="黑体" w:eastAsia="黑体" w:cs="黑体"/>
          <w:sz w:val="32"/>
          <w:szCs w:val="32"/>
        </w:rPr>
        <w:t xml:space="preserve">第二部分 </w:t>
      </w:r>
      <w:r>
        <w:rPr>
          <w:rFonts w:ascii="黑体" w:hAnsi="黑体" w:eastAsia="黑体" w:cs="黑体"/>
          <w:sz w:val="32"/>
          <w:szCs w:val="32"/>
        </w:rPr>
        <w:t>2026</w:t>
      </w:r>
      <w:r>
        <w:rPr>
          <w:rFonts w:hint="eastAsia" w:ascii="黑体" w:hAnsi="黑体" w:eastAsia="黑体" w:cs="黑体"/>
          <w:sz w:val="32"/>
          <w:szCs w:val="32"/>
        </w:rPr>
        <w:t>年度单位预算情况说明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一、收支预算总体情况说明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二、收入预算情况说明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三、支出预算情况说明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四、财政拨款收支预算总体情况说明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五、一般公共预算支出预算情况说明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六、一般公共预算基本支出预算情况说明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七、一般公共预算“三公”经费支出预算情况说明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八、政府性基金预算支出预算情况说明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九、国有资本经营预算支出预算情况说明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十、项目支出预算情况说明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十一、一般公共预算机关运行经费支出预算情况说明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十二、政府采购支出预算情况说明</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十三、国有资产占用情况说明</w:t>
      </w:r>
    </w:p>
    <w:p>
      <w:pPr>
        <w:widowControl/>
        <w:spacing w:line="600" w:lineRule="exact"/>
        <w:jc w:val="left"/>
        <w:rPr>
          <w:rFonts w:ascii="仿宋" w:hAnsi="仿宋" w:eastAsia="仿宋" w:cs="仿宋"/>
          <w:sz w:val="32"/>
          <w:szCs w:val="32"/>
        </w:rPr>
      </w:pPr>
      <w:r>
        <w:rPr>
          <w:rFonts w:hint="eastAsia" w:ascii="仿宋" w:hAnsi="仿宋" w:eastAsia="仿宋" w:cs="仿宋"/>
          <w:sz w:val="32"/>
          <w:szCs w:val="32"/>
        </w:rPr>
        <w:t xml:space="preserve">十四、项目绩效目标情况说明 </w:t>
      </w:r>
    </w:p>
    <w:p>
      <w:pPr>
        <w:pStyle w:val="12"/>
        <w:spacing w:after="0" w:line="600" w:lineRule="exact"/>
        <w:rPr>
          <w:rFonts w:ascii="黑体" w:hAnsi="黑体" w:eastAsia="黑体" w:cs="黑体"/>
          <w:sz w:val="32"/>
          <w:szCs w:val="32"/>
        </w:rPr>
      </w:pPr>
      <w:r>
        <w:rPr>
          <w:rFonts w:hint="eastAsia" w:ascii="黑体" w:hAnsi="黑体" w:eastAsia="黑体" w:cs="黑体"/>
          <w:sz w:val="32"/>
          <w:szCs w:val="32"/>
        </w:rPr>
        <w:t>第三部分 名词解释</w:t>
      </w:r>
    </w:p>
    <w:p>
      <w:pPr>
        <w:pStyle w:val="12"/>
        <w:spacing w:after="0" w:line="600" w:lineRule="exact"/>
        <w:rPr>
          <w:rFonts w:ascii="黑体" w:hAnsi="黑体" w:eastAsia="黑体" w:cs="黑体"/>
          <w:sz w:val="32"/>
          <w:szCs w:val="32"/>
        </w:rPr>
      </w:pPr>
      <w:r>
        <w:rPr>
          <w:rFonts w:hint="eastAsia" w:ascii="黑体" w:hAnsi="黑体" w:eastAsia="黑体" w:cs="黑体"/>
          <w:sz w:val="32"/>
          <w:szCs w:val="32"/>
        </w:rPr>
        <w:t>第四部分 预算公开联系方式及信息反馈渠道</w:t>
      </w:r>
    </w:p>
    <w:p>
      <w:pPr>
        <w:pStyle w:val="12"/>
        <w:spacing w:after="0" w:line="600" w:lineRule="exact"/>
        <w:rPr>
          <w:rFonts w:ascii="黑体" w:hAnsi="黑体" w:eastAsia="黑体" w:cs="黑体"/>
          <w:sz w:val="32"/>
          <w:szCs w:val="32"/>
        </w:rPr>
      </w:pPr>
      <w:r>
        <w:rPr>
          <w:rFonts w:hint="eastAsia" w:ascii="黑体" w:hAnsi="黑体" w:eastAsia="黑体" w:cs="黑体"/>
          <w:sz w:val="32"/>
          <w:szCs w:val="32"/>
        </w:rPr>
        <w:t xml:space="preserve">第五部分 </w:t>
      </w:r>
      <w:r>
        <w:rPr>
          <w:rFonts w:ascii="黑体" w:hAnsi="黑体" w:eastAsia="黑体" w:cs="黑体"/>
          <w:sz w:val="32"/>
          <w:szCs w:val="32"/>
        </w:rPr>
        <w:t>2026</w:t>
      </w:r>
      <w:r>
        <w:rPr>
          <w:rFonts w:hint="eastAsia" w:ascii="黑体" w:hAnsi="黑体" w:eastAsia="黑体" w:cs="黑体"/>
          <w:sz w:val="32"/>
          <w:szCs w:val="32"/>
        </w:rPr>
        <w:t>年度单位预算表</w:t>
      </w:r>
    </w:p>
    <w:p>
      <w:pPr>
        <w:pStyle w:val="12"/>
        <w:numPr>
          <w:ilvl w:val="0"/>
          <w:numId w:val="1"/>
        </w:numPr>
        <w:spacing w:after="0" w:line="600" w:lineRule="exact"/>
        <w:rPr>
          <w:rFonts w:ascii="仿宋" w:hAnsi="仿宋" w:eastAsia="仿宋" w:cs="仿宋"/>
          <w:sz w:val="32"/>
          <w:szCs w:val="32"/>
        </w:rPr>
      </w:pPr>
      <w:r>
        <w:rPr>
          <w:rFonts w:hint="eastAsia" w:ascii="仿宋" w:hAnsi="仿宋" w:eastAsia="仿宋" w:cs="仿宋"/>
          <w:sz w:val="32"/>
          <w:szCs w:val="32"/>
        </w:rPr>
        <w:t>收支总表</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二、收入总表</w:t>
      </w:r>
    </w:p>
    <w:p>
      <w:pPr>
        <w:pStyle w:val="12"/>
        <w:spacing w:after="0" w:line="600" w:lineRule="exact"/>
        <w:rPr>
          <w:rFonts w:ascii="仿宋" w:hAnsi="仿宋" w:eastAsia="仿宋" w:cs="仿宋"/>
          <w:sz w:val="32"/>
          <w:szCs w:val="32"/>
        </w:rPr>
      </w:pPr>
      <w:r>
        <w:rPr>
          <w:rFonts w:hint="eastAsia" w:ascii="仿宋" w:hAnsi="仿宋" w:eastAsia="仿宋" w:cs="仿宋"/>
          <w:w w:val="95"/>
          <w:sz w:val="32"/>
          <w:szCs w:val="32"/>
        </w:rPr>
        <w:t>三、支出总表</w:t>
      </w:r>
    </w:p>
    <w:p>
      <w:pPr>
        <w:pStyle w:val="12"/>
        <w:spacing w:after="0" w:line="600" w:lineRule="exact"/>
        <w:rPr>
          <w:rFonts w:ascii="仿宋" w:hAnsi="仿宋" w:eastAsia="仿宋" w:cs="仿宋"/>
          <w:sz w:val="32"/>
          <w:szCs w:val="32"/>
        </w:rPr>
      </w:pPr>
      <w:r>
        <w:rPr>
          <w:rFonts w:hint="eastAsia" w:ascii="仿宋" w:hAnsi="仿宋" w:eastAsia="仿宋" w:cs="仿宋"/>
          <w:w w:val="95"/>
          <w:sz w:val="32"/>
          <w:szCs w:val="32"/>
        </w:rPr>
        <w:t>四、财政拨款收支总表</w:t>
      </w:r>
    </w:p>
    <w:p>
      <w:pPr>
        <w:pStyle w:val="12"/>
        <w:spacing w:after="0" w:line="600" w:lineRule="exact"/>
        <w:rPr>
          <w:rFonts w:ascii="仿宋" w:hAnsi="仿宋" w:eastAsia="仿宋" w:cs="仿宋"/>
          <w:sz w:val="32"/>
          <w:szCs w:val="32"/>
        </w:rPr>
      </w:pPr>
      <w:r>
        <w:rPr>
          <w:rFonts w:hint="eastAsia" w:ascii="仿宋" w:hAnsi="仿宋" w:eastAsia="仿宋" w:cs="仿宋"/>
          <w:w w:val="95"/>
          <w:sz w:val="32"/>
          <w:szCs w:val="32"/>
        </w:rPr>
        <w:t>五、一般公共预算支出表</w:t>
      </w:r>
    </w:p>
    <w:p>
      <w:pPr>
        <w:pStyle w:val="12"/>
        <w:spacing w:after="0" w:line="600" w:lineRule="exact"/>
        <w:rPr>
          <w:rFonts w:ascii="仿宋" w:hAnsi="仿宋" w:eastAsia="仿宋" w:cs="仿宋"/>
          <w:sz w:val="32"/>
          <w:szCs w:val="32"/>
        </w:rPr>
      </w:pPr>
      <w:r>
        <w:rPr>
          <w:rFonts w:hint="eastAsia" w:ascii="仿宋" w:hAnsi="仿宋" w:eastAsia="仿宋" w:cs="仿宋"/>
          <w:w w:val="95"/>
          <w:sz w:val="32"/>
          <w:szCs w:val="32"/>
        </w:rPr>
        <w:t>六、一般公共预算基本支出表</w:t>
      </w:r>
    </w:p>
    <w:p>
      <w:pPr>
        <w:pStyle w:val="12"/>
        <w:spacing w:after="0" w:line="600" w:lineRule="exact"/>
        <w:rPr>
          <w:rFonts w:ascii="仿宋" w:hAnsi="仿宋" w:eastAsia="仿宋" w:cs="仿宋"/>
          <w:spacing w:val="-16"/>
          <w:w w:val="95"/>
          <w:sz w:val="32"/>
          <w:szCs w:val="32"/>
        </w:rPr>
      </w:pPr>
      <w:r>
        <w:rPr>
          <w:rFonts w:hint="eastAsia" w:ascii="仿宋" w:hAnsi="仿宋" w:eastAsia="仿宋" w:cs="仿宋"/>
          <w:spacing w:val="-17"/>
          <w:w w:val="95"/>
          <w:sz w:val="32"/>
          <w:szCs w:val="32"/>
        </w:rPr>
        <w:t>七、一般公共预算</w:t>
      </w:r>
      <w:r>
        <w:rPr>
          <w:rFonts w:hint="eastAsia" w:ascii="仿宋" w:hAnsi="仿宋" w:eastAsia="仿宋" w:cs="仿宋"/>
          <w:spacing w:val="-8"/>
          <w:w w:val="95"/>
          <w:sz w:val="32"/>
          <w:szCs w:val="32"/>
        </w:rPr>
        <w:t>“</w:t>
      </w:r>
      <w:r>
        <w:rPr>
          <w:rFonts w:hint="eastAsia" w:ascii="仿宋" w:hAnsi="仿宋" w:eastAsia="仿宋" w:cs="仿宋"/>
          <w:spacing w:val="-15"/>
          <w:w w:val="95"/>
          <w:sz w:val="32"/>
          <w:szCs w:val="32"/>
        </w:rPr>
        <w:t>三公</w:t>
      </w:r>
      <w:r>
        <w:rPr>
          <w:rFonts w:hint="eastAsia" w:ascii="仿宋" w:hAnsi="仿宋" w:eastAsia="仿宋" w:cs="仿宋"/>
          <w:spacing w:val="-10"/>
          <w:w w:val="95"/>
          <w:sz w:val="32"/>
          <w:szCs w:val="32"/>
        </w:rPr>
        <w:t>”</w:t>
      </w:r>
      <w:r>
        <w:rPr>
          <w:rFonts w:hint="eastAsia" w:ascii="仿宋" w:hAnsi="仿宋" w:eastAsia="仿宋" w:cs="仿宋"/>
          <w:spacing w:val="-16"/>
          <w:w w:val="95"/>
          <w:sz w:val="32"/>
          <w:szCs w:val="32"/>
        </w:rPr>
        <w:t>经费支出表</w:t>
      </w:r>
    </w:p>
    <w:p>
      <w:pPr>
        <w:pStyle w:val="12"/>
        <w:spacing w:after="0" w:line="600" w:lineRule="exact"/>
        <w:rPr>
          <w:rFonts w:ascii="仿宋" w:hAnsi="仿宋" w:eastAsia="仿宋" w:cs="仿宋"/>
          <w:sz w:val="32"/>
          <w:szCs w:val="32"/>
        </w:rPr>
      </w:pPr>
      <w:r>
        <w:rPr>
          <w:rFonts w:hint="eastAsia" w:ascii="仿宋" w:hAnsi="仿宋" w:eastAsia="仿宋" w:cs="仿宋"/>
          <w:spacing w:val="-16"/>
          <w:w w:val="95"/>
          <w:sz w:val="32"/>
          <w:szCs w:val="32"/>
        </w:rPr>
        <w:t>八、政府性基金预算支出表</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九、国有资本经营预算支出表</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十、项目支出表</w:t>
      </w:r>
    </w:p>
    <w:p>
      <w:pPr>
        <w:pStyle w:val="12"/>
        <w:spacing w:after="0" w:line="600" w:lineRule="exact"/>
        <w:rPr>
          <w:rFonts w:ascii="仿宋" w:hAnsi="仿宋" w:eastAsia="仿宋" w:cs="仿宋"/>
          <w:sz w:val="32"/>
          <w:szCs w:val="32"/>
        </w:rPr>
      </w:pPr>
      <w:r>
        <w:rPr>
          <w:rFonts w:hint="eastAsia" w:ascii="仿宋" w:hAnsi="仿宋" w:eastAsia="仿宋" w:cs="仿宋"/>
          <w:sz w:val="32"/>
          <w:szCs w:val="32"/>
        </w:rPr>
        <w:t>十一、项目绩效目标表</w:t>
      </w:r>
    </w:p>
    <w:p>
      <w:pPr>
        <w:pStyle w:val="12"/>
        <w:spacing w:after="0" w:line="600" w:lineRule="exact"/>
        <w:rPr>
          <w:rFonts w:ascii="仿宋" w:hAnsi="仿宋" w:eastAsia="仿宋" w:cs="仿宋"/>
          <w:sz w:val="32"/>
          <w:szCs w:val="32"/>
        </w:rPr>
      </w:pPr>
      <w:r>
        <w:rPr>
          <w:rFonts w:hint="eastAsia" w:ascii="仿宋" w:hAnsi="仿宋" w:eastAsia="仿宋" w:cs="仿宋"/>
          <w:w w:val="95"/>
          <w:sz w:val="32"/>
          <w:szCs w:val="32"/>
        </w:rPr>
        <w:t>十二、政府采购预算表</w:t>
      </w:r>
    </w:p>
    <w:p>
      <w:pPr>
        <w:pStyle w:val="2"/>
        <w:spacing w:after="0" w:line="600" w:lineRule="exact"/>
        <w:rPr>
          <w:rFonts w:hint="default"/>
        </w:rPr>
        <w:sectPr>
          <w:headerReference r:id="rId3" w:type="default"/>
          <w:footerReference r:id="rId4" w:type="default"/>
          <w:pgSz w:w="11910" w:h="16840"/>
          <w:pgMar w:top="1582" w:right="1680" w:bottom="278" w:left="1640" w:header="720" w:footer="720" w:gutter="0"/>
          <w:pgNumType w:fmt="numberInDash"/>
          <w:cols w:space="0" w:num="1"/>
        </w:sectPr>
      </w:pPr>
    </w:p>
    <w:p>
      <w:pPr>
        <w:pStyle w:val="7"/>
        <w:tabs>
          <w:tab w:val="left" w:pos="4392"/>
        </w:tabs>
        <w:spacing w:before="0" w:after="0" w:line="600" w:lineRule="exact"/>
        <w:jc w:val="center"/>
        <w:rPr>
          <w:rFonts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第一部分  单位概况</w:t>
      </w:r>
    </w:p>
    <w:p>
      <w:pPr>
        <w:spacing w:line="600" w:lineRule="exact"/>
        <w:rPr>
          <w:rFonts w:ascii="方正小标宋简体" w:hAnsi="方正小标宋简体" w:eastAsia="方正小标宋简体" w:cs="方正小标宋简体"/>
          <w:sz w:val="36"/>
          <w:szCs w:val="36"/>
        </w:rPr>
      </w:pPr>
    </w:p>
    <w:p>
      <w:pPr>
        <w:numPr>
          <w:ilvl w:val="0"/>
          <w:numId w:val="2"/>
        </w:numPr>
        <w:spacing w:line="600" w:lineRule="exact"/>
        <w:ind w:left="17" w:leftChars="8" w:firstLine="624" w:firstLineChars="195"/>
        <w:outlineLvl w:val="0"/>
        <w:rPr>
          <w:rFonts w:eastAsia="黑体" w:cs="黑体"/>
          <w:sz w:val="32"/>
          <w:szCs w:val="36"/>
        </w:rPr>
      </w:pPr>
      <w:r>
        <w:rPr>
          <w:rFonts w:hint="eastAsia" w:eastAsia="黑体" w:cs="黑体"/>
          <w:sz w:val="32"/>
          <w:szCs w:val="36"/>
        </w:rPr>
        <w:t>主要职能职责</w:t>
      </w:r>
    </w:p>
    <w:p>
      <w:pPr>
        <w:spacing w:line="600" w:lineRule="exact"/>
        <w:ind w:left="17" w:firstLine="640" w:firstLineChars="200"/>
        <w:outlineLvl w:val="0"/>
        <w:rPr>
          <w:rFonts w:eastAsia="黑体" w:cs="黑体"/>
          <w:sz w:val="32"/>
          <w:szCs w:val="36"/>
        </w:rPr>
      </w:pPr>
      <w:r>
        <w:rPr>
          <w:rFonts w:hint="eastAsia" w:ascii="仿宋_GB2312" w:eastAsia="仿宋_GB2312" w:cs="仿宋_GB2312" w:hAnsiTheme="minorEastAsia"/>
          <w:sz w:val="32"/>
          <w:szCs w:val="32"/>
        </w:rPr>
        <w:t>（一）</w:t>
      </w:r>
      <w:r>
        <w:rPr>
          <w:rFonts w:hint="eastAsia" w:ascii="仿宋_GB2312" w:eastAsia="仿宋_GB2312" w:cs="仿宋_GB2312" w:hAnsiTheme="minorEastAsia"/>
          <w:sz w:val="32"/>
          <w:szCs w:val="32"/>
          <w:lang w:val="en"/>
        </w:rPr>
        <w:t>牢牢把握铸牢中华民族共同体意识工作主线，将之贯穿于</w:t>
      </w:r>
      <w:r>
        <w:rPr>
          <w:rFonts w:hint="eastAsia" w:ascii="仿宋_GB2312" w:eastAsia="仿宋_GB2312" w:cs="仿宋_GB2312" w:hAnsiTheme="minorEastAsia"/>
          <w:sz w:val="32"/>
          <w:szCs w:val="32"/>
        </w:rPr>
        <w:t>统计调查、统计分析、提供统计资料和统计咨询意见、实行统计监督及自身建设等全过程各方面</w:t>
      </w:r>
      <w:r>
        <w:rPr>
          <w:rFonts w:hint="eastAsia" w:ascii="仿宋_GB2312" w:eastAsia="仿宋_GB2312" w:cs="仿宋_GB2312" w:hAnsiTheme="minorEastAsia"/>
          <w:sz w:val="32"/>
          <w:szCs w:val="32"/>
          <w:lang w:val="en"/>
        </w:rPr>
        <w:t>。</w:t>
      </w:r>
    </w:p>
    <w:p>
      <w:pPr>
        <w:keepNext/>
        <w:spacing w:line="600" w:lineRule="exact"/>
        <w:ind w:firstLine="640" w:firstLineChars="200"/>
        <w:rPr>
          <w:rFonts w:ascii="仿宋_GB2312" w:eastAsia="仿宋_GB2312" w:cs="仿宋_GB2312" w:hAnsiTheme="minorEastAsia"/>
          <w:sz w:val="32"/>
          <w:szCs w:val="32"/>
          <w:lang w:val="en"/>
        </w:rPr>
      </w:pPr>
      <w:r>
        <w:rPr>
          <w:rFonts w:hint="eastAsia" w:ascii="仿宋_GB2312" w:eastAsia="仿宋_GB2312" w:cs="仿宋_GB2312" w:hAnsiTheme="minorEastAsia"/>
          <w:sz w:val="32"/>
          <w:szCs w:val="32"/>
        </w:rPr>
        <w:t>（二）</w:t>
      </w:r>
      <w:r>
        <w:rPr>
          <w:rFonts w:hint="eastAsia" w:ascii="仿宋_GB2312" w:eastAsia="仿宋_GB2312" w:cs="仿宋_GB2312" w:hAnsiTheme="minorEastAsia"/>
          <w:sz w:val="32"/>
          <w:szCs w:val="32"/>
          <w:lang w:val="en"/>
        </w:rPr>
        <w:t>在履行职责过程中统筹发展和安全，有效防范化解各类风险挑战，实现高质量发展和高水平安全的良性互动。</w:t>
      </w:r>
    </w:p>
    <w:p>
      <w:pPr>
        <w:keepNext/>
        <w:spacing w:line="600" w:lineRule="exact"/>
        <w:ind w:firstLine="640" w:firstLineChars="200"/>
        <w:rPr>
          <w:rFonts w:ascii="仿宋_GB2312" w:eastAsia="仿宋_GB2312" w:cs="仿宋" w:hAnsiTheme="minorEastAsia"/>
          <w:sz w:val="32"/>
          <w:szCs w:val="32"/>
        </w:rPr>
      </w:pPr>
      <w:r>
        <w:rPr>
          <w:rFonts w:hint="eastAsia" w:ascii="仿宋_GB2312" w:eastAsia="仿宋_GB2312" w:cs="仿宋" w:hAnsiTheme="minorEastAsia"/>
          <w:sz w:val="32"/>
          <w:szCs w:val="32"/>
        </w:rPr>
        <w:t>（三）贯彻落实国家、自治区有关统计方面的法律法规政策。</w:t>
      </w:r>
      <w:r>
        <w:rPr>
          <w:rFonts w:hint="eastAsia" w:ascii="仿宋_GB2312" w:eastAsia="仿宋_GB2312" w:hAnsiTheme="minorEastAsia"/>
          <w:sz w:val="32"/>
          <w:szCs w:val="32"/>
        </w:rPr>
        <w:t>拟订全盟统计改革建设规划及统计调查计划，监督检查统计法律、法规、规章、制度、标准的实施。组织协调全盟统计工作。</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cs="宋体" w:hAnsiTheme="minorEastAsia"/>
          <w:sz w:val="32"/>
          <w:szCs w:val="32"/>
        </w:rPr>
        <w:t>（</w:t>
      </w:r>
      <w:r>
        <w:rPr>
          <w:rFonts w:hint="eastAsia" w:ascii="仿宋_GB2312" w:eastAsia="仿宋_GB2312" w:hAnsiTheme="minorEastAsia"/>
          <w:sz w:val="32"/>
          <w:szCs w:val="32"/>
        </w:rPr>
        <w:t>四）贯彻执行国民经济核算体系，组织实施全盟国民经济核算制度和投入产出调查，核算全盟地区生产总值，汇编国民经济核算资料，监督管理旗县市（区）国民经济核算工作。</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cs="宋体" w:hAnsiTheme="minorEastAsia"/>
          <w:sz w:val="32"/>
          <w:szCs w:val="32"/>
        </w:rPr>
        <w:t>（</w:t>
      </w:r>
      <w:r>
        <w:rPr>
          <w:rFonts w:hint="eastAsia" w:ascii="仿宋_GB2312" w:eastAsia="仿宋_GB2312" w:hAnsiTheme="minorEastAsia"/>
          <w:sz w:val="32"/>
          <w:szCs w:val="32"/>
        </w:rPr>
        <w:t>五）</w:t>
      </w:r>
      <w:r>
        <w:rPr>
          <w:rFonts w:hint="eastAsia" w:ascii="仿宋_GB2312" w:eastAsia="仿宋_GB2312" w:cs="仿宋_GB2312" w:hAnsiTheme="minorEastAsia"/>
          <w:sz w:val="32"/>
          <w:szCs w:val="32"/>
        </w:rPr>
        <w:t>组织实施全盟人口、经济、农牧业等重大盟情盟力普查。会同有关部门拟订</w:t>
      </w:r>
      <w:r>
        <w:rPr>
          <w:rFonts w:hint="eastAsia" w:ascii="仿宋_GB2312" w:eastAsia="仿宋_GB2312" w:hAnsiTheme="minorEastAsia"/>
          <w:sz w:val="32"/>
          <w:szCs w:val="32"/>
        </w:rPr>
        <w:t>重大盟情盟力的普查及专项调查计划、方案并组织实施。汇总、整理和提供有关盟情盟力方面的统计数据。</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hAnsiTheme="minorEastAsia"/>
          <w:sz w:val="32"/>
          <w:szCs w:val="32"/>
        </w:rPr>
        <w:t>（六）组织实施农林渔业、工业、建筑业、服务业等全盟国民经济各行各业的统计调查，收集、汇总、整理和提供有关调查的统计数据汇总、整理和提供旅游、交通运输、邮政、教育、卫生、社会保障、公共事业等全盟性基本统计数据。</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cs="宋体" w:hAnsiTheme="minorEastAsia"/>
          <w:sz w:val="32"/>
          <w:szCs w:val="32"/>
        </w:rPr>
        <w:t>（</w:t>
      </w:r>
      <w:r>
        <w:rPr>
          <w:rFonts w:hint="eastAsia" w:ascii="仿宋_GB2312" w:eastAsia="仿宋_GB2312" w:hAnsiTheme="minorEastAsia"/>
          <w:sz w:val="32"/>
          <w:szCs w:val="32"/>
        </w:rPr>
        <w:t>七）组织实施全盟能源、投资、消费、科技、人口、劳动力、社会发展、环境等基本情况统计调查，收集、汇总、整理和提供有关调查的统计数据，汇总、整理和提供资源、房屋、对外贸易、对外经济等全盟性基本统计数据。</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cs="宋体" w:hAnsiTheme="minorEastAsia"/>
          <w:sz w:val="32"/>
          <w:szCs w:val="32"/>
        </w:rPr>
        <w:t>（</w:t>
      </w:r>
      <w:r>
        <w:rPr>
          <w:rFonts w:hint="eastAsia" w:ascii="仿宋_GB2312" w:eastAsia="仿宋_GB2312" w:hAnsiTheme="minorEastAsia"/>
          <w:sz w:val="32"/>
          <w:szCs w:val="32"/>
        </w:rPr>
        <w:t>八）组织旗县市（区）、盟直各部门单位的经济、社会、科技和资源环境统计调查，统一核定、管理、公布全盟性基本统计资料，定期发布国民经济和社会发展情况的统计信息。</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cs="宋体" w:hAnsiTheme="minorEastAsia"/>
          <w:sz w:val="32"/>
          <w:szCs w:val="32"/>
        </w:rPr>
        <w:t>（</w:t>
      </w:r>
      <w:r>
        <w:rPr>
          <w:rFonts w:hint="eastAsia" w:ascii="仿宋_GB2312" w:eastAsia="仿宋_GB2312" w:hAnsiTheme="minorEastAsia"/>
          <w:sz w:val="32"/>
          <w:szCs w:val="32"/>
        </w:rPr>
        <w:t>九）负责对全盟国民经济、社会发展、科技进步和资源环境等情况进行统计分析、监测和监督，会同有关部门组织实施全盟生态文明建设年度评价工作，向盟委、行署及有关部门提供统计信息和咨询建议。</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cs="宋体" w:hAnsiTheme="minorEastAsia"/>
          <w:sz w:val="32"/>
          <w:szCs w:val="32"/>
        </w:rPr>
        <w:t>（</w:t>
      </w:r>
      <w:r>
        <w:rPr>
          <w:rFonts w:hint="eastAsia" w:ascii="仿宋_GB2312" w:eastAsia="仿宋_GB2312" w:hAnsiTheme="minorEastAsia"/>
          <w:sz w:val="32"/>
          <w:szCs w:val="32"/>
        </w:rPr>
        <w:t>十）依法审批或备案盟直部门、旗县市（区））统计调查项目，指导专业统计基础工作、统计基层业务、基础建设，建立健全统计数据质量审核、监控和评估制度，开展对重要统计数据的审核、监控和评估，依法监督管理涉外调查活动。</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cs="宋体" w:hAnsiTheme="minorEastAsia"/>
          <w:sz w:val="32"/>
          <w:szCs w:val="32"/>
        </w:rPr>
        <w:t>（</w:t>
      </w:r>
      <w:r>
        <w:rPr>
          <w:rFonts w:hint="eastAsia" w:ascii="仿宋_GB2312" w:eastAsia="仿宋_GB2312" w:hAnsiTheme="minorEastAsia"/>
          <w:sz w:val="32"/>
          <w:szCs w:val="32"/>
        </w:rPr>
        <w:t>十一）指导全盟统计科学研究、干部培训、统计专业技术队伍建设等工作。按规定管理旗县市（区）统计部门的中央财政统计事业经费。按照干部管理权限协管旗县市（区）统计机关主要负责人。</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cs="宋体" w:hAnsiTheme="minorEastAsia"/>
          <w:sz w:val="32"/>
          <w:szCs w:val="32"/>
        </w:rPr>
        <w:t>（</w:t>
      </w:r>
      <w:r>
        <w:rPr>
          <w:rFonts w:hint="eastAsia" w:ascii="仿宋_GB2312" w:eastAsia="仿宋_GB2312" w:hAnsiTheme="minorEastAsia"/>
          <w:sz w:val="32"/>
          <w:szCs w:val="32"/>
        </w:rPr>
        <w:t>十二）负责拟订全盟统计信息工程建设规划，建立、管理和维护全盟统计信息自动化系统、统计数据库系统、宏观经济与社会发展基础数据库。制定旗县市（区）、盟直部门单位统计数据库网络的基本标准和运行规则，指导旗县市（区）统计信息化系统建设。</w:t>
      </w:r>
    </w:p>
    <w:p>
      <w:pPr>
        <w:keepNext/>
        <w:spacing w:line="600" w:lineRule="exact"/>
        <w:ind w:firstLine="640" w:firstLineChars="200"/>
        <w:rPr>
          <w:rFonts w:ascii="仿宋_GB2312" w:eastAsia="仿宋_GB2312" w:hAnsiTheme="minorEastAsia"/>
          <w:sz w:val="32"/>
          <w:szCs w:val="32"/>
        </w:rPr>
      </w:pPr>
      <w:r>
        <w:rPr>
          <w:rFonts w:hint="eastAsia" w:ascii="仿宋_GB2312" w:eastAsia="仿宋_GB2312" w:hAnsiTheme="minorEastAsia"/>
          <w:sz w:val="32"/>
          <w:szCs w:val="32"/>
        </w:rPr>
        <w:t>（十三）完成盟委、行署交办的其他任务。</w:t>
      </w:r>
    </w:p>
    <w:p>
      <w:pPr>
        <w:pStyle w:val="2"/>
        <w:rPr>
          <w:rFonts w:hint="default"/>
        </w:rPr>
      </w:pPr>
    </w:p>
    <w:p>
      <w:pPr>
        <w:spacing w:line="600" w:lineRule="exact"/>
        <w:ind w:firstLine="640" w:firstLineChars="200"/>
        <w:outlineLvl w:val="0"/>
        <w:rPr>
          <w:rFonts w:eastAsia="黑体" w:cs="黑体"/>
          <w:sz w:val="32"/>
          <w:szCs w:val="36"/>
        </w:rPr>
      </w:pPr>
      <w:r>
        <w:rPr>
          <w:rFonts w:hint="eastAsia" w:eastAsia="黑体" w:cs="黑体"/>
          <w:sz w:val="32"/>
          <w:szCs w:val="36"/>
        </w:rPr>
        <w:t>二、单位机构设置及预算单位构成情况</w:t>
      </w:r>
    </w:p>
    <w:p>
      <w:pPr>
        <w:spacing w:line="600" w:lineRule="exact"/>
        <w:ind w:firstLine="800" w:firstLineChars="250"/>
        <w:rPr>
          <w:rFonts w:eastAsia="仿宋_GB2312" w:cstheme="minorBidi"/>
          <w:sz w:val="32"/>
          <w:szCs w:val="32"/>
        </w:rPr>
      </w:pPr>
      <w:r>
        <w:rPr>
          <w:rFonts w:hint="eastAsia" w:eastAsia="仿宋_GB2312" w:cstheme="minorBidi"/>
          <w:sz w:val="32"/>
          <w:szCs w:val="32"/>
        </w:rPr>
        <w:t>1．根据单位职责分工，本单位内设机构包括</w:t>
      </w:r>
      <w:r>
        <w:rPr>
          <w:rFonts w:hint="eastAsia" w:ascii="仿宋_GB2312" w:hAnsi="仿宋" w:eastAsia="仿宋_GB2312" w:cstheme="minorBidi"/>
          <w:sz w:val="32"/>
          <w:szCs w:val="32"/>
        </w:rPr>
        <w:t>办公室、</w:t>
      </w:r>
      <w:r>
        <w:rPr>
          <w:rFonts w:hint="eastAsia" w:ascii="仿宋_GB2312" w:hAnsi="仿宋" w:eastAsia="仿宋_GB2312"/>
          <w:sz w:val="32"/>
          <w:szCs w:val="32"/>
        </w:rPr>
        <w:t>统计设计管理与执法监督科、国民经济综合统计与核算科、人口与就业统计科、农村牧区经济统计科、工业统计科、固定资产投资统计科、能源与环境统计科、服务业统计科</w:t>
      </w:r>
      <w:r>
        <w:rPr>
          <w:rFonts w:hint="eastAsia" w:eastAsia="仿宋_GB2312" w:cstheme="minorBidi"/>
          <w:sz w:val="32"/>
          <w:szCs w:val="32"/>
        </w:rPr>
        <w:t>。本单位无下属单位。</w:t>
      </w:r>
    </w:p>
    <w:p>
      <w:pPr>
        <w:spacing w:line="600" w:lineRule="exact"/>
        <w:ind w:firstLine="640" w:firstLineChars="200"/>
        <w:rPr>
          <w:rFonts w:eastAsia="仿宋_GB2312" w:cstheme="minorBidi"/>
          <w:sz w:val="32"/>
          <w:szCs w:val="32"/>
        </w:rPr>
      </w:pPr>
      <w:r>
        <w:rPr>
          <w:rFonts w:hint="eastAsia" w:eastAsia="仿宋_GB2312" w:cstheme="minorBidi"/>
          <w:sz w:val="32"/>
          <w:szCs w:val="32"/>
        </w:rPr>
        <w:t>2．从预算单位构成看，纳入本单位202</w:t>
      </w:r>
      <w:r>
        <w:rPr>
          <w:rFonts w:eastAsia="仿宋_GB2312" w:cstheme="minorBidi"/>
          <w:sz w:val="32"/>
          <w:szCs w:val="32"/>
        </w:rPr>
        <w:t>6</w:t>
      </w:r>
      <w:r>
        <w:rPr>
          <w:rFonts w:hint="eastAsia" w:eastAsia="仿宋_GB2312" w:cstheme="minorBidi"/>
          <w:sz w:val="32"/>
          <w:szCs w:val="32"/>
        </w:rPr>
        <w:t>年部门汇总预算编制范围的预算单位共计</w:t>
      </w:r>
      <w:r>
        <w:rPr>
          <w:rFonts w:eastAsia="仿宋_GB2312" w:cstheme="minorBidi"/>
          <w:sz w:val="32"/>
          <w:szCs w:val="32"/>
        </w:rPr>
        <w:t>1</w:t>
      </w:r>
      <w:r>
        <w:rPr>
          <w:rFonts w:hint="eastAsia" w:eastAsia="仿宋_GB2312" w:cstheme="minorBidi"/>
          <w:sz w:val="32"/>
          <w:szCs w:val="32"/>
        </w:rPr>
        <w:t>家，具体包括：锡林郭勒盟统计局部门本级。</w:t>
      </w:r>
    </w:p>
    <w:p>
      <w:pPr>
        <w:tabs>
          <w:tab w:val="left" w:pos="3532"/>
        </w:tabs>
        <w:autoSpaceDE w:val="0"/>
        <w:autoSpaceDN w:val="0"/>
        <w:adjustRightInd w:val="0"/>
        <w:spacing w:line="6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单位情况表</w:t>
      </w:r>
    </w:p>
    <w:tbl>
      <w:tblPr>
        <w:tblStyle w:val="22"/>
        <w:tblpPr w:leftFromText="180" w:rightFromText="180" w:vertAnchor="text" w:horzAnchor="page" w:tblpX="1745" w:tblpY="190"/>
        <w:tblOverlap w:val="never"/>
        <w:tblW w:w="9347" w:type="dxa"/>
        <w:tblInd w:w="0" w:type="dxa"/>
        <w:tblLayout w:type="fixed"/>
        <w:tblCellMar>
          <w:top w:w="0" w:type="dxa"/>
          <w:left w:w="108" w:type="dxa"/>
          <w:bottom w:w="0" w:type="dxa"/>
          <w:right w:w="108" w:type="dxa"/>
        </w:tblCellMar>
      </w:tblPr>
      <w:tblGrid>
        <w:gridCol w:w="876"/>
        <w:gridCol w:w="4043"/>
        <w:gridCol w:w="4428"/>
      </w:tblGrid>
      <w:tr>
        <w:tblPrEx>
          <w:tblLayout w:type="fixed"/>
        </w:tblPrEx>
        <w:trPr>
          <w:trHeight w:val="595" w:hRule="atLeast"/>
        </w:trPr>
        <w:tc>
          <w:tcPr>
            <w:tcW w:w="876" w:type="dxa"/>
            <w:tcBorders>
              <w:top w:val="single" w:color="auto" w:sz="4" w:space="0"/>
              <w:left w:val="single" w:color="auto" w:sz="4" w:space="0"/>
              <w:bottom w:val="single" w:color="auto" w:sz="4" w:space="0"/>
              <w:right w:val="single" w:color="auto" w:sz="4" w:space="0"/>
            </w:tcBorders>
            <w:vAlign w:val="center"/>
          </w:tcPr>
          <w:p>
            <w:pPr>
              <w:widowControl/>
              <w:spacing w:line="600" w:lineRule="exact"/>
              <w:jc w:val="center"/>
              <w:rPr>
                <w:rFonts w:ascii="仿宋" w:hAnsi="仿宋" w:eastAsia="仿宋" w:cs="仿宋"/>
                <w:kern w:val="0"/>
                <w:sz w:val="30"/>
                <w:szCs w:val="30"/>
              </w:rPr>
            </w:pPr>
            <w:r>
              <w:rPr>
                <w:rFonts w:hint="eastAsia" w:ascii="仿宋" w:hAnsi="仿宋" w:eastAsia="仿宋" w:cs="仿宋"/>
                <w:kern w:val="0"/>
                <w:sz w:val="30"/>
                <w:szCs w:val="30"/>
              </w:rPr>
              <w:t>序号</w:t>
            </w:r>
          </w:p>
        </w:tc>
        <w:tc>
          <w:tcPr>
            <w:tcW w:w="4043" w:type="dxa"/>
            <w:tcBorders>
              <w:top w:val="single" w:color="auto" w:sz="4" w:space="0"/>
              <w:left w:val="nil"/>
              <w:bottom w:val="single" w:color="auto" w:sz="4" w:space="0"/>
              <w:right w:val="single" w:color="auto" w:sz="4" w:space="0"/>
            </w:tcBorders>
            <w:vAlign w:val="center"/>
          </w:tcPr>
          <w:p>
            <w:pPr>
              <w:widowControl/>
              <w:spacing w:line="600" w:lineRule="exact"/>
              <w:jc w:val="center"/>
              <w:rPr>
                <w:rFonts w:ascii="仿宋" w:hAnsi="仿宋" w:eastAsia="仿宋" w:cs="仿宋"/>
                <w:kern w:val="0"/>
                <w:sz w:val="30"/>
                <w:szCs w:val="30"/>
              </w:rPr>
            </w:pPr>
            <w:r>
              <w:rPr>
                <w:rFonts w:hint="eastAsia" w:ascii="仿宋" w:hAnsi="仿宋" w:eastAsia="仿宋" w:cs="仿宋"/>
                <w:kern w:val="0"/>
                <w:sz w:val="30"/>
                <w:szCs w:val="30"/>
              </w:rPr>
              <w:t>单位名称</w:t>
            </w:r>
          </w:p>
        </w:tc>
        <w:tc>
          <w:tcPr>
            <w:tcW w:w="4428" w:type="dxa"/>
            <w:tcBorders>
              <w:top w:val="single" w:color="auto" w:sz="4" w:space="0"/>
              <w:left w:val="nil"/>
              <w:bottom w:val="single" w:color="auto" w:sz="4" w:space="0"/>
              <w:right w:val="single" w:color="auto" w:sz="4" w:space="0"/>
            </w:tcBorders>
            <w:vAlign w:val="center"/>
          </w:tcPr>
          <w:p>
            <w:pPr>
              <w:widowControl/>
              <w:spacing w:line="600" w:lineRule="exact"/>
              <w:jc w:val="center"/>
              <w:rPr>
                <w:rFonts w:ascii="仿宋" w:hAnsi="仿宋" w:eastAsia="仿宋" w:cs="仿宋"/>
                <w:kern w:val="0"/>
                <w:sz w:val="30"/>
                <w:szCs w:val="30"/>
              </w:rPr>
            </w:pPr>
            <w:r>
              <w:rPr>
                <w:rFonts w:hint="eastAsia" w:ascii="仿宋" w:hAnsi="仿宋" w:eastAsia="仿宋" w:cs="仿宋"/>
                <w:kern w:val="0"/>
                <w:sz w:val="30"/>
                <w:szCs w:val="30"/>
              </w:rPr>
              <w:t>单位性质</w:t>
            </w:r>
          </w:p>
        </w:tc>
      </w:tr>
      <w:tr>
        <w:tblPrEx>
          <w:tblLayout w:type="fixed"/>
          <w:tblCellMar>
            <w:top w:w="0" w:type="dxa"/>
            <w:left w:w="108" w:type="dxa"/>
            <w:bottom w:w="0" w:type="dxa"/>
            <w:right w:w="108" w:type="dxa"/>
          </w:tblCellMar>
        </w:tblPrEx>
        <w:trPr>
          <w:trHeight w:val="364" w:hRule="atLeast"/>
        </w:trPr>
        <w:tc>
          <w:tcPr>
            <w:tcW w:w="876" w:type="dxa"/>
            <w:tcBorders>
              <w:top w:val="nil"/>
              <w:left w:val="single" w:color="auto" w:sz="4" w:space="0"/>
              <w:bottom w:val="single" w:color="auto" w:sz="4" w:space="0"/>
              <w:right w:val="single" w:color="auto" w:sz="4" w:space="0"/>
            </w:tcBorders>
            <w:vAlign w:val="center"/>
          </w:tcPr>
          <w:p>
            <w:pPr>
              <w:widowControl/>
              <w:spacing w:line="600" w:lineRule="exact"/>
              <w:jc w:val="center"/>
              <w:rPr>
                <w:rFonts w:ascii="仿宋" w:hAnsi="仿宋" w:eastAsia="仿宋" w:cs="仿宋"/>
                <w:kern w:val="0"/>
                <w:sz w:val="30"/>
                <w:szCs w:val="30"/>
              </w:rPr>
            </w:pPr>
            <w:r>
              <w:rPr>
                <w:rFonts w:hint="eastAsia" w:ascii="仿宋" w:hAnsi="仿宋" w:eastAsia="仿宋" w:cs="仿宋"/>
                <w:kern w:val="0"/>
                <w:sz w:val="30"/>
                <w:szCs w:val="30"/>
              </w:rPr>
              <w:t>1</w:t>
            </w:r>
          </w:p>
        </w:tc>
        <w:tc>
          <w:tcPr>
            <w:tcW w:w="4043" w:type="dxa"/>
            <w:tcBorders>
              <w:top w:val="nil"/>
              <w:left w:val="nil"/>
              <w:bottom w:val="single" w:color="auto" w:sz="4" w:space="0"/>
              <w:right w:val="single" w:color="auto" w:sz="4" w:space="0"/>
            </w:tcBorders>
            <w:vAlign w:val="center"/>
          </w:tcPr>
          <w:p>
            <w:pPr>
              <w:widowControl/>
              <w:spacing w:line="600" w:lineRule="exact"/>
              <w:rPr>
                <w:rFonts w:ascii="仿宋" w:hAnsi="仿宋" w:eastAsia="仿宋" w:cs="仿宋"/>
                <w:kern w:val="0"/>
                <w:sz w:val="30"/>
                <w:szCs w:val="30"/>
              </w:rPr>
            </w:pPr>
            <w:r>
              <w:rPr>
                <w:rFonts w:hint="eastAsia" w:ascii="仿宋" w:hAnsi="仿宋" w:eastAsia="仿宋" w:cs="仿宋"/>
                <w:kern w:val="0"/>
                <w:sz w:val="30"/>
                <w:szCs w:val="30"/>
              </w:rPr>
              <w:t>锡林郭勒盟统计局</w:t>
            </w:r>
          </w:p>
        </w:tc>
        <w:tc>
          <w:tcPr>
            <w:tcW w:w="4428" w:type="dxa"/>
            <w:tcBorders>
              <w:top w:val="nil"/>
              <w:left w:val="nil"/>
              <w:bottom w:val="single" w:color="auto" w:sz="4" w:space="0"/>
              <w:right w:val="single" w:color="auto" w:sz="4" w:space="0"/>
            </w:tcBorders>
            <w:vAlign w:val="center"/>
          </w:tcPr>
          <w:p>
            <w:pPr>
              <w:widowControl/>
              <w:spacing w:line="600" w:lineRule="exact"/>
              <w:rPr>
                <w:rFonts w:ascii="仿宋" w:hAnsi="仿宋" w:eastAsia="仿宋" w:cs="仿宋"/>
                <w:kern w:val="0"/>
                <w:sz w:val="30"/>
                <w:szCs w:val="30"/>
              </w:rPr>
            </w:pPr>
            <w:r>
              <w:rPr>
                <w:rFonts w:hint="eastAsia" w:ascii="仿宋" w:hAnsi="仿宋" w:eastAsia="仿宋" w:cs="仿宋"/>
                <w:kern w:val="0"/>
                <w:sz w:val="30"/>
                <w:szCs w:val="30"/>
              </w:rPr>
              <w:t>财政拨款的行政单位</w:t>
            </w:r>
          </w:p>
        </w:tc>
      </w:tr>
    </w:tbl>
    <w:p>
      <w:pPr>
        <w:spacing w:line="600" w:lineRule="exact"/>
        <w:rPr>
          <w:rFonts w:eastAsia="仿宋_GB2312" w:cstheme="minorBidi"/>
          <w:sz w:val="32"/>
          <w:szCs w:val="32"/>
        </w:rPr>
      </w:pPr>
    </w:p>
    <w:p>
      <w:pPr>
        <w:spacing w:line="600" w:lineRule="exact"/>
        <w:ind w:firstLine="640" w:firstLineChars="200"/>
        <w:rPr>
          <w:rFonts w:eastAsia="黑体" w:cs="黑体"/>
          <w:sz w:val="32"/>
          <w:szCs w:val="36"/>
        </w:rPr>
      </w:pPr>
      <w:r>
        <w:rPr>
          <w:rFonts w:hint="eastAsia" w:eastAsia="黑体" w:cs="黑体"/>
          <w:sz w:val="32"/>
          <w:szCs w:val="36"/>
        </w:rPr>
        <w:t>三、</w:t>
      </w:r>
      <w:r>
        <w:rPr>
          <w:rFonts w:eastAsia="黑体" w:cs="黑体"/>
          <w:sz w:val="32"/>
          <w:szCs w:val="36"/>
        </w:rPr>
        <w:t>2026</w:t>
      </w:r>
      <w:r>
        <w:rPr>
          <w:rFonts w:hint="eastAsia" w:eastAsia="黑体" w:cs="黑体"/>
          <w:sz w:val="32"/>
          <w:szCs w:val="36"/>
        </w:rPr>
        <w:t>年单位主要工作任务及目标</w:t>
      </w:r>
    </w:p>
    <w:p>
      <w:pPr>
        <w:spacing w:line="600" w:lineRule="exact"/>
        <w:ind w:firstLine="640" w:firstLineChars="200"/>
        <w:rPr>
          <w:rFonts w:eastAsia="仿宋_GB2312"/>
          <w:sz w:val="30"/>
          <w:szCs w:val="30"/>
        </w:rPr>
      </w:pPr>
      <w:r>
        <w:rPr>
          <w:rFonts w:eastAsia="仿宋_GB2312"/>
          <w:sz w:val="32"/>
          <w:szCs w:val="32"/>
        </w:rPr>
        <w:t>2026年，全盟统计工作将持续深入学习贯彻习近平新时代中国特色社会主义思想，紧紧围绕全盟中心工作，坚持依法统计，科学谋划，严把统计数据质量，全面提升统计工作质效，不断增强统计服务水平。</w:t>
      </w:r>
    </w:p>
    <w:p>
      <w:pPr>
        <w:spacing w:line="600" w:lineRule="exact"/>
        <w:ind w:firstLine="640" w:firstLineChars="200"/>
        <w:rPr>
          <w:rFonts w:eastAsia="仿宋_GB2312"/>
          <w:sz w:val="32"/>
          <w:szCs w:val="32"/>
        </w:rPr>
      </w:pPr>
      <w:r>
        <w:rPr>
          <w:rFonts w:eastAsia="方正楷体简体"/>
          <w:sz w:val="32"/>
          <w:szCs w:val="32"/>
        </w:rPr>
        <w:t>（一）持续提升数据质量。</w:t>
      </w:r>
      <w:r>
        <w:rPr>
          <w:rFonts w:eastAsia="仿宋_GB2312"/>
          <w:sz w:val="32"/>
          <w:szCs w:val="32"/>
        </w:rPr>
        <w:t>进一步完善数据质量管理制度，加大数据质量检查和执法力度，计划针对“四上”企业、重点投资项目执法90户次以上，严肃查处统计违法行为；加强对统计指标的培训和解读，规范数据填报流程；结合统计开放日、“12.8”《统计法》颁布纪念日等重要时间节点持续开展普法宣传活动，不断提高企业和基层统计人员的法律意识和责任意识，从源头上保障数据质量。</w:t>
      </w:r>
    </w:p>
    <w:p>
      <w:pPr>
        <w:spacing w:line="600" w:lineRule="exact"/>
        <w:ind w:firstLine="640" w:firstLineChars="200"/>
        <w:rPr>
          <w:rFonts w:eastAsia="仿宋_GB2312"/>
          <w:sz w:val="32"/>
          <w:szCs w:val="32"/>
        </w:rPr>
      </w:pPr>
      <w:r>
        <w:rPr>
          <w:rFonts w:eastAsia="方正楷体简体"/>
          <w:sz w:val="32"/>
          <w:szCs w:val="32"/>
        </w:rPr>
        <w:t>（二）增强统计服务水平。</w:t>
      </w:r>
      <w:r>
        <w:rPr>
          <w:rFonts w:eastAsia="仿宋_GB2312"/>
          <w:sz w:val="32"/>
          <w:szCs w:val="32"/>
        </w:rPr>
        <w:t>围绕经济社会发展热点、难点问题，深入开展统计分析研究，加强对经济运行趋势的预测预警，及时发现问题并提出对策建议；聚焦社会关切和数据服务，坚决扛起经济宣传和舆论引导责任，有效利用新闻发布会、媒体采访、署名文章等多种形式，精准做好经济发展成就解读，更好地满足社会公众需求。</w:t>
      </w:r>
    </w:p>
    <w:p>
      <w:pPr>
        <w:spacing w:line="600" w:lineRule="exact"/>
        <w:ind w:firstLine="640" w:firstLineChars="200"/>
        <w:rPr>
          <w:rFonts w:eastAsia="仿宋_GB2312"/>
          <w:sz w:val="32"/>
          <w:szCs w:val="32"/>
        </w:rPr>
      </w:pPr>
      <w:r>
        <w:rPr>
          <w:rFonts w:eastAsia="方正楷体简体"/>
          <w:sz w:val="32"/>
          <w:szCs w:val="32"/>
        </w:rPr>
        <w:t>（三）</w:t>
      </w:r>
      <w:r>
        <w:rPr>
          <w:rFonts w:hint="eastAsia" w:eastAsia="方正楷体简体"/>
          <w:sz w:val="32"/>
          <w:szCs w:val="32"/>
        </w:rPr>
        <w:t>加强</w:t>
      </w:r>
      <w:r>
        <w:rPr>
          <w:rFonts w:eastAsia="方正楷体简体"/>
          <w:sz w:val="32"/>
          <w:szCs w:val="32"/>
        </w:rPr>
        <w:t>统计队伍建设。</w:t>
      </w:r>
      <w:r>
        <w:rPr>
          <w:rFonts w:eastAsia="仿宋_GB2312"/>
          <w:sz w:val="32"/>
          <w:szCs w:val="32"/>
        </w:rPr>
        <w:t>合理配置统计人员力量，充实基层统计队伍，力争解决剩余3个旗县市（区）持证执法力量不足问题；加大业务培训力度，提升统计人员的综合素质和业务能力；建立健全激励机制，关心统计人员成长，改善工作条件，增强队伍凝聚力和战斗力。</w:t>
      </w:r>
    </w:p>
    <w:p>
      <w:pPr>
        <w:spacing w:line="600" w:lineRule="exact"/>
        <w:ind w:firstLine="640" w:firstLineChars="200"/>
        <w:rPr>
          <w:rFonts w:eastAsia="仿宋_GB2312"/>
          <w:sz w:val="32"/>
          <w:szCs w:val="32"/>
        </w:rPr>
      </w:pPr>
      <w:r>
        <w:rPr>
          <w:rFonts w:eastAsia="方正楷体简体"/>
          <w:sz w:val="32"/>
          <w:szCs w:val="32"/>
        </w:rPr>
        <w:t>（四）做好企业升规纳统工作。</w:t>
      </w:r>
      <w:r>
        <w:rPr>
          <w:rFonts w:eastAsia="仿宋_GB2312"/>
          <w:sz w:val="32"/>
          <w:szCs w:val="32"/>
        </w:rPr>
        <w:t>加强与</w:t>
      </w:r>
      <w:r>
        <w:rPr>
          <w:rFonts w:hint="eastAsia" w:eastAsia="仿宋_GB2312"/>
          <w:sz w:val="32"/>
          <w:szCs w:val="32"/>
        </w:rPr>
        <w:t>行业主管</w:t>
      </w:r>
      <w:r>
        <w:rPr>
          <w:rFonts w:eastAsia="仿宋_GB2312"/>
          <w:sz w:val="32"/>
          <w:szCs w:val="32"/>
        </w:rPr>
        <w:t>部门的沟通联系，</w:t>
      </w:r>
      <w:r>
        <w:rPr>
          <w:rFonts w:hint="eastAsia" w:eastAsia="仿宋_GB2312"/>
          <w:sz w:val="32"/>
          <w:szCs w:val="32"/>
        </w:rPr>
        <w:t>定期监测企业生产经营情况，</w:t>
      </w:r>
      <w:r>
        <w:rPr>
          <w:rFonts w:eastAsia="仿宋_GB2312"/>
          <w:sz w:val="32"/>
          <w:szCs w:val="32"/>
        </w:rPr>
        <w:t>加大对达规企业的摸排力度，加强对达规企业的指导，加大对入统材料的审核力度，做到达规即纳统。</w:t>
      </w:r>
    </w:p>
    <w:p>
      <w:pPr>
        <w:spacing w:line="600" w:lineRule="exact"/>
        <w:ind w:firstLine="640" w:firstLineChars="200"/>
        <w:rPr>
          <w:rFonts w:eastAsia="仿宋_GB2312"/>
          <w:sz w:val="32"/>
          <w:szCs w:val="32"/>
        </w:rPr>
      </w:pPr>
      <w:r>
        <w:rPr>
          <w:rFonts w:hint="eastAsia" w:ascii="方正楷体简体" w:eastAsia="方正楷体简体"/>
          <w:sz w:val="32"/>
          <w:szCs w:val="32"/>
        </w:rPr>
        <w:t>（五）做好第四次农业普查各项准备工作。2026</w:t>
      </w:r>
      <w:r>
        <w:rPr>
          <w:rFonts w:eastAsia="仿宋_GB2312"/>
          <w:sz w:val="32"/>
          <w:szCs w:val="32"/>
        </w:rPr>
        <w:t>年“四农普”重点做好普查登记前期各项准备工作。按照国务院第四次全国农业普查领导小组的统一工作部署，继续推动市、县、乡、村四级组建</w:t>
      </w:r>
      <w:r>
        <w:rPr>
          <w:rFonts w:hint="eastAsia" w:eastAsia="仿宋_GB2312"/>
          <w:sz w:val="32"/>
          <w:szCs w:val="32"/>
        </w:rPr>
        <w:t>普查</w:t>
      </w:r>
      <w:r>
        <w:rPr>
          <w:rFonts w:eastAsia="仿宋_GB2312"/>
          <w:sz w:val="32"/>
          <w:szCs w:val="32"/>
        </w:rPr>
        <w:t>机构，明确各级职责；精准选聘 “两员” 队伍，开展分层专项培训，确保 “两员” 熟练掌握工作技能；全方位开展宣传动员，多渠道拓宽宣传覆盖面；积极与国土、民政等部门对接，做好普查小区划分和电子地图绘制工作；细致做好普查前清查工作，为后续正式登记打下坚实基础，确保普查数据真实反映 “三农”家底。</w:t>
      </w:r>
    </w:p>
    <w:p>
      <w:pPr>
        <w:spacing w:line="600" w:lineRule="exact"/>
        <w:ind w:firstLine="640" w:firstLineChars="200"/>
        <w:rPr>
          <w:rFonts w:eastAsia="仿宋_GB2312"/>
          <w:sz w:val="32"/>
          <w:szCs w:val="32"/>
        </w:rPr>
      </w:pPr>
      <w:r>
        <w:rPr>
          <w:rFonts w:hint="eastAsia" w:ascii="方正楷体简体" w:eastAsia="方正楷体简体"/>
          <w:sz w:val="32"/>
          <w:szCs w:val="32"/>
        </w:rPr>
        <w:t>（六）凝聚防治统计造假工作合力。</w:t>
      </w:r>
      <w:r>
        <w:rPr>
          <w:rFonts w:eastAsia="仿宋_GB2312"/>
          <w:sz w:val="32"/>
          <w:szCs w:val="32"/>
        </w:rPr>
        <w:t>持续抓好《关于建立健全防治统计造假刚性制度的实施方案》的学习贯彻。严格执行“1+9”监督体系各项制度规定，强化统计部门与纪检、组织、审计等部门信息共通、结果共享和成果共用，确保统计监督提出的措施建议落地见效，不断凝聚监督合力。</w:t>
      </w:r>
    </w:p>
    <w:p>
      <w:pPr>
        <w:pStyle w:val="2"/>
        <w:rPr>
          <w:rFonts w:hint="default"/>
        </w:rPr>
      </w:pPr>
    </w:p>
    <w:p>
      <w:pPr>
        <w:pStyle w:val="7"/>
        <w:tabs>
          <w:tab w:val="left" w:pos="4392"/>
        </w:tabs>
        <w:spacing w:before="0" w:after="0" w:line="600" w:lineRule="exact"/>
        <w:jc w:val="center"/>
        <w:rPr>
          <w:rFonts w:ascii="方正小标宋简体" w:hAnsi="方正小标宋简体" w:eastAsia="方正小标宋简体" w:cs="方正小标宋简体"/>
          <w:b w:val="0"/>
          <w:bCs w:val="0"/>
          <w:sz w:val="36"/>
          <w:szCs w:val="36"/>
        </w:rPr>
      </w:pPr>
    </w:p>
    <w:p>
      <w:pPr>
        <w:pStyle w:val="7"/>
        <w:tabs>
          <w:tab w:val="left" w:pos="4392"/>
        </w:tabs>
        <w:spacing w:before="0" w:after="0" w:line="600" w:lineRule="exact"/>
        <w:jc w:val="center"/>
        <w:rPr>
          <w:rFonts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第二部分</w:t>
      </w:r>
      <w:r>
        <w:rPr>
          <w:rFonts w:ascii="方正小标宋简体" w:hAnsi="方正小标宋简体" w:eastAsia="方正小标宋简体" w:cs="方正小标宋简体"/>
          <w:b w:val="0"/>
          <w:bCs w:val="0"/>
          <w:sz w:val="36"/>
          <w:szCs w:val="36"/>
        </w:rPr>
        <w:t>2026</w:t>
      </w:r>
      <w:r>
        <w:rPr>
          <w:rFonts w:hint="eastAsia" w:ascii="方正小标宋简体" w:hAnsi="方正小标宋简体" w:eastAsia="方正小标宋简体" w:cs="方正小标宋简体"/>
          <w:b w:val="0"/>
          <w:bCs w:val="0"/>
          <w:sz w:val="36"/>
          <w:szCs w:val="36"/>
        </w:rPr>
        <w:t>年度单位预算情况说明</w:t>
      </w:r>
    </w:p>
    <w:p>
      <w:pPr>
        <w:spacing w:line="600" w:lineRule="exact"/>
        <w:rPr>
          <w:rFonts w:ascii="方正小标宋简体" w:hAnsi="方正小标宋简体" w:eastAsia="方正小标宋简体" w:cs="方正小标宋简体"/>
          <w:sz w:val="36"/>
          <w:szCs w:val="36"/>
        </w:rPr>
      </w:pPr>
    </w:p>
    <w:p>
      <w:pPr>
        <w:spacing w:line="600" w:lineRule="exact"/>
        <w:ind w:firstLine="640" w:firstLineChars="200"/>
        <w:outlineLvl w:val="0"/>
        <w:rPr>
          <w:rFonts w:eastAsia="黑体" w:cs="黑体"/>
          <w:sz w:val="32"/>
          <w:szCs w:val="36"/>
        </w:rPr>
      </w:pPr>
      <w:r>
        <w:rPr>
          <w:rFonts w:hint="eastAsia" w:eastAsia="黑体" w:cs="黑体"/>
          <w:sz w:val="32"/>
          <w:szCs w:val="36"/>
        </w:rPr>
        <w:t>一、收支预算总体情况说明</w:t>
      </w:r>
    </w:p>
    <w:p>
      <w:pPr>
        <w:pStyle w:val="12"/>
        <w:tabs>
          <w:tab w:val="left" w:pos="5840"/>
          <w:tab w:val="left" w:pos="7858"/>
          <w:tab w:val="left" w:pos="9328"/>
        </w:tabs>
        <w:spacing w:after="0"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u w:val="single"/>
        </w:rPr>
        <w:t>锡林郭勒盟统计局单位</w:t>
      </w:r>
      <w:r>
        <w:rPr>
          <w:rFonts w:hint="eastAsia" w:ascii="仿宋_GB2312" w:hAnsi="仿宋_GB2312" w:eastAsia="仿宋_GB2312" w:cs="仿宋_GB2312"/>
          <w:sz w:val="32"/>
          <w:szCs w:val="32"/>
        </w:rPr>
        <w:t>2</w:t>
      </w:r>
      <w:r>
        <w:rPr>
          <w:rFonts w:ascii="仿宋_GB2312" w:hAnsi="仿宋_GB2312" w:eastAsia="仿宋_GB2312" w:cs="仿宋_GB2312"/>
          <w:sz w:val="32"/>
          <w:szCs w:val="32"/>
        </w:rPr>
        <w:t>026</w:t>
      </w:r>
      <w:r>
        <w:rPr>
          <w:rFonts w:hint="eastAsia" w:ascii="仿宋_GB2312" w:hAnsi="仿宋_GB2312" w:eastAsia="仿宋_GB2312" w:cs="仿宋_GB2312"/>
          <w:sz w:val="32"/>
          <w:szCs w:val="32"/>
        </w:rPr>
        <w:t>年度收入、支出预算总计</w:t>
      </w:r>
      <w:r>
        <w:rPr>
          <w:rFonts w:ascii="仿宋_GB2312" w:hAnsi="仿宋_GB2312" w:eastAsia="仿宋_GB2312" w:cs="仿宋_GB2312"/>
          <w:sz w:val="32"/>
          <w:szCs w:val="32"/>
          <w:u w:val="single"/>
        </w:rPr>
        <w:t>799.06</w:t>
      </w:r>
      <w:r>
        <w:rPr>
          <w:rFonts w:hint="eastAsia" w:ascii="仿宋_GB2312" w:hAnsi="仿宋_GB2312" w:eastAsia="仿宋_GB2312" w:cs="仿宋_GB2312"/>
          <w:sz w:val="32"/>
          <w:szCs w:val="32"/>
        </w:rPr>
        <w:t>万元，与上年相比收、支预算总计各增加</w:t>
      </w:r>
      <w:r>
        <w:rPr>
          <w:rFonts w:ascii="仿宋_GB2312" w:hAnsi="仿宋_GB2312" w:eastAsia="仿宋_GB2312" w:cs="仿宋_GB2312"/>
          <w:sz w:val="32"/>
          <w:szCs w:val="32"/>
          <w:u w:val="single"/>
        </w:rPr>
        <w:t>51.76</w:t>
      </w:r>
      <w:r>
        <w:rPr>
          <w:rFonts w:hint="eastAsia" w:ascii="仿宋_GB2312" w:hAnsi="仿宋_GB2312" w:eastAsia="仿宋_GB2312" w:cs="仿宋_GB2312"/>
          <w:sz w:val="32"/>
          <w:szCs w:val="32"/>
        </w:rPr>
        <w:t>万元，增长</w:t>
      </w:r>
      <w:r>
        <w:rPr>
          <w:rFonts w:ascii="仿宋_GB2312" w:hAnsi="仿宋_GB2312" w:eastAsia="仿宋_GB2312" w:cs="仿宋_GB2312"/>
          <w:sz w:val="32"/>
          <w:szCs w:val="32"/>
          <w:u w:val="single"/>
        </w:rPr>
        <w:t>6.93</w:t>
      </w:r>
      <w:r>
        <w:rPr>
          <w:rFonts w:hint="eastAsia" w:ascii="仿宋_GB2312" w:hAnsi="仿宋_GB2312" w:eastAsia="仿宋_GB2312" w:cs="仿宋_GB2312"/>
          <w:sz w:val="32"/>
          <w:szCs w:val="32"/>
        </w:rPr>
        <w:t>%。其中：</w:t>
      </w:r>
    </w:p>
    <w:p>
      <w:pPr>
        <w:pStyle w:val="12"/>
        <w:tabs>
          <w:tab w:val="left" w:pos="4275"/>
        </w:tabs>
        <w:spacing w:after="0" w:line="600" w:lineRule="exact"/>
        <w:ind w:firstLine="643" w:firstLineChars="200"/>
        <w:rPr>
          <w:rFonts w:ascii="楷体" w:hAnsi="楷体" w:eastAsia="楷体" w:cs="楷体"/>
          <w:b/>
          <w:bCs/>
          <w:sz w:val="32"/>
          <w:szCs w:val="32"/>
        </w:rPr>
      </w:pPr>
      <w:r>
        <w:rPr>
          <w:rFonts w:hint="eastAsia" w:ascii="楷体" w:hAnsi="楷体" w:eastAsia="楷体" w:cs="楷体"/>
          <w:b/>
          <w:bCs/>
          <w:sz w:val="32"/>
          <w:szCs w:val="32"/>
        </w:rPr>
        <w:t>（一）收入预算总计</w:t>
      </w:r>
      <w:r>
        <w:rPr>
          <w:rFonts w:ascii="仿宋" w:hAnsi="仿宋" w:eastAsia="仿宋" w:cs="仿宋"/>
          <w:sz w:val="32"/>
          <w:szCs w:val="32"/>
          <w:u w:val="single"/>
        </w:rPr>
        <w:t>799.06</w:t>
      </w:r>
      <w:r>
        <w:rPr>
          <w:rFonts w:hint="eastAsia" w:ascii="楷体" w:hAnsi="楷体" w:eastAsia="楷体" w:cs="楷体"/>
          <w:b/>
          <w:bCs/>
          <w:sz w:val="32"/>
          <w:szCs w:val="32"/>
        </w:rPr>
        <w:t>万元。包括：</w:t>
      </w:r>
    </w:p>
    <w:p>
      <w:pPr>
        <w:pStyle w:val="12"/>
        <w:tabs>
          <w:tab w:val="left" w:pos="3792"/>
        </w:tabs>
        <w:spacing w:after="0" w:line="600" w:lineRule="exact"/>
        <w:ind w:firstLine="640" w:firstLineChars="200"/>
        <w:rPr>
          <w:rFonts w:eastAsia="仿宋_GB2312"/>
          <w:sz w:val="32"/>
          <w:szCs w:val="32"/>
        </w:rPr>
      </w:pPr>
      <w:r>
        <w:rPr>
          <w:rFonts w:eastAsia="仿宋_GB2312"/>
          <w:sz w:val="32"/>
          <w:szCs w:val="32"/>
        </w:rPr>
        <w:t>1．本年收入合计</w:t>
      </w:r>
      <w:r>
        <w:rPr>
          <w:rFonts w:eastAsia="仿宋_GB2312"/>
          <w:sz w:val="32"/>
          <w:szCs w:val="32"/>
          <w:u w:val="single"/>
        </w:rPr>
        <w:t>721.83</w:t>
      </w:r>
      <w:r>
        <w:rPr>
          <w:rFonts w:eastAsia="仿宋_GB2312"/>
          <w:sz w:val="32"/>
          <w:szCs w:val="32"/>
        </w:rPr>
        <w:t>万元。</w:t>
      </w:r>
    </w:p>
    <w:p>
      <w:pPr>
        <w:pStyle w:val="12"/>
        <w:tabs>
          <w:tab w:val="left" w:pos="1389"/>
          <w:tab w:val="left" w:pos="4911"/>
          <w:tab w:val="left" w:pos="5898"/>
        </w:tabs>
        <w:spacing w:after="0" w:line="600" w:lineRule="exact"/>
        <w:ind w:firstLine="640" w:firstLineChars="200"/>
        <w:rPr>
          <w:rFonts w:eastAsia="仿宋_GB2312"/>
          <w:sz w:val="32"/>
          <w:szCs w:val="32"/>
        </w:rPr>
      </w:pPr>
      <w:r>
        <w:rPr>
          <w:rFonts w:eastAsia="仿宋_GB2312"/>
          <w:sz w:val="32"/>
          <w:szCs w:val="32"/>
        </w:rPr>
        <w:t>（1）一般公共预算拨款收入</w:t>
      </w:r>
      <w:r>
        <w:rPr>
          <w:rFonts w:eastAsia="仿宋_GB2312"/>
          <w:sz w:val="32"/>
          <w:szCs w:val="32"/>
          <w:u w:val="single"/>
        </w:rPr>
        <w:t>721.83</w:t>
      </w:r>
      <w:r>
        <w:rPr>
          <w:rFonts w:eastAsia="仿宋_GB2312"/>
          <w:sz w:val="32"/>
          <w:szCs w:val="32"/>
        </w:rPr>
        <w:t>万元，与上年相比增加</w:t>
      </w:r>
      <w:r>
        <w:rPr>
          <w:rFonts w:eastAsia="仿宋_GB2312"/>
          <w:sz w:val="32"/>
          <w:szCs w:val="32"/>
          <w:u w:val="single"/>
        </w:rPr>
        <w:t>48.35</w:t>
      </w:r>
      <w:r>
        <w:rPr>
          <w:rFonts w:eastAsia="仿宋_GB2312"/>
          <w:sz w:val="32"/>
          <w:szCs w:val="32"/>
        </w:rPr>
        <w:t>万元，增长</w:t>
      </w:r>
      <w:r>
        <w:rPr>
          <w:rFonts w:eastAsia="仿宋_GB2312"/>
          <w:sz w:val="32"/>
          <w:szCs w:val="32"/>
          <w:u w:val="single"/>
        </w:rPr>
        <w:t>7.18</w:t>
      </w:r>
      <w:r>
        <w:rPr>
          <w:rFonts w:eastAsia="仿宋_GB2312"/>
          <w:sz w:val="32"/>
          <w:szCs w:val="32"/>
        </w:rPr>
        <w:t>%。主要原因是</w:t>
      </w:r>
      <w:r>
        <w:rPr>
          <w:rFonts w:hint="eastAsia" w:eastAsia="仿宋_GB2312"/>
          <w:sz w:val="32"/>
          <w:szCs w:val="32"/>
        </w:rPr>
        <w:t>一是公务费</w:t>
      </w:r>
      <w:r>
        <w:rPr>
          <w:rFonts w:eastAsia="仿宋_GB2312"/>
          <w:sz w:val="32"/>
          <w:szCs w:val="32"/>
        </w:rPr>
        <w:t>定额标准增加，公用经费增加，</w:t>
      </w:r>
      <w:r>
        <w:rPr>
          <w:rFonts w:hint="eastAsia" w:eastAsia="仿宋_GB2312"/>
          <w:sz w:val="32"/>
          <w:szCs w:val="32"/>
        </w:rPr>
        <w:t>二是2026年</w:t>
      </w:r>
      <w:r>
        <w:rPr>
          <w:rFonts w:eastAsia="仿宋_GB2312"/>
          <w:sz w:val="32"/>
          <w:szCs w:val="32"/>
        </w:rPr>
        <w:t>开展第四次全国农业普查工作，项目经费增加。</w:t>
      </w:r>
    </w:p>
    <w:p>
      <w:pPr>
        <w:pStyle w:val="12"/>
        <w:tabs>
          <w:tab w:val="left" w:pos="1389"/>
          <w:tab w:val="left" w:pos="4911"/>
          <w:tab w:val="left" w:pos="5991"/>
        </w:tabs>
        <w:spacing w:after="0" w:line="600" w:lineRule="exact"/>
        <w:ind w:firstLine="640" w:firstLineChars="200"/>
        <w:rPr>
          <w:rFonts w:eastAsia="仿宋_GB2312"/>
          <w:sz w:val="32"/>
          <w:szCs w:val="32"/>
        </w:rPr>
      </w:pPr>
      <w:r>
        <w:rPr>
          <w:rFonts w:eastAsia="仿宋_GB2312"/>
          <w:sz w:val="32"/>
          <w:szCs w:val="32"/>
        </w:rPr>
        <w:t>（2）政府性基金预算拨款收入</w:t>
      </w:r>
      <w:r>
        <w:rPr>
          <w:rFonts w:eastAsia="仿宋_GB2312"/>
          <w:sz w:val="32"/>
          <w:szCs w:val="32"/>
          <w:u w:val="single"/>
        </w:rPr>
        <w:t>0</w:t>
      </w:r>
      <w:r>
        <w:rPr>
          <w:rFonts w:eastAsia="仿宋_GB2312"/>
          <w:sz w:val="32"/>
          <w:szCs w:val="32"/>
        </w:rPr>
        <w:t>万元，与上年相比增加</w:t>
      </w:r>
      <w:r>
        <w:rPr>
          <w:rFonts w:eastAsia="仿宋_GB2312"/>
          <w:sz w:val="32"/>
          <w:szCs w:val="32"/>
          <w:u w:val="single"/>
        </w:rPr>
        <w:t>0</w:t>
      </w:r>
      <w:r>
        <w:rPr>
          <w:rFonts w:eastAsia="仿宋_GB2312"/>
          <w:sz w:val="32"/>
          <w:szCs w:val="32"/>
        </w:rPr>
        <w:t>万元，增长</w:t>
      </w:r>
      <w:r>
        <w:rPr>
          <w:rFonts w:eastAsia="仿宋_GB2312"/>
          <w:sz w:val="32"/>
          <w:szCs w:val="32"/>
          <w:u w:val="single"/>
        </w:rPr>
        <w:t>0</w:t>
      </w:r>
      <w:r>
        <w:rPr>
          <w:rFonts w:eastAsia="仿宋_GB2312"/>
          <w:sz w:val="32"/>
          <w:szCs w:val="32"/>
        </w:rPr>
        <w:t>%。主要原因是</w:t>
      </w:r>
      <w:r>
        <w:rPr>
          <w:rFonts w:hint="eastAsia" w:eastAsia="仿宋_GB2312"/>
          <w:sz w:val="32"/>
          <w:szCs w:val="32"/>
        </w:rPr>
        <w:t>不存在</w:t>
      </w:r>
      <w:r>
        <w:rPr>
          <w:rFonts w:eastAsia="仿宋_GB2312"/>
          <w:sz w:val="32"/>
          <w:szCs w:val="32"/>
        </w:rPr>
        <w:t>此项内容。</w:t>
      </w:r>
    </w:p>
    <w:p>
      <w:pPr>
        <w:pStyle w:val="12"/>
        <w:tabs>
          <w:tab w:val="left" w:pos="1389"/>
          <w:tab w:val="left" w:pos="4911"/>
          <w:tab w:val="left" w:pos="6205"/>
        </w:tabs>
        <w:spacing w:after="0" w:line="600" w:lineRule="exact"/>
        <w:ind w:firstLine="640" w:firstLineChars="200"/>
        <w:rPr>
          <w:rFonts w:eastAsia="仿宋_GB2312"/>
          <w:sz w:val="32"/>
          <w:szCs w:val="32"/>
        </w:rPr>
      </w:pPr>
      <w:r>
        <w:rPr>
          <w:rFonts w:eastAsia="仿宋_GB2312"/>
          <w:sz w:val="32"/>
          <w:szCs w:val="32"/>
        </w:rPr>
        <w:t>（3）国有资本经营预算拨款收入</w:t>
      </w:r>
      <w:r>
        <w:rPr>
          <w:rFonts w:eastAsia="仿宋_GB2312"/>
          <w:sz w:val="32"/>
          <w:szCs w:val="32"/>
          <w:u w:val="single"/>
        </w:rPr>
        <w:t>0</w:t>
      </w:r>
      <w:r>
        <w:rPr>
          <w:rFonts w:eastAsia="仿宋_GB2312"/>
          <w:sz w:val="32"/>
          <w:szCs w:val="32"/>
        </w:rPr>
        <w:t>万元，与上年相比增加</w:t>
      </w:r>
      <w:r>
        <w:rPr>
          <w:rFonts w:eastAsia="仿宋_GB2312"/>
          <w:sz w:val="32"/>
          <w:szCs w:val="32"/>
          <w:u w:val="single"/>
        </w:rPr>
        <w:t>0</w:t>
      </w:r>
      <w:r>
        <w:rPr>
          <w:rFonts w:eastAsia="仿宋_GB2312"/>
          <w:sz w:val="32"/>
          <w:szCs w:val="32"/>
        </w:rPr>
        <w:t>万元，增长</w:t>
      </w:r>
      <w:r>
        <w:rPr>
          <w:rFonts w:eastAsia="仿宋_GB2312"/>
          <w:sz w:val="32"/>
          <w:szCs w:val="32"/>
          <w:u w:val="single"/>
        </w:rPr>
        <w:t>0</w:t>
      </w:r>
      <w:r>
        <w:rPr>
          <w:rFonts w:eastAsia="仿宋_GB2312"/>
          <w:sz w:val="32"/>
          <w:szCs w:val="32"/>
        </w:rPr>
        <w:t>%。主要原因是</w:t>
      </w:r>
      <w:r>
        <w:rPr>
          <w:rFonts w:hint="eastAsia" w:eastAsia="仿宋_GB2312"/>
          <w:sz w:val="32"/>
          <w:szCs w:val="32"/>
        </w:rPr>
        <w:t>不存在此项内容</w:t>
      </w:r>
      <w:r>
        <w:rPr>
          <w:rFonts w:eastAsia="仿宋_GB2312"/>
          <w:sz w:val="32"/>
          <w:szCs w:val="32"/>
        </w:rPr>
        <w:t>。</w:t>
      </w:r>
    </w:p>
    <w:p>
      <w:pPr>
        <w:pStyle w:val="12"/>
        <w:tabs>
          <w:tab w:val="left" w:pos="1389"/>
          <w:tab w:val="left" w:pos="4911"/>
          <w:tab w:val="left" w:pos="5898"/>
        </w:tabs>
        <w:spacing w:after="0" w:line="600" w:lineRule="exact"/>
        <w:ind w:firstLine="640" w:firstLineChars="200"/>
        <w:rPr>
          <w:rFonts w:eastAsia="仿宋_GB2312"/>
          <w:sz w:val="32"/>
          <w:szCs w:val="32"/>
        </w:rPr>
      </w:pPr>
      <w:r>
        <w:rPr>
          <w:rFonts w:eastAsia="仿宋_GB2312"/>
          <w:sz w:val="32"/>
          <w:szCs w:val="32"/>
        </w:rPr>
        <w:t>（4）财政专户管理资金收入</w:t>
      </w:r>
      <w:r>
        <w:rPr>
          <w:rFonts w:eastAsia="仿宋_GB2312"/>
          <w:sz w:val="32"/>
          <w:szCs w:val="32"/>
          <w:u w:val="single"/>
        </w:rPr>
        <w:t>0</w:t>
      </w:r>
      <w:r>
        <w:rPr>
          <w:rFonts w:eastAsia="仿宋_GB2312"/>
          <w:sz w:val="32"/>
          <w:szCs w:val="32"/>
        </w:rPr>
        <w:t>万元，与上年相比增加</w:t>
      </w:r>
      <w:r>
        <w:rPr>
          <w:rFonts w:eastAsia="仿宋_GB2312"/>
          <w:sz w:val="32"/>
          <w:szCs w:val="32"/>
          <w:u w:val="single"/>
        </w:rPr>
        <w:t>0</w:t>
      </w:r>
      <w:r>
        <w:rPr>
          <w:rFonts w:eastAsia="仿宋_GB2312"/>
          <w:sz w:val="32"/>
          <w:szCs w:val="32"/>
        </w:rPr>
        <w:t>万元，增长</w:t>
      </w:r>
      <w:r>
        <w:rPr>
          <w:rFonts w:eastAsia="仿宋_GB2312"/>
          <w:sz w:val="32"/>
          <w:szCs w:val="32"/>
          <w:u w:val="single"/>
        </w:rPr>
        <w:t>0</w:t>
      </w:r>
      <w:r>
        <w:rPr>
          <w:rFonts w:eastAsia="仿宋_GB2312"/>
          <w:sz w:val="32"/>
          <w:szCs w:val="32"/>
        </w:rPr>
        <w:t>%。主要原因是</w:t>
      </w:r>
      <w:r>
        <w:rPr>
          <w:rFonts w:hint="eastAsia" w:eastAsia="仿宋_GB2312"/>
          <w:sz w:val="32"/>
          <w:szCs w:val="32"/>
        </w:rPr>
        <w:t>不存在此项内容</w:t>
      </w:r>
      <w:r>
        <w:rPr>
          <w:rFonts w:eastAsia="仿宋_GB2312"/>
          <w:sz w:val="32"/>
          <w:szCs w:val="32"/>
        </w:rPr>
        <w:t>。</w:t>
      </w:r>
    </w:p>
    <w:p>
      <w:pPr>
        <w:pStyle w:val="12"/>
        <w:tabs>
          <w:tab w:val="left" w:pos="3310"/>
          <w:tab w:val="left" w:pos="3807"/>
          <w:tab w:val="left" w:pos="9433"/>
        </w:tabs>
        <w:spacing w:after="0" w:line="600" w:lineRule="exact"/>
        <w:ind w:firstLine="640" w:firstLineChars="200"/>
        <w:rPr>
          <w:rFonts w:eastAsia="仿宋_GB2312"/>
          <w:sz w:val="32"/>
          <w:szCs w:val="32"/>
        </w:rPr>
      </w:pPr>
      <w:r>
        <w:rPr>
          <w:rFonts w:eastAsia="仿宋_GB2312"/>
          <w:sz w:val="32"/>
          <w:szCs w:val="32"/>
        </w:rPr>
        <w:t>（5）事业收入</w:t>
      </w:r>
      <w:r>
        <w:rPr>
          <w:rFonts w:eastAsia="仿宋_GB2312"/>
          <w:sz w:val="32"/>
          <w:szCs w:val="32"/>
          <w:u w:val="single"/>
        </w:rPr>
        <w:t>0</w:t>
      </w:r>
      <w:r>
        <w:rPr>
          <w:rFonts w:eastAsia="仿宋_GB2312"/>
          <w:sz w:val="32"/>
          <w:szCs w:val="32"/>
        </w:rPr>
        <w:t>万元，与上年相比增加（减少）</w:t>
      </w:r>
      <w:r>
        <w:rPr>
          <w:rFonts w:eastAsia="仿宋_GB2312"/>
          <w:sz w:val="32"/>
          <w:szCs w:val="32"/>
          <w:u w:val="single"/>
        </w:rPr>
        <w:t>0</w:t>
      </w:r>
      <w:r>
        <w:rPr>
          <w:rFonts w:eastAsia="仿宋_GB2312"/>
          <w:sz w:val="32"/>
          <w:szCs w:val="32"/>
        </w:rPr>
        <w:t>万元，增长（减少）</w:t>
      </w:r>
      <w:r>
        <w:rPr>
          <w:rFonts w:eastAsia="仿宋_GB2312"/>
          <w:sz w:val="32"/>
          <w:szCs w:val="32"/>
          <w:u w:val="single"/>
        </w:rPr>
        <w:t>0</w:t>
      </w:r>
      <w:r>
        <w:rPr>
          <w:rFonts w:eastAsia="仿宋_GB2312"/>
          <w:sz w:val="32"/>
          <w:szCs w:val="32"/>
        </w:rPr>
        <w:t>%。主要原因是</w:t>
      </w:r>
      <w:r>
        <w:rPr>
          <w:rFonts w:hint="eastAsia" w:eastAsia="仿宋_GB2312"/>
          <w:sz w:val="32"/>
          <w:szCs w:val="32"/>
        </w:rPr>
        <w:t>不存在此项内容</w:t>
      </w:r>
      <w:r>
        <w:rPr>
          <w:rFonts w:eastAsia="仿宋_GB2312"/>
          <w:sz w:val="32"/>
          <w:szCs w:val="32"/>
        </w:rPr>
        <w:t>。</w:t>
      </w:r>
    </w:p>
    <w:p>
      <w:pPr>
        <w:pStyle w:val="12"/>
        <w:tabs>
          <w:tab w:val="left" w:pos="1389"/>
          <w:tab w:val="left" w:pos="4911"/>
          <w:tab w:val="left" w:pos="5900"/>
        </w:tabs>
        <w:spacing w:after="0" w:line="600" w:lineRule="exact"/>
        <w:ind w:firstLine="640" w:firstLineChars="200"/>
        <w:rPr>
          <w:rFonts w:eastAsia="仿宋_GB2312"/>
          <w:sz w:val="32"/>
          <w:szCs w:val="32"/>
        </w:rPr>
      </w:pPr>
      <w:r>
        <w:rPr>
          <w:rFonts w:eastAsia="仿宋_GB2312"/>
          <w:sz w:val="32"/>
          <w:szCs w:val="32"/>
        </w:rPr>
        <w:t>（6）事业单位经营收入</w:t>
      </w:r>
      <w:r>
        <w:rPr>
          <w:rFonts w:eastAsia="仿宋_GB2312"/>
          <w:sz w:val="32"/>
          <w:szCs w:val="32"/>
          <w:u w:val="single"/>
        </w:rPr>
        <w:t>0</w:t>
      </w:r>
      <w:r>
        <w:rPr>
          <w:rFonts w:eastAsia="仿宋_GB2312"/>
          <w:sz w:val="32"/>
          <w:szCs w:val="32"/>
        </w:rPr>
        <w:t>万元，与上年相比增加</w:t>
      </w:r>
      <w:r>
        <w:rPr>
          <w:rFonts w:eastAsia="仿宋_GB2312"/>
          <w:sz w:val="32"/>
          <w:szCs w:val="32"/>
          <w:u w:val="single"/>
        </w:rPr>
        <w:t>0</w:t>
      </w:r>
      <w:r>
        <w:rPr>
          <w:rFonts w:eastAsia="仿宋_GB2312"/>
          <w:sz w:val="32"/>
          <w:szCs w:val="32"/>
        </w:rPr>
        <w:t>万元，增长</w:t>
      </w:r>
      <w:r>
        <w:rPr>
          <w:rFonts w:eastAsia="仿宋_GB2312"/>
          <w:sz w:val="32"/>
          <w:szCs w:val="32"/>
          <w:u w:val="single"/>
        </w:rPr>
        <w:t>0</w:t>
      </w:r>
      <w:r>
        <w:rPr>
          <w:rFonts w:eastAsia="仿宋_GB2312"/>
          <w:sz w:val="32"/>
          <w:szCs w:val="32"/>
        </w:rPr>
        <w:t>%。主要原因是</w:t>
      </w:r>
      <w:r>
        <w:rPr>
          <w:rFonts w:hint="eastAsia" w:eastAsia="仿宋_GB2312"/>
          <w:sz w:val="32"/>
          <w:szCs w:val="32"/>
        </w:rPr>
        <w:t>不存在此项内容</w:t>
      </w:r>
      <w:r>
        <w:rPr>
          <w:rFonts w:eastAsia="仿宋_GB2312"/>
          <w:sz w:val="32"/>
          <w:szCs w:val="32"/>
        </w:rPr>
        <w:t>。</w:t>
      </w:r>
    </w:p>
    <w:p>
      <w:pPr>
        <w:pStyle w:val="12"/>
        <w:tabs>
          <w:tab w:val="left" w:pos="4320"/>
          <w:tab w:val="left" w:pos="9433"/>
        </w:tabs>
        <w:spacing w:after="0" w:line="600" w:lineRule="exact"/>
        <w:ind w:firstLine="640" w:firstLineChars="200"/>
        <w:rPr>
          <w:rFonts w:eastAsia="仿宋_GB2312"/>
          <w:sz w:val="32"/>
          <w:szCs w:val="32"/>
        </w:rPr>
      </w:pPr>
      <w:r>
        <w:rPr>
          <w:rFonts w:eastAsia="仿宋_GB2312"/>
          <w:sz w:val="32"/>
          <w:szCs w:val="32"/>
        </w:rPr>
        <w:t>（7）上级补助收入</w:t>
      </w:r>
      <w:r>
        <w:rPr>
          <w:rFonts w:eastAsia="仿宋_GB2312"/>
          <w:sz w:val="32"/>
          <w:szCs w:val="32"/>
          <w:u w:val="single"/>
        </w:rPr>
        <w:t>0</w:t>
      </w:r>
      <w:r>
        <w:rPr>
          <w:rFonts w:eastAsia="仿宋_GB2312"/>
          <w:sz w:val="32"/>
          <w:szCs w:val="32"/>
        </w:rPr>
        <w:t>万元，与上年相比增加</w:t>
      </w:r>
      <w:r>
        <w:rPr>
          <w:rFonts w:eastAsia="仿宋_GB2312"/>
          <w:sz w:val="32"/>
          <w:szCs w:val="32"/>
          <w:u w:val="single"/>
        </w:rPr>
        <w:t>0</w:t>
      </w:r>
      <w:r>
        <w:rPr>
          <w:rFonts w:eastAsia="仿宋_GB2312"/>
          <w:sz w:val="32"/>
          <w:szCs w:val="32"/>
        </w:rPr>
        <w:t>万元，增长</w:t>
      </w:r>
      <w:r>
        <w:rPr>
          <w:rFonts w:eastAsia="仿宋_GB2312"/>
          <w:sz w:val="32"/>
          <w:szCs w:val="32"/>
          <w:u w:val="single"/>
        </w:rPr>
        <w:t>0</w:t>
      </w:r>
      <w:r>
        <w:rPr>
          <w:rFonts w:eastAsia="仿宋_GB2312"/>
          <w:sz w:val="32"/>
          <w:szCs w:val="32"/>
        </w:rPr>
        <w:t>%</w:t>
      </w:r>
    </w:p>
    <w:p>
      <w:pPr>
        <w:pStyle w:val="12"/>
        <w:tabs>
          <w:tab w:val="left" w:pos="1389"/>
          <w:tab w:val="left" w:pos="4911"/>
          <w:tab w:val="left" w:pos="5900"/>
        </w:tabs>
        <w:spacing w:after="0" w:line="600" w:lineRule="exact"/>
        <w:ind w:firstLine="640" w:firstLineChars="200"/>
        <w:rPr>
          <w:rFonts w:eastAsia="仿宋_GB2312"/>
          <w:sz w:val="32"/>
          <w:szCs w:val="32"/>
        </w:rPr>
      </w:pPr>
      <w:r>
        <w:rPr>
          <w:rFonts w:eastAsia="仿宋_GB2312"/>
          <w:sz w:val="32"/>
          <w:szCs w:val="32"/>
        </w:rPr>
        <w:t>（8）附属单位上缴收入</w:t>
      </w:r>
      <w:r>
        <w:rPr>
          <w:rFonts w:eastAsia="仿宋_GB2312"/>
          <w:sz w:val="32"/>
          <w:szCs w:val="32"/>
          <w:u w:val="single"/>
        </w:rPr>
        <w:t>0</w:t>
      </w:r>
      <w:r>
        <w:rPr>
          <w:rFonts w:eastAsia="仿宋_GB2312"/>
          <w:sz w:val="32"/>
          <w:szCs w:val="32"/>
        </w:rPr>
        <w:t>万元，与上年相比增加</w:t>
      </w:r>
      <w:r>
        <w:rPr>
          <w:rFonts w:eastAsia="仿宋_GB2312"/>
          <w:sz w:val="32"/>
          <w:szCs w:val="32"/>
          <w:u w:val="single"/>
        </w:rPr>
        <w:t>0</w:t>
      </w:r>
      <w:r>
        <w:rPr>
          <w:rFonts w:eastAsia="仿宋_GB2312"/>
          <w:sz w:val="32"/>
          <w:szCs w:val="32"/>
        </w:rPr>
        <w:t>万元，增长</w:t>
      </w:r>
      <w:r>
        <w:rPr>
          <w:rFonts w:eastAsia="仿宋_GB2312"/>
          <w:sz w:val="32"/>
          <w:szCs w:val="32"/>
          <w:u w:val="single"/>
        </w:rPr>
        <w:t>0</w:t>
      </w:r>
      <w:r>
        <w:rPr>
          <w:rFonts w:eastAsia="仿宋_GB2312"/>
          <w:sz w:val="32"/>
          <w:szCs w:val="32"/>
        </w:rPr>
        <w:t>%。主要原因是</w:t>
      </w:r>
      <w:r>
        <w:rPr>
          <w:rFonts w:hint="eastAsia" w:eastAsia="仿宋_GB2312"/>
          <w:sz w:val="32"/>
          <w:szCs w:val="32"/>
        </w:rPr>
        <w:t>不存在此项内容</w:t>
      </w:r>
      <w:r>
        <w:rPr>
          <w:rFonts w:eastAsia="仿宋_GB2312"/>
          <w:sz w:val="32"/>
          <w:szCs w:val="32"/>
        </w:rPr>
        <w:t>。</w:t>
      </w:r>
    </w:p>
    <w:p>
      <w:pPr>
        <w:pStyle w:val="12"/>
        <w:tabs>
          <w:tab w:val="left" w:pos="3310"/>
          <w:tab w:val="left" w:pos="4121"/>
          <w:tab w:val="left" w:pos="9431"/>
        </w:tabs>
        <w:spacing w:after="0" w:line="600" w:lineRule="exact"/>
        <w:ind w:firstLine="640" w:firstLineChars="200"/>
        <w:rPr>
          <w:rFonts w:eastAsia="仿宋_GB2312"/>
          <w:sz w:val="32"/>
          <w:szCs w:val="32"/>
        </w:rPr>
      </w:pPr>
      <w:r>
        <w:rPr>
          <w:rFonts w:eastAsia="仿宋_GB2312"/>
          <w:sz w:val="32"/>
          <w:szCs w:val="32"/>
        </w:rPr>
        <w:t>（9）其他收入</w:t>
      </w:r>
      <w:r>
        <w:rPr>
          <w:rFonts w:eastAsia="仿宋_GB2312"/>
          <w:sz w:val="32"/>
          <w:szCs w:val="32"/>
          <w:u w:val="single"/>
        </w:rPr>
        <w:t>0</w:t>
      </w:r>
      <w:r>
        <w:rPr>
          <w:rFonts w:eastAsia="仿宋_GB2312"/>
          <w:sz w:val="32"/>
          <w:szCs w:val="32"/>
        </w:rPr>
        <w:t>万元，与上年相比增加</w:t>
      </w:r>
      <w:r>
        <w:rPr>
          <w:rFonts w:eastAsia="仿宋_GB2312"/>
          <w:sz w:val="32"/>
          <w:szCs w:val="32"/>
          <w:u w:val="single"/>
        </w:rPr>
        <w:t>0</w:t>
      </w:r>
      <w:r>
        <w:rPr>
          <w:rFonts w:eastAsia="仿宋_GB2312"/>
          <w:sz w:val="32"/>
          <w:szCs w:val="32"/>
        </w:rPr>
        <w:t>万元，增长</w:t>
      </w:r>
      <w:r>
        <w:rPr>
          <w:rFonts w:eastAsia="仿宋_GB2312"/>
          <w:sz w:val="32"/>
          <w:szCs w:val="32"/>
          <w:u w:val="single"/>
        </w:rPr>
        <w:t>0</w:t>
      </w:r>
      <w:r>
        <w:rPr>
          <w:rFonts w:eastAsia="仿宋_GB2312"/>
          <w:sz w:val="32"/>
          <w:szCs w:val="32"/>
        </w:rPr>
        <w:t>%。主要原因是</w:t>
      </w:r>
      <w:r>
        <w:rPr>
          <w:rFonts w:hint="eastAsia" w:eastAsia="仿宋_GB2312"/>
          <w:sz w:val="32"/>
          <w:szCs w:val="32"/>
        </w:rPr>
        <w:t>不存在此项内容</w:t>
      </w:r>
      <w:r>
        <w:rPr>
          <w:rFonts w:eastAsia="仿宋_GB2312"/>
          <w:sz w:val="32"/>
          <w:szCs w:val="32"/>
        </w:rPr>
        <w:t>。</w:t>
      </w:r>
    </w:p>
    <w:p>
      <w:pPr>
        <w:pStyle w:val="12"/>
        <w:tabs>
          <w:tab w:val="left" w:pos="3310"/>
          <w:tab w:val="left" w:pos="4280"/>
          <w:tab w:val="left" w:pos="9431"/>
        </w:tabs>
        <w:spacing w:after="0" w:line="600" w:lineRule="exact"/>
        <w:ind w:firstLine="640" w:firstLineChars="200"/>
        <w:rPr>
          <w:rFonts w:eastAsia="仿宋_GB2312"/>
          <w:sz w:val="32"/>
          <w:szCs w:val="32"/>
        </w:rPr>
      </w:pPr>
      <w:r>
        <w:rPr>
          <w:rFonts w:eastAsia="仿宋_GB2312"/>
          <w:sz w:val="32"/>
          <w:szCs w:val="32"/>
        </w:rPr>
        <w:t>2．上年结转结余为</w:t>
      </w:r>
      <w:r>
        <w:rPr>
          <w:rFonts w:eastAsia="仿宋_GB2312"/>
          <w:sz w:val="32"/>
          <w:szCs w:val="32"/>
          <w:u w:val="single"/>
        </w:rPr>
        <w:t>77.23</w:t>
      </w:r>
      <w:r>
        <w:rPr>
          <w:rFonts w:eastAsia="仿宋_GB2312"/>
          <w:sz w:val="32"/>
          <w:szCs w:val="32"/>
        </w:rPr>
        <w:t>万元。与上年相比增加</w:t>
      </w:r>
      <w:r>
        <w:rPr>
          <w:rFonts w:eastAsia="仿宋_GB2312"/>
          <w:sz w:val="32"/>
          <w:szCs w:val="32"/>
          <w:u w:val="single"/>
        </w:rPr>
        <w:t>3.41</w:t>
      </w:r>
      <w:r>
        <w:rPr>
          <w:rFonts w:eastAsia="仿宋_GB2312"/>
          <w:sz w:val="32"/>
          <w:szCs w:val="32"/>
        </w:rPr>
        <w:t>万元，增长</w:t>
      </w:r>
      <w:r>
        <w:rPr>
          <w:rFonts w:eastAsia="仿宋_GB2312"/>
          <w:sz w:val="32"/>
          <w:szCs w:val="32"/>
          <w:u w:val="single"/>
        </w:rPr>
        <w:t>4.62</w:t>
      </w:r>
      <w:r>
        <w:rPr>
          <w:rFonts w:eastAsia="仿宋_GB2312"/>
          <w:sz w:val="32"/>
          <w:szCs w:val="32"/>
        </w:rPr>
        <w:t>%。主要原因是</w:t>
      </w:r>
      <w:r>
        <w:rPr>
          <w:rFonts w:hint="eastAsia" w:ascii="仿宋_GB2312" w:eastAsia="仿宋_GB2312"/>
          <w:sz w:val="32"/>
          <w:szCs w:val="32"/>
        </w:rPr>
        <w:t>有</w:t>
      </w:r>
      <w:bookmarkStart w:id="0" w:name="OLE_LINK1"/>
      <w:r>
        <w:rPr>
          <w:rFonts w:hint="eastAsia" w:ascii="仿宋_GB2312" w:eastAsia="仿宋_GB2312"/>
          <w:sz w:val="32"/>
          <w:szCs w:val="32"/>
        </w:rPr>
        <w:t>第五次全国经济普查相关</w:t>
      </w:r>
      <w:r>
        <w:rPr>
          <w:rFonts w:ascii="仿宋_GB2312" w:eastAsia="仿宋_GB2312"/>
          <w:sz w:val="32"/>
          <w:szCs w:val="32"/>
        </w:rPr>
        <w:t>课题研究</w:t>
      </w:r>
      <w:r>
        <w:rPr>
          <w:rFonts w:hint="eastAsia" w:ascii="仿宋_GB2312" w:eastAsia="仿宋_GB2312"/>
          <w:sz w:val="32"/>
          <w:szCs w:val="32"/>
        </w:rPr>
        <w:t>工作</w:t>
      </w:r>
      <w:r>
        <w:rPr>
          <w:rFonts w:ascii="仿宋_GB2312" w:eastAsia="仿宋_GB2312"/>
          <w:sz w:val="32"/>
          <w:szCs w:val="32"/>
        </w:rPr>
        <w:t>的</w:t>
      </w:r>
      <w:r>
        <w:rPr>
          <w:rFonts w:hint="eastAsia" w:ascii="仿宋_GB2312" w:eastAsia="仿宋_GB2312"/>
          <w:sz w:val="32"/>
          <w:szCs w:val="32"/>
        </w:rPr>
        <w:t>经费</w:t>
      </w:r>
      <w:bookmarkEnd w:id="0"/>
      <w:r>
        <w:rPr>
          <w:rFonts w:hint="eastAsia" w:ascii="仿宋_GB2312" w:eastAsia="仿宋_GB2312"/>
          <w:sz w:val="32"/>
          <w:szCs w:val="32"/>
        </w:rPr>
        <w:t>结转</w:t>
      </w:r>
      <w:r>
        <w:rPr>
          <w:rFonts w:eastAsia="仿宋_GB2312"/>
          <w:sz w:val="32"/>
          <w:szCs w:val="32"/>
        </w:rPr>
        <w:t>。</w:t>
      </w:r>
    </w:p>
    <w:p>
      <w:pPr>
        <w:pStyle w:val="12"/>
        <w:tabs>
          <w:tab w:val="left" w:pos="4275"/>
        </w:tabs>
        <w:spacing w:after="0" w:line="600" w:lineRule="exact"/>
        <w:ind w:firstLine="643" w:firstLineChars="200"/>
        <w:rPr>
          <w:rFonts w:ascii="楷体" w:hAnsi="楷体" w:eastAsia="楷体" w:cs="楷体"/>
          <w:b/>
          <w:bCs/>
          <w:sz w:val="32"/>
          <w:szCs w:val="32"/>
        </w:rPr>
      </w:pPr>
      <w:r>
        <w:rPr>
          <w:rFonts w:hint="eastAsia" w:ascii="楷体" w:hAnsi="楷体" w:eastAsia="楷体" w:cs="楷体"/>
          <w:b/>
          <w:bCs/>
          <w:sz w:val="32"/>
          <w:szCs w:val="32"/>
        </w:rPr>
        <w:t>（二）支出预算总计</w:t>
      </w:r>
      <w:r>
        <w:rPr>
          <w:rFonts w:ascii="仿宋" w:hAnsi="仿宋" w:eastAsia="仿宋" w:cs="仿宋"/>
          <w:sz w:val="32"/>
          <w:szCs w:val="32"/>
          <w:u w:val="single"/>
        </w:rPr>
        <w:t>799.06</w:t>
      </w:r>
      <w:r>
        <w:rPr>
          <w:rFonts w:hint="eastAsia" w:ascii="楷体" w:hAnsi="楷体" w:eastAsia="楷体" w:cs="楷体"/>
          <w:b/>
          <w:bCs/>
          <w:sz w:val="32"/>
          <w:szCs w:val="32"/>
        </w:rPr>
        <w:t>万元。包括：</w:t>
      </w:r>
    </w:p>
    <w:p>
      <w:pPr>
        <w:pStyle w:val="12"/>
        <w:tabs>
          <w:tab w:val="left" w:pos="3792"/>
        </w:tabs>
        <w:spacing w:after="0" w:line="600" w:lineRule="exact"/>
        <w:ind w:firstLine="640" w:firstLineChars="200"/>
        <w:rPr>
          <w:rFonts w:eastAsia="仿宋_GB2312"/>
          <w:sz w:val="32"/>
          <w:szCs w:val="32"/>
        </w:rPr>
      </w:pPr>
      <w:r>
        <w:rPr>
          <w:rFonts w:eastAsia="仿宋_GB2312"/>
          <w:sz w:val="32"/>
          <w:szCs w:val="32"/>
        </w:rPr>
        <w:t>1．本年支出合计</w:t>
      </w:r>
      <w:r>
        <w:rPr>
          <w:rFonts w:eastAsia="仿宋_GB2312"/>
          <w:sz w:val="32"/>
          <w:szCs w:val="32"/>
          <w:u w:val="single"/>
        </w:rPr>
        <w:t>799.06</w:t>
      </w:r>
      <w:r>
        <w:rPr>
          <w:rFonts w:eastAsia="仿宋_GB2312"/>
          <w:sz w:val="32"/>
          <w:szCs w:val="32"/>
        </w:rPr>
        <w:t>万元。</w:t>
      </w:r>
    </w:p>
    <w:p>
      <w:pPr>
        <w:pStyle w:val="12"/>
        <w:tabs>
          <w:tab w:val="left" w:pos="3288"/>
          <w:tab w:val="left" w:pos="5641"/>
          <w:tab w:val="left" w:pos="6778"/>
        </w:tabs>
        <w:spacing w:after="0" w:line="600" w:lineRule="exact"/>
        <w:ind w:firstLine="640" w:firstLineChars="200"/>
        <w:rPr>
          <w:rFonts w:ascii="仿宋_GB2312" w:eastAsia="仿宋_GB2312"/>
          <w:sz w:val="32"/>
          <w:szCs w:val="32"/>
        </w:rPr>
      </w:pPr>
      <w:r>
        <w:rPr>
          <w:rFonts w:hint="eastAsia" w:ascii="仿宋_GB2312" w:eastAsia="仿宋_GB2312"/>
          <w:sz w:val="32"/>
          <w:szCs w:val="32"/>
        </w:rPr>
        <w:t>（1）一般公共服务（类）支出</w:t>
      </w:r>
      <w:r>
        <w:rPr>
          <w:rFonts w:ascii="仿宋_GB2312" w:eastAsia="仿宋_GB2312"/>
          <w:sz w:val="32"/>
          <w:szCs w:val="32"/>
          <w:u w:val="single"/>
        </w:rPr>
        <w:t>643.89</w:t>
      </w:r>
      <w:r>
        <w:rPr>
          <w:rFonts w:hint="eastAsia" w:ascii="仿宋_GB2312" w:eastAsia="仿宋_GB2312"/>
          <w:sz w:val="32"/>
          <w:szCs w:val="32"/>
        </w:rPr>
        <w:t>万元，主要用于</w:t>
      </w:r>
      <w:r>
        <w:rPr>
          <w:rFonts w:hint="eastAsia" w:ascii="仿宋_GB2312" w:hAnsi="仿宋" w:eastAsia="仿宋_GB2312"/>
          <w:sz w:val="32"/>
          <w:szCs w:val="32"/>
        </w:rPr>
        <w:t>人员经费和机构运行、统计普查、调查支出</w:t>
      </w:r>
      <w:r>
        <w:rPr>
          <w:rFonts w:hint="eastAsia" w:ascii="仿宋_GB2312" w:eastAsia="仿宋_GB2312"/>
          <w:sz w:val="32"/>
          <w:szCs w:val="32"/>
        </w:rPr>
        <w:t>。与上年相比增加</w:t>
      </w:r>
      <w:r>
        <w:rPr>
          <w:rFonts w:ascii="仿宋_GB2312" w:eastAsia="仿宋_GB2312"/>
          <w:sz w:val="32"/>
          <w:szCs w:val="32"/>
          <w:u w:val="single"/>
        </w:rPr>
        <w:t>52.43</w:t>
      </w:r>
      <w:r>
        <w:rPr>
          <w:rFonts w:hint="eastAsia" w:ascii="仿宋_GB2312" w:eastAsia="仿宋_GB2312"/>
          <w:sz w:val="32"/>
          <w:szCs w:val="32"/>
        </w:rPr>
        <w:t>万元，增长</w:t>
      </w:r>
      <w:r>
        <w:rPr>
          <w:rFonts w:ascii="仿宋_GB2312" w:eastAsia="仿宋_GB2312"/>
          <w:sz w:val="32"/>
          <w:szCs w:val="32"/>
          <w:u w:val="single"/>
        </w:rPr>
        <w:t>8.86</w:t>
      </w:r>
      <w:r>
        <w:rPr>
          <w:rFonts w:hint="eastAsia" w:ascii="仿宋_GB2312" w:eastAsia="仿宋_GB2312"/>
          <w:sz w:val="32"/>
          <w:szCs w:val="32"/>
        </w:rPr>
        <w:t>%。主要原因</w:t>
      </w:r>
      <w:r>
        <w:rPr>
          <w:rFonts w:hint="eastAsia" w:eastAsia="仿宋_GB2312"/>
          <w:sz w:val="32"/>
          <w:szCs w:val="32"/>
        </w:rPr>
        <w:t>一是公务费</w:t>
      </w:r>
      <w:r>
        <w:rPr>
          <w:rFonts w:eastAsia="仿宋_GB2312"/>
          <w:sz w:val="32"/>
          <w:szCs w:val="32"/>
        </w:rPr>
        <w:t>定额标准增加，公用经费增加，</w:t>
      </w:r>
      <w:r>
        <w:rPr>
          <w:rFonts w:hint="eastAsia" w:eastAsia="仿宋_GB2312"/>
          <w:sz w:val="32"/>
          <w:szCs w:val="32"/>
        </w:rPr>
        <w:t>二是2026年</w:t>
      </w:r>
      <w:r>
        <w:rPr>
          <w:rFonts w:eastAsia="仿宋_GB2312"/>
          <w:sz w:val="32"/>
          <w:szCs w:val="32"/>
        </w:rPr>
        <w:t>开展第四次全国农业普查工作，项目经费增加</w:t>
      </w:r>
      <w:r>
        <w:rPr>
          <w:rFonts w:hint="eastAsia" w:eastAsia="仿宋_GB2312"/>
          <w:sz w:val="32"/>
          <w:szCs w:val="32"/>
        </w:rPr>
        <w:t>，</w:t>
      </w:r>
      <w:r>
        <w:rPr>
          <w:rFonts w:eastAsia="仿宋_GB2312"/>
          <w:sz w:val="32"/>
          <w:szCs w:val="32"/>
        </w:rPr>
        <w:t>三</w:t>
      </w:r>
      <w:r>
        <w:rPr>
          <w:rFonts w:hint="eastAsia" w:eastAsia="仿宋_GB2312"/>
          <w:sz w:val="32"/>
          <w:szCs w:val="32"/>
        </w:rPr>
        <w:t>是增加</w:t>
      </w:r>
      <w:r>
        <w:rPr>
          <w:rFonts w:eastAsia="仿宋_GB2312"/>
          <w:sz w:val="32"/>
          <w:szCs w:val="32"/>
        </w:rPr>
        <w:t>上年结转</w:t>
      </w:r>
      <w:r>
        <w:rPr>
          <w:rFonts w:hint="eastAsia" w:ascii="仿宋_GB2312" w:eastAsia="仿宋_GB2312"/>
          <w:sz w:val="32"/>
          <w:szCs w:val="32"/>
        </w:rPr>
        <w:t>第五次全国经济普查相关</w:t>
      </w:r>
      <w:r>
        <w:rPr>
          <w:rFonts w:ascii="仿宋_GB2312" w:eastAsia="仿宋_GB2312"/>
          <w:sz w:val="32"/>
          <w:szCs w:val="32"/>
        </w:rPr>
        <w:t>课题研究</w:t>
      </w:r>
      <w:r>
        <w:rPr>
          <w:rFonts w:hint="eastAsia" w:ascii="仿宋_GB2312" w:eastAsia="仿宋_GB2312"/>
          <w:sz w:val="32"/>
          <w:szCs w:val="32"/>
        </w:rPr>
        <w:t>工作</w:t>
      </w:r>
      <w:r>
        <w:rPr>
          <w:rFonts w:ascii="仿宋_GB2312" w:eastAsia="仿宋_GB2312"/>
          <w:sz w:val="32"/>
          <w:szCs w:val="32"/>
        </w:rPr>
        <w:t>的</w:t>
      </w:r>
      <w:r>
        <w:rPr>
          <w:rFonts w:hint="eastAsia" w:ascii="仿宋_GB2312" w:eastAsia="仿宋_GB2312"/>
          <w:sz w:val="32"/>
          <w:szCs w:val="32"/>
        </w:rPr>
        <w:t>经费</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ascii="仿宋_GB2312" w:eastAsia="仿宋_GB2312"/>
          <w:sz w:val="32"/>
          <w:szCs w:val="32"/>
        </w:rPr>
      </w:pPr>
      <w:r>
        <w:rPr>
          <w:rFonts w:hint="eastAsia" w:ascii="仿宋_GB2312" w:eastAsia="仿宋_GB2312"/>
          <w:sz w:val="32"/>
          <w:szCs w:val="32"/>
        </w:rPr>
        <w:t>（2）教育支出（类）支出</w:t>
      </w:r>
      <w:r>
        <w:rPr>
          <w:rFonts w:ascii="仿宋_GB2312" w:eastAsia="仿宋_GB2312"/>
          <w:sz w:val="32"/>
          <w:szCs w:val="32"/>
          <w:u w:val="single"/>
        </w:rPr>
        <w:t>15.08</w:t>
      </w:r>
      <w:r>
        <w:rPr>
          <w:rFonts w:hint="eastAsia" w:ascii="仿宋_GB2312" w:eastAsia="仿宋_GB2312"/>
          <w:sz w:val="32"/>
          <w:szCs w:val="32"/>
        </w:rPr>
        <w:t>万元，主要用于单位安排的各类培训支出。与上年相比减少</w:t>
      </w:r>
      <w:r>
        <w:rPr>
          <w:rFonts w:ascii="仿宋_GB2312" w:eastAsia="仿宋_GB2312"/>
          <w:sz w:val="32"/>
          <w:szCs w:val="32"/>
          <w:u w:val="single"/>
        </w:rPr>
        <w:t>6.72</w:t>
      </w:r>
      <w:r>
        <w:rPr>
          <w:rFonts w:hint="eastAsia" w:ascii="仿宋_GB2312" w:eastAsia="仿宋_GB2312"/>
          <w:sz w:val="32"/>
          <w:szCs w:val="32"/>
        </w:rPr>
        <w:t>万元，减少</w:t>
      </w:r>
      <w:r>
        <w:rPr>
          <w:rFonts w:ascii="仿宋_GB2312" w:eastAsia="仿宋_GB2312"/>
          <w:sz w:val="32"/>
          <w:szCs w:val="32"/>
          <w:u w:val="single"/>
        </w:rPr>
        <w:t>30.83</w:t>
      </w:r>
      <w:r>
        <w:rPr>
          <w:rFonts w:hint="eastAsia" w:ascii="仿宋_GB2312" w:eastAsia="仿宋_GB2312"/>
          <w:sz w:val="32"/>
          <w:szCs w:val="32"/>
        </w:rPr>
        <w:t>%，主要原因是此类支出为</w:t>
      </w:r>
      <w:r>
        <w:rPr>
          <w:rFonts w:ascii="仿宋_GB2312" w:eastAsia="仿宋_GB2312"/>
          <w:sz w:val="32"/>
          <w:szCs w:val="32"/>
        </w:rPr>
        <w:t>上年结转金额，没有本年预算</w:t>
      </w:r>
      <w:r>
        <w:rPr>
          <w:rFonts w:hint="eastAsia" w:ascii="仿宋_GB2312" w:eastAsia="仿宋_GB2312"/>
          <w:sz w:val="32"/>
          <w:szCs w:val="32"/>
        </w:rPr>
        <w:t>。</w:t>
      </w:r>
    </w:p>
    <w:p>
      <w:pPr>
        <w:pStyle w:val="12"/>
        <w:tabs>
          <w:tab w:val="left" w:pos="2671"/>
          <w:tab w:val="left" w:pos="5000"/>
          <w:tab w:val="left" w:pos="6190"/>
        </w:tabs>
        <w:spacing w:after="0" w:line="600" w:lineRule="exact"/>
        <w:ind w:firstLine="640" w:firstLineChars="200"/>
        <w:rPr>
          <w:rFonts w:ascii="仿宋_GB2312" w:hAnsi="仿宋" w:eastAsia="仿宋_GB2312"/>
          <w:sz w:val="32"/>
          <w:szCs w:val="32"/>
        </w:rPr>
      </w:pPr>
      <w:r>
        <w:rPr>
          <w:rFonts w:hint="eastAsia" w:ascii="仿宋_GB2312" w:eastAsia="仿宋_GB2312"/>
          <w:sz w:val="32"/>
          <w:szCs w:val="32"/>
        </w:rPr>
        <w:t>（3）</w:t>
      </w:r>
      <w:r>
        <w:rPr>
          <w:rFonts w:hint="eastAsia" w:ascii="仿宋_GB2312" w:hAnsi="仿宋" w:eastAsia="仿宋_GB2312"/>
          <w:sz w:val="32"/>
          <w:szCs w:val="32"/>
        </w:rPr>
        <w:t>社会保障和就业支出</w:t>
      </w:r>
      <w:r>
        <w:rPr>
          <w:rFonts w:hint="eastAsia" w:ascii="仿宋_GB2312" w:eastAsia="仿宋_GB2312"/>
          <w:sz w:val="32"/>
          <w:szCs w:val="32"/>
        </w:rPr>
        <w:t>（类）支出</w:t>
      </w:r>
      <w:r>
        <w:rPr>
          <w:rFonts w:ascii="仿宋_GB2312" w:eastAsia="仿宋_GB2312"/>
          <w:sz w:val="32"/>
          <w:szCs w:val="32"/>
          <w:u w:val="single"/>
        </w:rPr>
        <w:t>68.82</w:t>
      </w:r>
      <w:r>
        <w:rPr>
          <w:rFonts w:hint="eastAsia" w:ascii="仿宋_GB2312" w:eastAsia="仿宋_GB2312"/>
          <w:sz w:val="32"/>
          <w:szCs w:val="32"/>
        </w:rPr>
        <w:t>万元，主要用于机关退休职工养老金单位承担部分、</w:t>
      </w:r>
      <w:r>
        <w:rPr>
          <w:rFonts w:hint="eastAsia" w:ascii="仿宋_GB2312" w:hAnsi="仿宋" w:eastAsia="仿宋_GB2312"/>
          <w:sz w:val="32"/>
          <w:szCs w:val="32"/>
        </w:rPr>
        <w:t>在职人员养老保险支出</w:t>
      </w:r>
      <w:r>
        <w:rPr>
          <w:rFonts w:hint="eastAsia" w:ascii="仿宋_GB2312" w:eastAsia="仿宋_GB2312"/>
          <w:sz w:val="32"/>
          <w:szCs w:val="32"/>
        </w:rPr>
        <w:t>。与上年相比增加</w:t>
      </w:r>
      <w:r>
        <w:rPr>
          <w:rFonts w:ascii="仿宋_GB2312" w:eastAsia="仿宋_GB2312"/>
          <w:sz w:val="32"/>
          <w:szCs w:val="32"/>
          <w:u w:val="single"/>
        </w:rPr>
        <w:t>2.92</w:t>
      </w:r>
      <w:r>
        <w:rPr>
          <w:rFonts w:hint="eastAsia" w:ascii="仿宋_GB2312" w:eastAsia="仿宋_GB2312"/>
          <w:sz w:val="32"/>
          <w:szCs w:val="32"/>
        </w:rPr>
        <w:t>万元，增长</w:t>
      </w:r>
      <w:r>
        <w:rPr>
          <w:rFonts w:ascii="仿宋_GB2312" w:eastAsia="仿宋_GB2312"/>
          <w:sz w:val="32"/>
          <w:szCs w:val="32"/>
          <w:u w:val="single"/>
        </w:rPr>
        <w:t>4.43</w:t>
      </w:r>
      <w:r>
        <w:rPr>
          <w:rFonts w:hint="eastAsia" w:ascii="仿宋_GB2312" w:eastAsia="仿宋_GB2312"/>
          <w:sz w:val="32"/>
          <w:szCs w:val="32"/>
        </w:rPr>
        <w:t>%。主要原因一是</w:t>
      </w:r>
      <w:r>
        <w:rPr>
          <w:rFonts w:ascii="仿宋_GB2312" w:eastAsia="仿宋_GB2312"/>
          <w:sz w:val="32"/>
          <w:szCs w:val="32"/>
        </w:rPr>
        <w:t>退休人员</w:t>
      </w:r>
      <w:r>
        <w:rPr>
          <w:rFonts w:hint="eastAsia" w:ascii="仿宋_GB2312" w:eastAsia="仿宋_GB2312"/>
          <w:sz w:val="32"/>
          <w:szCs w:val="32"/>
        </w:rPr>
        <w:t>较</w:t>
      </w:r>
      <w:r>
        <w:rPr>
          <w:rFonts w:ascii="仿宋_GB2312" w:eastAsia="仿宋_GB2312"/>
          <w:sz w:val="32"/>
          <w:szCs w:val="32"/>
        </w:rPr>
        <w:t>去年增加2</w:t>
      </w:r>
      <w:r>
        <w:rPr>
          <w:rFonts w:hint="eastAsia" w:ascii="仿宋_GB2312" w:eastAsia="仿宋_GB2312"/>
          <w:sz w:val="32"/>
          <w:szCs w:val="32"/>
        </w:rPr>
        <w:t>名</w:t>
      </w:r>
      <w:r>
        <w:rPr>
          <w:rFonts w:ascii="仿宋_GB2312" w:eastAsia="仿宋_GB2312"/>
          <w:sz w:val="32"/>
          <w:szCs w:val="32"/>
        </w:rPr>
        <w:t>，退休养老金单位</w:t>
      </w:r>
      <w:r>
        <w:rPr>
          <w:rFonts w:hint="eastAsia" w:ascii="仿宋_GB2312" w:eastAsia="仿宋_GB2312"/>
          <w:sz w:val="32"/>
          <w:szCs w:val="32"/>
        </w:rPr>
        <w:t>承担部分</w:t>
      </w:r>
      <w:r>
        <w:rPr>
          <w:rFonts w:ascii="仿宋_GB2312" w:eastAsia="仿宋_GB2312"/>
          <w:sz w:val="32"/>
          <w:szCs w:val="32"/>
        </w:rPr>
        <w:t>增加，</w:t>
      </w:r>
      <w:r>
        <w:rPr>
          <w:rFonts w:hint="eastAsia" w:ascii="仿宋_GB2312" w:eastAsia="仿宋_GB2312"/>
          <w:sz w:val="32"/>
          <w:szCs w:val="32"/>
        </w:rPr>
        <w:t>二是</w:t>
      </w:r>
      <w:r>
        <w:rPr>
          <w:rFonts w:ascii="仿宋_GB2312" w:eastAsia="仿宋_GB2312"/>
          <w:sz w:val="32"/>
          <w:szCs w:val="32"/>
        </w:rPr>
        <w:t>在职人员职务变动，养老保险基数增加</w:t>
      </w:r>
      <w:r>
        <w:rPr>
          <w:rFonts w:hint="eastAsia" w:ascii="仿宋_GB2312" w:hAnsi="仿宋" w:eastAsia="仿宋_GB2312"/>
          <w:sz w:val="32"/>
          <w:szCs w:val="32"/>
        </w:rPr>
        <w:t>。</w:t>
      </w:r>
    </w:p>
    <w:p>
      <w:pPr>
        <w:pStyle w:val="12"/>
        <w:tabs>
          <w:tab w:val="left" w:pos="2671"/>
          <w:tab w:val="left" w:pos="5000"/>
          <w:tab w:val="left" w:pos="6190"/>
        </w:tabs>
        <w:spacing w:after="0" w:line="600" w:lineRule="exact"/>
        <w:ind w:firstLine="640" w:firstLineChars="200"/>
        <w:rPr>
          <w:rFonts w:ascii="仿宋_GB2312" w:hAnsi="仿宋" w:eastAsia="仿宋_GB2312"/>
          <w:sz w:val="32"/>
          <w:szCs w:val="32"/>
        </w:rPr>
      </w:pPr>
      <w:r>
        <w:rPr>
          <w:rFonts w:hint="eastAsia" w:ascii="仿宋_GB2312" w:eastAsia="仿宋_GB2312"/>
          <w:sz w:val="32"/>
          <w:szCs w:val="32"/>
        </w:rPr>
        <w:t>（4）</w:t>
      </w:r>
      <w:r>
        <w:rPr>
          <w:rFonts w:hint="eastAsia" w:ascii="仿宋_GB2312" w:hAnsi="仿宋" w:eastAsia="仿宋_GB2312"/>
          <w:sz w:val="32"/>
          <w:szCs w:val="32"/>
        </w:rPr>
        <w:t>卫生健康支出</w:t>
      </w:r>
      <w:r>
        <w:rPr>
          <w:rFonts w:hint="eastAsia" w:ascii="仿宋_GB2312" w:eastAsia="仿宋_GB2312"/>
          <w:sz w:val="32"/>
          <w:szCs w:val="32"/>
        </w:rPr>
        <w:t>（类）支出</w:t>
      </w:r>
      <w:r>
        <w:rPr>
          <w:rFonts w:ascii="仿宋_GB2312" w:eastAsia="仿宋_GB2312"/>
          <w:sz w:val="32"/>
          <w:szCs w:val="32"/>
          <w:u w:val="single"/>
        </w:rPr>
        <w:t>20.39</w:t>
      </w:r>
      <w:r>
        <w:rPr>
          <w:rFonts w:hint="eastAsia" w:ascii="仿宋_GB2312" w:eastAsia="仿宋_GB2312"/>
          <w:sz w:val="32"/>
          <w:szCs w:val="32"/>
        </w:rPr>
        <w:t>万元，主要用于</w:t>
      </w:r>
      <w:r>
        <w:rPr>
          <w:rFonts w:hint="eastAsia" w:ascii="仿宋_GB2312" w:hAnsi="仿宋" w:eastAsia="仿宋_GB2312"/>
          <w:sz w:val="32"/>
          <w:szCs w:val="32"/>
        </w:rPr>
        <w:t>在职人员的基本医疗保险、在职及退休人员的大病保险、公务员医疗补助支出</w:t>
      </w:r>
      <w:r>
        <w:rPr>
          <w:rFonts w:hint="eastAsia" w:ascii="仿宋_GB2312" w:eastAsia="仿宋_GB2312"/>
          <w:sz w:val="32"/>
          <w:szCs w:val="32"/>
        </w:rPr>
        <w:t>。与上年相比增加</w:t>
      </w:r>
      <w:r>
        <w:rPr>
          <w:rFonts w:ascii="仿宋_GB2312" w:eastAsia="仿宋_GB2312"/>
          <w:sz w:val="32"/>
          <w:szCs w:val="32"/>
          <w:u w:val="single"/>
        </w:rPr>
        <w:t>0.86</w:t>
      </w:r>
      <w:r>
        <w:rPr>
          <w:rFonts w:hint="eastAsia" w:ascii="仿宋_GB2312" w:eastAsia="仿宋_GB2312"/>
          <w:sz w:val="32"/>
          <w:szCs w:val="32"/>
        </w:rPr>
        <w:t>万元，增长</w:t>
      </w:r>
      <w:r>
        <w:rPr>
          <w:rFonts w:ascii="仿宋_GB2312" w:eastAsia="仿宋_GB2312"/>
          <w:sz w:val="32"/>
          <w:szCs w:val="32"/>
          <w:u w:val="single"/>
        </w:rPr>
        <w:t>4.4</w:t>
      </w:r>
      <w:r>
        <w:rPr>
          <w:rFonts w:hint="eastAsia" w:ascii="仿宋_GB2312" w:eastAsia="仿宋_GB2312"/>
          <w:sz w:val="32"/>
          <w:szCs w:val="32"/>
        </w:rPr>
        <w:t>%。主要原因是在职人员职务</w:t>
      </w:r>
      <w:r>
        <w:rPr>
          <w:rFonts w:ascii="仿宋_GB2312" w:eastAsia="仿宋_GB2312"/>
          <w:sz w:val="32"/>
          <w:szCs w:val="32"/>
        </w:rPr>
        <w:t>变动，</w:t>
      </w:r>
      <w:r>
        <w:rPr>
          <w:rFonts w:hint="eastAsia" w:ascii="仿宋_GB2312" w:eastAsia="仿宋_GB2312"/>
          <w:sz w:val="32"/>
          <w:szCs w:val="32"/>
        </w:rPr>
        <w:t>医疗</w:t>
      </w:r>
      <w:r>
        <w:rPr>
          <w:rFonts w:ascii="仿宋_GB2312" w:eastAsia="仿宋_GB2312"/>
          <w:sz w:val="32"/>
          <w:szCs w:val="32"/>
        </w:rPr>
        <w:t>保险相应增加</w:t>
      </w:r>
      <w:r>
        <w:rPr>
          <w:rFonts w:hint="eastAsia" w:ascii="仿宋_GB2312" w:hAnsi="仿宋" w:eastAsia="仿宋_GB2312"/>
          <w:sz w:val="32"/>
          <w:szCs w:val="32"/>
        </w:rPr>
        <w:t>。</w:t>
      </w:r>
    </w:p>
    <w:p>
      <w:pPr>
        <w:pStyle w:val="12"/>
        <w:tabs>
          <w:tab w:val="left" w:pos="2671"/>
          <w:tab w:val="left" w:pos="5000"/>
          <w:tab w:val="left" w:pos="6190"/>
        </w:tabs>
        <w:spacing w:after="0" w:line="600" w:lineRule="exact"/>
        <w:ind w:firstLine="640" w:firstLineChars="200"/>
        <w:rPr>
          <w:rFonts w:ascii="仿宋_GB2312" w:hAnsi="仿宋" w:eastAsia="仿宋_GB2312"/>
          <w:sz w:val="32"/>
          <w:szCs w:val="32"/>
        </w:rPr>
      </w:pPr>
      <w:r>
        <w:rPr>
          <w:rFonts w:hint="eastAsia" w:ascii="仿宋_GB2312" w:eastAsia="仿宋_GB2312"/>
          <w:sz w:val="32"/>
          <w:szCs w:val="32"/>
        </w:rPr>
        <w:t>（5）</w:t>
      </w:r>
      <w:r>
        <w:rPr>
          <w:rFonts w:hint="eastAsia" w:ascii="仿宋_GB2312" w:hAnsi="仿宋" w:eastAsia="仿宋_GB2312"/>
          <w:sz w:val="32"/>
          <w:szCs w:val="32"/>
        </w:rPr>
        <w:t>住房保障支出</w:t>
      </w:r>
      <w:r>
        <w:rPr>
          <w:rFonts w:hint="eastAsia" w:ascii="仿宋_GB2312" w:eastAsia="仿宋_GB2312"/>
          <w:sz w:val="32"/>
          <w:szCs w:val="32"/>
        </w:rPr>
        <w:t>（类）支出</w:t>
      </w:r>
      <w:r>
        <w:rPr>
          <w:rFonts w:ascii="仿宋_GB2312" w:eastAsia="仿宋_GB2312"/>
          <w:sz w:val="32"/>
          <w:szCs w:val="32"/>
          <w:u w:val="single"/>
        </w:rPr>
        <w:t>50.88</w:t>
      </w:r>
      <w:r>
        <w:rPr>
          <w:rFonts w:hint="eastAsia" w:ascii="仿宋_GB2312" w:eastAsia="仿宋_GB2312"/>
          <w:sz w:val="32"/>
          <w:szCs w:val="32"/>
        </w:rPr>
        <w:t>万元，主要用于</w:t>
      </w:r>
      <w:r>
        <w:rPr>
          <w:rFonts w:hint="eastAsia" w:ascii="仿宋_GB2312" w:hAnsi="仿宋" w:eastAsia="仿宋_GB2312"/>
          <w:sz w:val="32"/>
          <w:szCs w:val="32"/>
        </w:rPr>
        <w:t>在职人员住房公积金及购房补贴支出</w:t>
      </w:r>
      <w:r>
        <w:rPr>
          <w:rFonts w:hint="eastAsia" w:ascii="仿宋_GB2312" w:eastAsia="仿宋_GB2312"/>
          <w:sz w:val="32"/>
          <w:szCs w:val="32"/>
        </w:rPr>
        <w:t>。与上年相比增加</w:t>
      </w:r>
      <w:r>
        <w:rPr>
          <w:rFonts w:ascii="仿宋_GB2312" w:eastAsia="仿宋_GB2312"/>
          <w:sz w:val="32"/>
          <w:szCs w:val="32"/>
          <w:u w:val="single"/>
        </w:rPr>
        <w:t>2.28</w:t>
      </w:r>
      <w:r>
        <w:rPr>
          <w:rFonts w:hint="eastAsia" w:ascii="仿宋_GB2312" w:eastAsia="仿宋_GB2312"/>
          <w:sz w:val="32"/>
          <w:szCs w:val="32"/>
        </w:rPr>
        <w:t>万元，增长</w:t>
      </w:r>
      <w:r>
        <w:rPr>
          <w:rFonts w:ascii="仿宋_GB2312" w:eastAsia="仿宋_GB2312"/>
          <w:sz w:val="32"/>
          <w:szCs w:val="32"/>
          <w:u w:val="single"/>
        </w:rPr>
        <w:t>4.69</w:t>
      </w:r>
      <w:r>
        <w:rPr>
          <w:rFonts w:hint="eastAsia" w:ascii="仿宋_GB2312" w:eastAsia="仿宋_GB2312"/>
          <w:sz w:val="32"/>
          <w:szCs w:val="32"/>
        </w:rPr>
        <w:t>%。主要原因是在职人员职务</w:t>
      </w:r>
      <w:r>
        <w:rPr>
          <w:rFonts w:ascii="仿宋_GB2312" w:eastAsia="仿宋_GB2312"/>
          <w:sz w:val="32"/>
          <w:szCs w:val="32"/>
        </w:rPr>
        <w:t>变动，</w:t>
      </w:r>
      <w:r>
        <w:rPr>
          <w:rFonts w:hint="eastAsia" w:ascii="仿宋_GB2312" w:eastAsia="仿宋_GB2312"/>
          <w:sz w:val="32"/>
          <w:szCs w:val="32"/>
        </w:rPr>
        <w:t>住房公积金</w:t>
      </w:r>
      <w:r>
        <w:rPr>
          <w:rFonts w:ascii="仿宋_GB2312" w:eastAsia="仿宋_GB2312"/>
          <w:sz w:val="32"/>
          <w:szCs w:val="32"/>
        </w:rPr>
        <w:t>相应增加</w:t>
      </w:r>
      <w:r>
        <w:rPr>
          <w:rFonts w:hint="eastAsia" w:ascii="仿宋_GB2312" w:hAnsi="仿宋" w:eastAsia="仿宋_GB2312"/>
          <w:sz w:val="32"/>
          <w:szCs w:val="32"/>
        </w:rPr>
        <w:t>。</w:t>
      </w:r>
    </w:p>
    <w:p>
      <w:pPr>
        <w:spacing w:line="600" w:lineRule="exact"/>
        <w:ind w:firstLine="640" w:firstLineChars="200"/>
        <w:rPr>
          <w:rFonts w:eastAsia="仿宋_GB2312"/>
          <w:sz w:val="32"/>
          <w:szCs w:val="32"/>
        </w:rPr>
      </w:pPr>
      <w:r>
        <w:rPr>
          <w:rFonts w:eastAsia="仿宋_GB2312"/>
          <w:sz w:val="32"/>
          <w:szCs w:val="32"/>
        </w:rPr>
        <w:t>2．年终结转结余为</w:t>
      </w:r>
      <w:r>
        <w:rPr>
          <w:rFonts w:eastAsia="仿宋_GB2312"/>
          <w:sz w:val="32"/>
          <w:szCs w:val="32"/>
          <w:u w:val="single"/>
        </w:rPr>
        <w:t>0</w:t>
      </w:r>
      <w:r>
        <w:rPr>
          <w:rFonts w:eastAsia="仿宋_GB2312"/>
          <w:sz w:val="32"/>
          <w:szCs w:val="32"/>
        </w:rPr>
        <w:t>万元，主要原因是</w:t>
      </w:r>
      <w:r>
        <w:rPr>
          <w:rFonts w:hint="eastAsia" w:eastAsia="仿宋_GB2312"/>
          <w:sz w:val="32"/>
          <w:szCs w:val="32"/>
        </w:rPr>
        <w:t>不存在</w:t>
      </w:r>
      <w:r>
        <w:rPr>
          <w:rFonts w:eastAsia="仿宋_GB2312"/>
          <w:sz w:val="32"/>
          <w:szCs w:val="32"/>
        </w:rPr>
        <w:t>此项内容。</w:t>
      </w:r>
    </w:p>
    <w:p>
      <w:pPr>
        <w:spacing w:line="600" w:lineRule="exact"/>
        <w:ind w:firstLine="640" w:firstLineChars="200"/>
        <w:outlineLvl w:val="0"/>
        <w:rPr>
          <w:rFonts w:eastAsia="黑体" w:cs="黑体"/>
          <w:sz w:val="32"/>
          <w:szCs w:val="36"/>
        </w:rPr>
      </w:pPr>
      <w:r>
        <w:rPr>
          <w:rFonts w:hint="eastAsia" w:eastAsia="黑体" w:cs="黑体"/>
          <w:sz w:val="32"/>
          <w:szCs w:val="36"/>
        </w:rPr>
        <w:t>二、收入预算情况说明</w:t>
      </w:r>
    </w:p>
    <w:p>
      <w:pPr>
        <w:pStyle w:val="12"/>
        <w:tabs>
          <w:tab w:val="left" w:pos="2671"/>
          <w:tab w:val="left" w:pos="5000"/>
          <w:tab w:val="left" w:pos="6190"/>
        </w:tabs>
        <w:spacing w:after="0" w:line="600" w:lineRule="exact"/>
        <w:ind w:firstLine="640" w:firstLineChars="200"/>
        <w:rPr>
          <w:rFonts w:eastAsia="仿宋_GB2312"/>
          <w:sz w:val="32"/>
          <w:szCs w:val="32"/>
        </w:rPr>
      </w:pPr>
      <w:r>
        <w:rPr>
          <w:rFonts w:hint="eastAsia" w:eastAsia="仿宋_GB2312"/>
          <w:sz w:val="32"/>
          <w:szCs w:val="32"/>
          <w:u w:val="single"/>
        </w:rPr>
        <w:t>锡林郭勒盟统计局</w:t>
      </w:r>
      <w:r>
        <w:rPr>
          <w:rFonts w:eastAsia="仿宋_GB2312"/>
          <w:sz w:val="32"/>
          <w:szCs w:val="32"/>
          <w:u w:val="single"/>
        </w:rPr>
        <w:t>单位</w:t>
      </w:r>
      <w:r>
        <w:rPr>
          <w:rFonts w:eastAsia="仿宋_GB2312"/>
          <w:sz w:val="32"/>
          <w:szCs w:val="32"/>
        </w:rPr>
        <w:t>2026年收入预算合计</w:t>
      </w:r>
      <w:r>
        <w:rPr>
          <w:rFonts w:eastAsia="仿宋_GB2312"/>
          <w:sz w:val="32"/>
          <w:szCs w:val="32"/>
          <w:u w:val="single"/>
        </w:rPr>
        <w:t>799.06</w:t>
      </w:r>
      <w:r>
        <w:rPr>
          <w:rFonts w:eastAsia="仿宋_GB2312"/>
          <w:sz w:val="32"/>
          <w:szCs w:val="32"/>
        </w:rPr>
        <w:t>万元，包括本年收入</w:t>
      </w:r>
      <w:r>
        <w:rPr>
          <w:rFonts w:eastAsia="仿宋_GB2312"/>
          <w:sz w:val="32"/>
          <w:szCs w:val="32"/>
          <w:u w:val="single"/>
        </w:rPr>
        <w:t>721.83</w:t>
      </w:r>
      <w:r>
        <w:rPr>
          <w:rFonts w:eastAsia="仿宋_GB2312"/>
          <w:sz w:val="32"/>
          <w:szCs w:val="32"/>
        </w:rPr>
        <w:t>万元，上年结转结余</w:t>
      </w:r>
      <w:r>
        <w:rPr>
          <w:rFonts w:eastAsia="仿宋_GB2312"/>
          <w:sz w:val="32"/>
          <w:szCs w:val="32"/>
          <w:u w:val="single"/>
        </w:rPr>
        <w:t>77.23</w:t>
      </w:r>
      <w:r>
        <w:rPr>
          <w:rFonts w:eastAsia="仿宋_GB2312"/>
          <w:sz w:val="32"/>
          <w:szCs w:val="32"/>
        </w:rPr>
        <w:t>万元。其中：</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本年一般公共预算收入</w:t>
      </w:r>
      <w:r>
        <w:rPr>
          <w:rFonts w:eastAsia="仿宋_GB2312"/>
          <w:sz w:val="32"/>
          <w:szCs w:val="32"/>
          <w:u w:val="single"/>
        </w:rPr>
        <w:t>721.83</w:t>
      </w:r>
      <w:r>
        <w:rPr>
          <w:rFonts w:eastAsia="仿宋_GB2312"/>
          <w:sz w:val="32"/>
          <w:szCs w:val="32"/>
        </w:rPr>
        <w:t>万元，占</w:t>
      </w:r>
      <w:r>
        <w:rPr>
          <w:rFonts w:eastAsia="仿宋_GB2312"/>
          <w:sz w:val="32"/>
          <w:szCs w:val="32"/>
          <w:u w:val="single"/>
        </w:rPr>
        <w:t>90.33</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本年政府性基金预算收入</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本年国有资本经营预算收入</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本年财政专户管理资金</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本年事业收入</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本年事业单位经营收入</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本年上级补助收入</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本年附属单位上缴收入</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本年其他收入</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上年结转结余的一般公共预算收入</w:t>
      </w:r>
      <w:r>
        <w:rPr>
          <w:rFonts w:eastAsia="仿宋_GB2312"/>
          <w:sz w:val="32"/>
          <w:szCs w:val="32"/>
          <w:u w:val="single"/>
        </w:rPr>
        <w:t>77.23</w:t>
      </w:r>
      <w:r>
        <w:rPr>
          <w:rFonts w:eastAsia="仿宋_GB2312"/>
          <w:sz w:val="32"/>
          <w:szCs w:val="32"/>
        </w:rPr>
        <w:t>万元，占</w:t>
      </w:r>
      <w:r>
        <w:rPr>
          <w:rFonts w:eastAsia="仿宋_GB2312"/>
          <w:sz w:val="32"/>
          <w:szCs w:val="32"/>
          <w:u w:val="single"/>
        </w:rPr>
        <w:t>9.67</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上年结转结余的政府性基金预算收入</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上年结转结余的国有资本经营预算收入</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上年结转结余的财政专户管理资金</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上年结转结余的单位资金</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drawing>
          <wp:anchor distT="0" distB="0" distL="114300" distR="114300" simplePos="0" relativeHeight="251663360" behindDoc="0" locked="0" layoutInCell="1" allowOverlap="1">
            <wp:simplePos x="0" y="0"/>
            <wp:positionH relativeFrom="column">
              <wp:posOffset>774700</wp:posOffset>
            </wp:positionH>
            <wp:positionV relativeFrom="paragraph">
              <wp:posOffset>6350</wp:posOffset>
            </wp:positionV>
            <wp:extent cx="4584700" cy="2749550"/>
            <wp:effectExtent l="0" t="0" r="6350" b="0"/>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584700" cy="2749550"/>
                    </a:xfrm>
                    <a:prstGeom prst="rect">
                      <a:avLst/>
                    </a:prstGeom>
                    <a:noFill/>
                  </pic:spPr>
                </pic:pic>
              </a:graphicData>
            </a:graphic>
          </wp:anchor>
        </w:drawing>
      </w: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spacing w:line="600" w:lineRule="exact"/>
        <w:ind w:firstLine="640" w:firstLineChars="200"/>
        <w:outlineLvl w:val="0"/>
        <w:rPr>
          <w:rFonts w:eastAsia="黑体" w:cs="黑体"/>
          <w:sz w:val="32"/>
          <w:szCs w:val="36"/>
        </w:rPr>
      </w:pPr>
      <w:r>
        <w:rPr>
          <w:rFonts w:hint="eastAsia" w:eastAsia="黑体" w:cs="黑体"/>
          <w:sz w:val="32"/>
          <w:szCs w:val="36"/>
        </w:rPr>
        <w:t>三、支出预算情况说明</w:t>
      </w:r>
    </w:p>
    <w:p>
      <w:pPr>
        <w:pStyle w:val="12"/>
        <w:tabs>
          <w:tab w:val="left" w:pos="2671"/>
          <w:tab w:val="left" w:pos="5000"/>
          <w:tab w:val="left" w:pos="6190"/>
        </w:tabs>
        <w:spacing w:after="0" w:line="600" w:lineRule="exact"/>
        <w:ind w:firstLine="640" w:firstLineChars="200"/>
        <w:rPr>
          <w:rFonts w:eastAsia="仿宋_GB2312"/>
          <w:sz w:val="32"/>
          <w:szCs w:val="32"/>
        </w:rPr>
      </w:pPr>
      <w:r>
        <w:rPr>
          <w:rFonts w:hint="eastAsia" w:eastAsia="仿宋_GB2312"/>
          <w:sz w:val="32"/>
          <w:szCs w:val="32"/>
          <w:u w:val="single"/>
        </w:rPr>
        <w:t>锡林郭勒盟</w:t>
      </w:r>
      <w:r>
        <w:rPr>
          <w:rFonts w:eastAsia="仿宋_GB2312"/>
          <w:sz w:val="32"/>
          <w:szCs w:val="32"/>
          <w:u w:val="single"/>
        </w:rPr>
        <w:t>统计局单位</w:t>
      </w:r>
      <w:r>
        <w:rPr>
          <w:rFonts w:eastAsia="仿宋_GB2312"/>
          <w:sz w:val="32"/>
          <w:szCs w:val="32"/>
        </w:rPr>
        <w:t>2026年支出预算合计</w:t>
      </w:r>
      <w:r>
        <w:rPr>
          <w:rFonts w:eastAsia="仿宋_GB2312"/>
          <w:sz w:val="32"/>
          <w:szCs w:val="32"/>
          <w:u w:val="single"/>
        </w:rPr>
        <w:t>799.06</w:t>
      </w:r>
      <w:r>
        <w:rPr>
          <w:rFonts w:eastAsia="仿宋_GB2312"/>
          <w:sz w:val="32"/>
          <w:szCs w:val="32"/>
        </w:rPr>
        <w:t>万元，其中：</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基本支出</w:t>
      </w:r>
      <w:r>
        <w:rPr>
          <w:rFonts w:eastAsia="仿宋_GB2312"/>
          <w:sz w:val="32"/>
          <w:szCs w:val="32"/>
          <w:u w:val="single"/>
        </w:rPr>
        <w:t>529.33</w:t>
      </w:r>
      <w:r>
        <w:rPr>
          <w:rFonts w:eastAsia="仿宋_GB2312"/>
          <w:sz w:val="32"/>
          <w:szCs w:val="32"/>
        </w:rPr>
        <w:t>万元，占</w:t>
      </w:r>
      <w:r>
        <w:rPr>
          <w:rFonts w:eastAsia="仿宋_GB2312"/>
          <w:sz w:val="32"/>
          <w:szCs w:val="32"/>
          <w:u w:val="single"/>
        </w:rPr>
        <w:t>66.24</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项目支出</w:t>
      </w:r>
      <w:r>
        <w:rPr>
          <w:rFonts w:eastAsia="仿宋_GB2312"/>
          <w:sz w:val="32"/>
          <w:szCs w:val="32"/>
          <w:u w:val="single"/>
        </w:rPr>
        <w:t>269.73</w:t>
      </w:r>
      <w:r>
        <w:rPr>
          <w:rFonts w:eastAsia="仿宋_GB2312"/>
          <w:sz w:val="32"/>
          <w:szCs w:val="32"/>
        </w:rPr>
        <w:t>万元，占</w:t>
      </w:r>
      <w:r>
        <w:rPr>
          <w:rFonts w:eastAsia="仿宋_GB2312"/>
          <w:sz w:val="32"/>
          <w:szCs w:val="32"/>
          <w:u w:val="single"/>
        </w:rPr>
        <w:t>33.76</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ascii="仿宋" w:hAnsi="仿宋" w:eastAsia="仿宋" w:cs="仿宋"/>
          <w:sz w:val="32"/>
          <w:szCs w:val="32"/>
        </w:rPr>
      </w:pPr>
      <w:r>
        <w:rPr>
          <w:rFonts w:eastAsia="仿宋_GB2312"/>
          <w:sz w:val="32"/>
          <w:szCs w:val="32"/>
        </w:rPr>
        <w:t>事业单位经营支出</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上缴上级支出</w:t>
      </w:r>
      <w:r>
        <w:rPr>
          <w:rFonts w:eastAsia="仿宋_GB2312"/>
          <w:sz w:val="32"/>
          <w:szCs w:val="32"/>
          <w:u w:val="single"/>
        </w:rPr>
        <w:tab/>
      </w:r>
      <w:r>
        <w:rPr>
          <w:rFonts w:hint="eastAsia" w:eastAsia="仿宋_GB2312"/>
          <w:sz w:val="32"/>
          <w:szCs w:val="32"/>
          <w:u w:val="single"/>
        </w:rPr>
        <w:t>0</w:t>
      </w:r>
      <w:r>
        <w:rPr>
          <w:rFonts w:eastAsia="仿宋_GB2312"/>
          <w:sz w:val="32"/>
          <w:szCs w:val="32"/>
        </w:rPr>
        <w:t>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对附属单位补助支出</w:t>
      </w:r>
      <w:r>
        <w:rPr>
          <w:rFonts w:eastAsia="仿宋_GB2312"/>
          <w:sz w:val="32"/>
          <w:szCs w:val="32"/>
          <w:u w:val="single"/>
        </w:rPr>
        <w:t>0</w:t>
      </w:r>
      <w:r>
        <w:rPr>
          <w:rFonts w:eastAsia="仿宋_GB2312"/>
          <w:sz w:val="32"/>
          <w:szCs w:val="32"/>
        </w:rPr>
        <w:t>万元，占</w:t>
      </w:r>
      <w:r>
        <w:rPr>
          <w:rFonts w:eastAsia="仿宋_GB2312"/>
          <w:sz w:val="32"/>
          <w:szCs w:val="32"/>
          <w:u w:val="single"/>
        </w:rPr>
        <w:t>0</w:t>
      </w:r>
      <w:r>
        <w:rPr>
          <w:rFonts w:eastAsia="仿宋_GB2312"/>
          <w:sz w:val="32"/>
          <w:szCs w:val="32"/>
        </w:rPr>
        <w:t>%。</w:t>
      </w: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drawing>
          <wp:anchor distT="0" distB="0" distL="114300" distR="114300" simplePos="0" relativeHeight="251658240" behindDoc="0" locked="0" layoutInCell="1" allowOverlap="1">
            <wp:simplePos x="0" y="0"/>
            <wp:positionH relativeFrom="column">
              <wp:posOffset>695325</wp:posOffset>
            </wp:positionH>
            <wp:positionV relativeFrom="paragraph">
              <wp:posOffset>-1905</wp:posOffset>
            </wp:positionV>
            <wp:extent cx="4584700" cy="2749550"/>
            <wp:effectExtent l="0" t="0" r="6350"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4584700" cy="2749550"/>
                    </a:xfrm>
                    <a:prstGeom prst="rect">
                      <a:avLst/>
                    </a:prstGeom>
                    <a:noFill/>
                  </pic:spPr>
                </pic:pic>
              </a:graphicData>
            </a:graphic>
          </wp:anchor>
        </w:drawing>
      </w: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pStyle w:val="12"/>
        <w:tabs>
          <w:tab w:val="left" w:pos="2671"/>
          <w:tab w:val="left" w:pos="5000"/>
          <w:tab w:val="left" w:pos="6190"/>
        </w:tabs>
        <w:spacing w:after="0" w:line="600" w:lineRule="exact"/>
        <w:ind w:firstLine="640" w:firstLineChars="200"/>
        <w:rPr>
          <w:rFonts w:eastAsia="仿宋_GB2312"/>
          <w:sz w:val="32"/>
          <w:szCs w:val="32"/>
        </w:rPr>
      </w:pPr>
    </w:p>
    <w:p>
      <w:pPr>
        <w:spacing w:line="600" w:lineRule="exact"/>
        <w:ind w:firstLine="640" w:firstLineChars="200"/>
        <w:outlineLvl w:val="0"/>
        <w:rPr>
          <w:rFonts w:eastAsia="黑体" w:cs="黑体"/>
          <w:sz w:val="32"/>
          <w:szCs w:val="36"/>
        </w:rPr>
      </w:pPr>
      <w:r>
        <w:rPr>
          <w:rFonts w:hint="eastAsia" w:eastAsia="黑体" w:cs="黑体"/>
          <w:sz w:val="32"/>
          <w:szCs w:val="36"/>
        </w:rPr>
        <w:t>四、财政拨款收支预算总体情况说明</w:t>
      </w:r>
    </w:p>
    <w:p>
      <w:pPr>
        <w:pStyle w:val="12"/>
        <w:tabs>
          <w:tab w:val="left" w:pos="3288"/>
          <w:tab w:val="left" w:pos="5641"/>
          <w:tab w:val="left" w:pos="6778"/>
        </w:tabs>
        <w:spacing w:after="0" w:line="600" w:lineRule="exact"/>
        <w:ind w:firstLine="640" w:firstLineChars="200"/>
        <w:rPr>
          <w:rFonts w:ascii="仿宋_GB2312" w:eastAsia="仿宋_GB2312"/>
          <w:sz w:val="32"/>
          <w:szCs w:val="32"/>
        </w:rPr>
      </w:pPr>
      <w:r>
        <w:rPr>
          <w:rFonts w:hint="eastAsia" w:eastAsia="仿宋_GB2312"/>
          <w:sz w:val="32"/>
          <w:szCs w:val="32"/>
          <w:u w:val="single"/>
        </w:rPr>
        <w:t>锡林郭勒盟</w:t>
      </w:r>
      <w:r>
        <w:rPr>
          <w:rFonts w:eastAsia="仿宋_GB2312"/>
          <w:sz w:val="32"/>
          <w:szCs w:val="32"/>
          <w:u w:val="single"/>
        </w:rPr>
        <w:t>统计局单位</w:t>
      </w:r>
      <w:r>
        <w:rPr>
          <w:rFonts w:eastAsia="仿宋_GB2312"/>
          <w:sz w:val="32"/>
          <w:szCs w:val="32"/>
        </w:rPr>
        <w:t>2026年度财政拨款收、支总预算</w:t>
      </w:r>
      <w:r>
        <w:rPr>
          <w:rFonts w:eastAsia="仿宋_GB2312"/>
          <w:sz w:val="32"/>
          <w:szCs w:val="32"/>
          <w:u w:val="single"/>
        </w:rPr>
        <w:t>799.06</w:t>
      </w:r>
      <w:r>
        <w:rPr>
          <w:rFonts w:eastAsia="仿宋_GB2312"/>
          <w:sz w:val="32"/>
          <w:szCs w:val="32"/>
        </w:rPr>
        <w:t>万元。与上年相比，财政拨款收、支总计各增加</w:t>
      </w:r>
      <w:r>
        <w:rPr>
          <w:rFonts w:eastAsia="仿宋_GB2312"/>
          <w:sz w:val="32"/>
          <w:szCs w:val="32"/>
          <w:u w:val="single"/>
        </w:rPr>
        <w:t>51.76</w:t>
      </w:r>
      <w:r>
        <w:rPr>
          <w:rFonts w:eastAsia="仿宋_GB2312"/>
          <w:sz w:val="32"/>
          <w:szCs w:val="32"/>
        </w:rPr>
        <w:t>万元，增长</w:t>
      </w:r>
      <w:r>
        <w:rPr>
          <w:rFonts w:eastAsia="仿宋_GB2312"/>
          <w:sz w:val="32"/>
          <w:szCs w:val="32"/>
          <w:u w:val="single"/>
        </w:rPr>
        <w:t>6.93</w:t>
      </w:r>
      <w:r>
        <w:rPr>
          <w:rFonts w:eastAsia="仿宋_GB2312"/>
          <w:sz w:val="32"/>
          <w:szCs w:val="32"/>
        </w:rPr>
        <w:t>%。主要原因</w:t>
      </w:r>
      <w:r>
        <w:rPr>
          <w:rFonts w:hint="eastAsia" w:eastAsia="仿宋_GB2312"/>
          <w:sz w:val="32"/>
          <w:szCs w:val="32"/>
        </w:rPr>
        <w:t>一是公务费</w:t>
      </w:r>
      <w:r>
        <w:rPr>
          <w:rFonts w:eastAsia="仿宋_GB2312"/>
          <w:sz w:val="32"/>
          <w:szCs w:val="32"/>
        </w:rPr>
        <w:t>定额标准增加，公用经费增加，</w:t>
      </w:r>
      <w:r>
        <w:rPr>
          <w:rFonts w:hint="eastAsia" w:eastAsia="仿宋_GB2312"/>
          <w:sz w:val="32"/>
          <w:szCs w:val="32"/>
        </w:rPr>
        <w:t>二是2026年</w:t>
      </w:r>
      <w:r>
        <w:rPr>
          <w:rFonts w:eastAsia="仿宋_GB2312"/>
          <w:sz w:val="32"/>
          <w:szCs w:val="32"/>
        </w:rPr>
        <w:t>开展第四次全国农业普查工作，项目经费增加</w:t>
      </w:r>
      <w:r>
        <w:rPr>
          <w:rFonts w:hint="eastAsia" w:eastAsia="仿宋_GB2312"/>
          <w:sz w:val="32"/>
          <w:szCs w:val="32"/>
        </w:rPr>
        <w:t>，</w:t>
      </w:r>
      <w:r>
        <w:rPr>
          <w:rFonts w:eastAsia="仿宋_GB2312"/>
          <w:sz w:val="32"/>
          <w:szCs w:val="32"/>
        </w:rPr>
        <w:t>三</w:t>
      </w:r>
      <w:r>
        <w:rPr>
          <w:rFonts w:hint="eastAsia" w:eastAsia="仿宋_GB2312"/>
          <w:sz w:val="32"/>
          <w:szCs w:val="32"/>
        </w:rPr>
        <w:t>是增加</w:t>
      </w:r>
      <w:r>
        <w:rPr>
          <w:rFonts w:eastAsia="仿宋_GB2312"/>
          <w:sz w:val="32"/>
          <w:szCs w:val="32"/>
        </w:rPr>
        <w:t>上年结转</w:t>
      </w:r>
      <w:r>
        <w:rPr>
          <w:rFonts w:hint="eastAsia" w:eastAsia="仿宋_GB2312"/>
          <w:sz w:val="32"/>
          <w:szCs w:val="32"/>
        </w:rPr>
        <w:t>的</w:t>
      </w:r>
      <w:r>
        <w:rPr>
          <w:rFonts w:hint="eastAsia" w:ascii="仿宋_GB2312" w:eastAsia="仿宋_GB2312"/>
          <w:sz w:val="32"/>
          <w:szCs w:val="32"/>
        </w:rPr>
        <w:t>第五次全国经济普查相关</w:t>
      </w:r>
      <w:r>
        <w:rPr>
          <w:rFonts w:ascii="仿宋_GB2312" w:eastAsia="仿宋_GB2312"/>
          <w:sz w:val="32"/>
          <w:szCs w:val="32"/>
        </w:rPr>
        <w:t>课题研究</w:t>
      </w:r>
      <w:r>
        <w:rPr>
          <w:rFonts w:hint="eastAsia" w:ascii="仿宋_GB2312" w:eastAsia="仿宋_GB2312"/>
          <w:sz w:val="32"/>
          <w:szCs w:val="32"/>
        </w:rPr>
        <w:t>工作</w:t>
      </w:r>
      <w:r>
        <w:rPr>
          <w:rFonts w:ascii="仿宋_GB2312" w:eastAsia="仿宋_GB2312"/>
          <w:sz w:val="32"/>
          <w:szCs w:val="32"/>
        </w:rPr>
        <w:t>的</w:t>
      </w:r>
      <w:r>
        <w:rPr>
          <w:rFonts w:hint="eastAsia" w:ascii="仿宋_GB2312" w:eastAsia="仿宋_GB2312"/>
          <w:sz w:val="32"/>
          <w:szCs w:val="32"/>
        </w:rPr>
        <w:t>经费</w:t>
      </w:r>
      <w:r>
        <w:rPr>
          <w:rFonts w:eastAsia="仿宋_GB2312"/>
          <w:sz w:val="32"/>
          <w:szCs w:val="32"/>
        </w:rPr>
        <w:t>。</w:t>
      </w:r>
    </w:p>
    <w:p>
      <w:pPr>
        <w:spacing w:line="600" w:lineRule="exact"/>
        <w:ind w:firstLine="640" w:firstLineChars="200"/>
        <w:outlineLvl w:val="0"/>
        <w:rPr>
          <w:rFonts w:eastAsia="黑体" w:cs="黑体"/>
          <w:sz w:val="32"/>
          <w:szCs w:val="36"/>
        </w:rPr>
      </w:pPr>
      <w:r>
        <w:rPr>
          <w:rFonts w:hint="eastAsia" w:eastAsia="黑体" w:cs="黑体"/>
          <w:sz w:val="32"/>
          <w:szCs w:val="36"/>
        </w:rPr>
        <w:t>五、一般公共预算支出预算情况说明</w:t>
      </w:r>
    </w:p>
    <w:p>
      <w:pPr>
        <w:pStyle w:val="12"/>
        <w:tabs>
          <w:tab w:val="left" w:pos="2671"/>
          <w:tab w:val="left" w:pos="5000"/>
          <w:tab w:val="left" w:pos="6190"/>
        </w:tabs>
        <w:spacing w:after="0" w:line="600" w:lineRule="exact"/>
        <w:ind w:firstLine="640" w:firstLineChars="200"/>
        <w:rPr>
          <w:rFonts w:eastAsia="仿宋_GB2312"/>
          <w:sz w:val="32"/>
          <w:szCs w:val="32"/>
        </w:rPr>
      </w:pPr>
      <w:r>
        <w:rPr>
          <w:rFonts w:hint="eastAsia" w:eastAsia="仿宋_GB2312"/>
          <w:sz w:val="32"/>
          <w:szCs w:val="32"/>
          <w:u w:val="single"/>
        </w:rPr>
        <w:t>锡林郭勒盟统计局</w:t>
      </w:r>
      <w:r>
        <w:rPr>
          <w:rFonts w:eastAsia="仿宋_GB2312"/>
          <w:sz w:val="32"/>
          <w:szCs w:val="32"/>
          <w:u w:val="single"/>
        </w:rPr>
        <w:t>单位</w:t>
      </w:r>
      <w:r>
        <w:rPr>
          <w:rFonts w:eastAsia="仿宋_GB2312"/>
          <w:sz w:val="32"/>
          <w:szCs w:val="32"/>
        </w:rPr>
        <w:t>2026年一般公共预算财政拨款支出预算</w:t>
      </w:r>
      <w:r>
        <w:rPr>
          <w:rFonts w:eastAsia="仿宋_GB2312"/>
          <w:sz w:val="32"/>
          <w:szCs w:val="32"/>
          <w:u w:val="single"/>
        </w:rPr>
        <w:t xml:space="preserve">     799.06</w:t>
      </w:r>
      <w:r>
        <w:rPr>
          <w:rFonts w:eastAsia="仿宋_GB2312"/>
          <w:sz w:val="32"/>
          <w:szCs w:val="32"/>
        </w:rPr>
        <w:t>万元，与上年相比增加</w:t>
      </w:r>
      <w:r>
        <w:rPr>
          <w:rFonts w:eastAsia="仿宋_GB2312"/>
          <w:sz w:val="32"/>
          <w:szCs w:val="32"/>
          <w:u w:val="single"/>
        </w:rPr>
        <w:t>51.76</w:t>
      </w:r>
      <w:r>
        <w:rPr>
          <w:rFonts w:eastAsia="仿宋_GB2312"/>
          <w:sz w:val="32"/>
          <w:szCs w:val="32"/>
        </w:rPr>
        <w:t>万元，增长</w:t>
      </w:r>
      <w:r>
        <w:rPr>
          <w:rFonts w:eastAsia="仿宋_GB2312"/>
          <w:sz w:val="32"/>
          <w:szCs w:val="32"/>
          <w:u w:val="single"/>
        </w:rPr>
        <w:t>6.93</w:t>
      </w:r>
      <w:r>
        <w:rPr>
          <w:rFonts w:eastAsia="仿宋_GB2312"/>
          <w:sz w:val="32"/>
          <w:szCs w:val="32"/>
        </w:rPr>
        <w:t>%。主要原因</w:t>
      </w:r>
      <w:r>
        <w:rPr>
          <w:rFonts w:hint="eastAsia" w:eastAsia="仿宋_GB2312"/>
          <w:sz w:val="32"/>
          <w:szCs w:val="32"/>
        </w:rPr>
        <w:t>一是公务费</w:t>
      </w:r>
      <w:r>
        <w:rPr>
          <w:rFonts w:eastAsia="仿宋_GB2312"/>
          <w:sz w:val="32"/>
          <w:szCs w:val="32"/>
        </w:rPr>
        <w:t>定额标准增加，公用经费增加，</w:t>
      </w:r>
      <w:r>
        <w:rPr>
          <w:rFonts w:hint="eastAsia" w:eastAsia="仿宋_GB2312"/>
          <w:sz w:val="32"/>
          <w:szCs w:val="32"/>
        </w:rPr>
        <w:t>二是2026年</w:t>
      </w:r>
      <w:r>
        <w:rPr>
          <w:rFonts w:eastAsia="仿宋_GB2312"/>
          <w:sz w:val="32"/>
          <w:szCs w:val="32"/>
        </w:rPr>
        <w:t>开展第四次全国农业普查工作，项目经费增加</w:t>
      </w:r>
      <w:r>
        <w:rPr>
          <w:rFonts w:hint="eastAsia" w:eastAsia="仿宋_GB2312"/>
          <w:sz w:val="32"/>
          <w:szCs w:val="32"/>
        </w:rPr>
        <w:t>，</w:t>
      </w:r>
      <w:r>
        <w:rPr>
          <w:rFonts w:eastAsia="仿宋_GB2312"/>
          <w:sz w:val="32"/>
          <w:szCs w:val="32"/>
        </w:rPr>
        <w:t>三</w:t>
      </w:r>
      <w:r>
        <w:rPr>
          <w:rFonts w:hint="eastAsia" w:eastAsia="仿宋_GB2312"/>
          <w:sz w:val="32"/>
          <w:szCs w:val="32"/>
        </w:rPr>
        <w:t>是增加</w:t>
      </w:r>
      <w:r>
        <w:rPr>
          <w:rFonts w:eastAsia="仿宋_GB2312"/>
          <w:sz w:val="32"/>
          <w:szCs w:val="32"/>
        </w:rPr>
        <w:t>上年结转</w:t>
      </w:r>
      <w:r>
        <w:rPr>
          <w:rFonts w:hint="eastAsia" w:eastAsia="仿宋_GB2312"/>
          <w:sz w:val="32"/>
          <w:szCs w:val="32"/>
        </w:rPr>
        <w:t>的</w:t>
      </w:r>
      <w:r>
        <w:rPr>
          <w:rFonts w:hint="eastAsia" w:ascii="仿宋_GB2312" w:eastAsia="仿宋_GB2312"/>
          <w:sz w:val="32"/>
          <w:szCs w:val="32"/>
        </w:rPr>
        <w:t>第五次全国经济普查相关</w:t>
      </w:r>
      <w:r>
        <w:rPr>
          <w:rFonts w:ascii="仿宋_GB2312" w:eastAsia="仿宋_GB2312"/>
          <w:sz w:val="32"/>
          <w:szCs w:val="32"/>
        </w:rPr>
        <w:t>课题研究</w:t>
      </w:r>
      <w:r>
        <w:rPr>
          <w:rFonts w:hint="eastAsia" w:ascii="仿宋_GB2312" w:eastAsia="仿宋_GB2312"/>
          <w:sz w:val="32"/>
          <w:szCs w:val="32"/>
        </w:rPr>
        <w:t>工作</w:t>
      </w:r>
      <w:r>
        <w:rPr>
          <w:rFonts w:ascii="仿宋_GB2312" w:eastAsia="仿宋_GB2312"/>
          <w:sz w:val="32"/>
          <w:szCs w:val="32"/>
        </w:rPr>
        <w:t>的</w:t>
      </w:r>
      <w:r>
        <w:rPr>
          <w:rFonts w:hint="eastAsia" w:ascii="仿宋_GB2312" w:eastAsia="仿宋_GB2312"/>
          <w:sz w:val="32"/>
          <w:szCs w:val="32"/>
        </w:rPr>
        <w:t>经费</w:t>
      </w:r>
      <w:r>
        <w:rPr>
          <w:rFonts w:eastAsia="仿宋_GB2312"/>
          <w:sz w:val="32"/>
          <w:szCs w:val="32"/>
        </w:rPr>
        <w:t>。</w:t>
      </w:r>
    </w:p>
    <w:p>
      <w:pPr>
        <w:pStyle w:val="12"/>
        <w:tabs>
          <w:tab w:val="left" w:pos="4275"/>
        </w:tabs>
        <w:spacing w:after="0" w:line="600" w:lineRule="exact"/>
        <w:ind w:firstLine="643" w:firstLineChars="200"/>
        <w:rPr>
          <w:rFonts w:ascii="楷体" w:hAnsi="楷体" w:eastAsia="楷体" w:cs="楷体"/>
          <w:b/>
          <w:bCs/>
          <w:sz w:val="32"/>
          <w:szCs w:val="32"/>
        </w:rPr>
      </w:pPr>
      <w:r>
        <w:rPr>
          <w:rFonts w:hint="eastAsia" w:ascii="楷体" w:hAnsi="楷体" w:eastAsia="楷体" w:cs="楷体"/>
          <w:b/>
          <w:bCs/>
          <w:sz w:val="32"/>
          <w:szCs w:val="32"/>
        </w:rPr>
        <w:t>（一）一般公共服务（类）</w:t>
      </w:r>
    </w:p>
    <w:p>
      <w:pPr>
        <w:adjustRightInd w:val="0"/>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1.统计信息事务（款）行政运行（项）。年初预算</w:t>
      </w:r>
      <w:r>
        <w:rPr>
          <w:rFonts w:ascii="仿宋_GB2312" w:hAnsi="仿宋" w:eastAsia="仿宋_GB2312"/>
          <w:sz w:val="32"/>
          <w:szCs w:val="32"/>
          <w:u w:val="single"/>
        </w:rPr>
        <w:t>389.24</w:t>
      </w:r>
      <w:r>
        <w:rPr>
          <w:rFonts w:hint="eastAsia" w:ascii="仿宋_GB2312" w:hAnsi="仿宋" w:eastAsia="仿宋_GB2312"/>
          <w:sz w:val="32"/>
          <w:szCs w:val="32"/>
        </w:rPr>
        <w:t>万元，与上年相比增加</w:t>
      </w:r>
      <w:r>
        <w:rPr>
          <w:rFonts w:ascii="仿宋_GB2312" w:hAnsi="仿宋" w:eastAsia="仿宋_GB2312"/>
          <w:sz w:val="32"/>
          <w:szCs w:val="32"/>
          <w:u w:val="single"/>
        </w:rPr>
        <w:t>24.8</w:t>
      </w:r>
      <w:r>
        <w:rPr>
          <w:rFonts w:hint="eastAsia" w:ascii="仿宋_GB2312" w:hAnsi="仿宋" w:eastAsia="仿宋_GB2312"/>
          <w:sz w:val="32"/>
          <w:szCs w:val="32"/>
        </w:rPr>
        <w:t>万元，增长</w:t>
      </w:r>
      <w:r>
        <w:rPr>
          <w:rFonts w:ascii="仿宋_GB2312" w:hAnsi="仿宋" w:eastAsia="仿宋_GB2312"/>
          <w:sz w:val="32"/>
          <w:szCs w:val="32"/>
          <w:u w:val="single"/>
        </w:rPr>
        <w:t>6.8</w:t>
      </w:r>
      <w:r>
        <w:rPr>
          <w:rFonts w:hint="eastAsia" w:ascii="仿宋_GB2312" w:hAnsi="仿宋" w:eastAsia="仿宋_GB2312"/>
          <w:sz w:val="32"/>
          <w:szCs w:val="32"/>
        </w:rPr>
        <w:t>%，变动原因一是</w:t>
      </w:r>
      <w:r>
        <w:rPr>
          <w:rFonts w:hint="eastAsia" w:eastAsia="仿宋_GB2312"/>
          <w:sz w:val="32"/>
          <w:szCs w:val="32"/>
        </w:rPr>
        <w:t>公务费</w:t>
      </w:r>
      <w:r>
        <w:rPr>
          <w:rFonts w:eastAsia="仿宋_GB2312"/>
          <w:sz w:val="32"/>
          <w:szCs w:val="32"/>
        </w:rPr>
        <w:t>定额标准增加，公用经费增加，</w:t>
      </w:r>
      <w:r>
        <w:rPr>
          <w:rFonts w:hint="eastAsia" w:eastAsia="仿宋_GB2312"/>
          <w:sz w:val="32"/>
          <w:szCs w:val="32"/>
        </w:rPr>
        <w:t>二是在职人员多人</w:t>
      </w:r>
      <w:r>
        <w:rPr>
          <w:rFonts w:eastAsia="仿宋_GB2312"/>
          <w:sz w:val="32"/>
          <w:szCs w:val="32"/>
        </w:rPr>
        <w:t>职务变动，工资增加</w:t>
      </w:r>
      <w:r>
        <w:rPr>
          <w:rFonts w:hint="eastAsia" w:ascii="仿宋_GB2312" w:hAnsi="仿宋" w:eastAsia="仿宋_GB2312"/>
          <w:sz w:val="32"/>
          <w:szCs w:val="32"/>
        </w:rPr>
        <w:t>。</w:t>
      </w:r>
    </w:p>
    <w:p>
      <w:pPr>
        <w:adjustRightInd w:val="0"/>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2.统计信息事务（款）专项统计业务（项）。年初预算</w:t>
      </w:r>
      <w:r>
        <w:rPr>
          <w:rFonts w:ascii="仿宋_GB2312" w:hAnsi="仿宋" w:eastAsia="仿宋_GB2312"/>
          <w:sz w:val="32"/>
          <w:szCs w:val="32"/>
          <w:u w:val="single"/>
        </w:rPr>
        <w:t>26.58</w:t>
      </w:r>
      <w:r>
        <w:rPr>
          <w:rFonts w:hint="eastAsia" w:ascii="仿宋_GB2312" w:hAnsi="仿宋" w:eastAsia="仿宋_GB2312"/>
          <w:sz w:val="32"/>
          <w:szCs w:val="32"/>
        </w:rPr>
        <w:t>万元，与上年相比增加</w:t>
      </w:r>
      <w:r>
        <w:rPr>
          <w:rFonts w:ascii="仿宋_GB2312" w:hAnsi="仿宋" w:eastAsia="仿宋_GB2312"/>
          <w:sz w:val="32"/>
          <w:szCs w:val="32"/>
          <w:u w:val="single"/>
        </w:rPr>
        <w:t>4.99</w:t>
      </w:r>
      <w:r>
        <w:rPr>
          <w:rFonts w:hint="eastAsia" w:ascii="仿宋_GB2312" w:hAnsi="仿宋" w:eastAsia="仿宋_GB2312"/>
          <w:sz w:val="32"/>
          <w:szCs w:val="32"/>
        </w:rPr>
        <w:t>万元，增长</w:t>
      </w:r>
      <w:r>
        <w:rPr>
          <w:rFonts w:ascii="仿宋_GB2312" w:hAnsi="仿宋" w:eastAsia="仿宋_GB2312"/>
          <w:sz w:val="32"/>
          <w:szCs w:val="32"/>
          <w:u w:val="single"/>
        </w:rPr>
        <w:t>23.11</w:t>
      </w:r>
      <w:r>
        <w:rPr>
          <w:rFonts w:hint="eastAsia" w:ascii="仿宋_GB2312" w:hAnsi="仿宋" w:eastAsia="仿宋_GB2312"/>
          <w:sz w:val="32"/>
          <w:szCs w:val="32"/>
        </w:rPr>
        <w:t>%，变动原因是因统计</w:t>
      </w:r>
      <w:r>
        <w:rPr>
          <w:rFonts w:ascii="仿宋_GB2312" w:hAnsi="仿宋" w:eastAsia="仿宋_GB2312"/>
          <w:sz w:val="32"/>
          <w:szCs w:val="32"/>
        </w:rPr>
        <w:t>业务工作需要</w:t>
      </w:r>
      <w:r>
        <w:rPr>
          <w:rFonts w:hint="eastAsia" w:ascii="仿宋_GB2312" w:hAnsi="仿宋" w:eastAsia="仿宋_GB2312"/>
          <w:sz w:val="32"/>
          <w:szCs w:val="32"/>
        </w:rPr>
        <w:t>，综合统计业务经费</w:t>
      </w:r>
      <w:r>
        <w:rPr>
          <w:rFonts w:ascii="仿宋_GB2312" w:hAnsi="仿宋" w:eastAsia="仿宋_GB2312"/>
          <w:sz w:val="32"/>
          <w:szCs w:val="32"/>
        </w:rPr>
        <w:t>较上年增加</w:t>
      </w:r>
      <w:r>
        <w:rPr>
          <w:rFonts w:hint="eastAsia" w:ascii="仿宋_GB2312" w:hAnsi="仿宋" w:eastAsia="仿宋_GB2312"/>
          <w:sz w:val="32"/>
          <w:szCs w:val="32"/>
        </w:rPr>
        <w:t>。</w:t>
      </w:r>
    </w:p>
    <w:p>
      <w:pPr>
        <w:adjustRightInd w:val="0"/>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3.统计信息事务（款）统计管理（项）。年初预算</w:t>
      </w:r>
      <w:r>
        <w:rPr>
          <w:rFonts w:ascii="仿宋_GB2312" w:hAnsi="仿宋" w:eastAsia="仿宋_GB2312"/>
          <w:sz w:val="32"/>
          <w:szCs w:val="32"/>
          <w:u w:val="single"/>
        </w:rPr>
        <w:t>15.35</w:t>
      </w:r>
      <w:r>
        <w:rPr>
          <w:rFonts w:hint="eastAsia" w:ascii="仿宋_GB2312" w:hAnsi="仿宋" w:eastAsia="仿宋_GB2312"/>
          <w:sz w:val="32"/>
          <w:szCs w:val="32"/>
        </w:rPr>
        <w:t>万元，与上年相比减少</w:t>
      </w:r>
      <w:r>
        <w:rPr>
          <w:rFonts w:ascii="仿宋_GB2312" w:hAnsi="仿宋" w:eastAsia="仿宋_GB2312"/>
          <w:sz w:val="32"/>
          <w:szCs w:val="32"/>
          <w:u w:val="single"/>
        </w:rPr>
        <w:t>11.86</w:t>
      </w:r>
      <w:r>
        <w:rPr>
          <w:rFonts w:hint="eastAsia" w:ascii="仿宋_GB2312" w:hAnsi="仿宋" w:eastAsia="仿宋_GB2312"/>
          <w:sz w:val="32"/>
          <w:szCs w:val="32"/>
        </w:rPr>
        <w:t>万元，减少</w:t>
      </w:r>
      <w:r>
        <w:rPr>
          <w:rFonts w:ascii="仿宋_GB2312" w:hAnsi="仿宋" w:eastAsia="仿宋_GB2312"/>
          <w:sz w:val="32"/>
          <w:szCs w:val="32"/>
          <w:u w:val="single"/>
        </w:rPr>
        <w:t>43.59</w:t>
      </w:r>
      <w:r>
        <w:rPr>
          <w:rFonts w:hint="eastAsia" w:ascii="仿宋_GB2312" w:hAnsi="仿宋" w:eastAsia="仿宋_GB2312"/>
          <w:sz w:val="32"/>
          <w:szCs w:val="32"/>
        </w:rPr>
        <w:t>%，变动原因是减少了“统计系统网络安全等级保护评定经费”。</w:t>
      </w:r>
    </w:p>
    <w:p>
      <w:pPr>
        <w:adjustRightInd w:val="0"/>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4.统计信息事务（款）专项普查活动（项）。年初预算</w:t>
      </w:r>
      <w:r>
        <w:rPr>
          <w:rFonts w:hint="eastAsia" w:ascii="仿宋_GB2312" w:hAnsi="仿宋" w:eastAsia="仿宋_GB2312"/>
          <w:sz w:val="32"/>
          <w:szCs w:val="32"/>
          <w:u w:val="single"/>
        </w:rPr>
        <w:t>140.07</w:t>
      </w:r>
      <w:r>
        <w:rPr>
          <w:rFonts w:hint="eastAsia" w:ascii="仿宋_GB2312" w:hAnsi="仿宋" w:eastAsia="仿宋_GB2312"/>
          <w:sz w:val="32"/>
          <w:szCs w:val="32"/>
        </w:rPr>
        <w:t>万元，与上年相比增加</w:t>
      </w:r>
      <w:r>
        <w:rPr>
          <w:rFonts w:ascii="仿宋_GB2312" w:hAnsi="仿宋" w:eastAsia="仿宋_GB2312"/>
          <w:sz w:val="32"/>
          <w:szCs w:val="32"/>
          <w:u w:val="single"/>
        </w:rPr>
        <w:t>28.24</w:t>
      </w:r>
      <w:r>
        <w:rPr>
          <w:rFonts w:hint="eastAsia" w:ascii="仿宋_GB2312" w:hAnsi="仿宋" w:eastAsia="仿宋_GB2312"/>
          <w:sz w:val="32"/>
          <w:szCs w:val="32"/>
        </w:rPr>
        <w:t>万元，增长</w:t>
      </w:r>
      <w:r>
        <w:rPr>
          <w:rFonts w:ascii="仿宋_GB2312" w:hAnsi="仿宋" w:eastAsia="仿宋_GB2312"/>
          <w:sz w:val="32"/>
          <w:szCs w:val="32"/>
          <w:u w:val="single"/>
        </w:rPr>
        <w:t>25.25</w:t>
      </w:r>
      <w:r>
        <w:rPr>
          <w:rFonts w:hint="eastAsia" w:ascii="仿宋_GB2312" w:hAnsi="仿宋" w:eastAsia="仿宋_GB2312"/>
          <w:sz w:val="32"/>
          <w:szCs w:val="32"/>
        </w:rPr>
        <w:t>%，变动原因是</w:t>
      </w:r>
      <w:r>
        <w:rPr>
          <w:rFonts w:hint="eastAsia" w:eastAsia="仿宋_GB2312"/>
          <w:sz w:val="32"/>
          <w:szCs w:val="32"/>
        </w:rPr>
        <w:t>2026年</w:t>
      </w:r>
      <w:r>
        <w:rPr>
          <w:rFonts w:eastAsia="仿宋_GB2312"/>
          <w:sz w:val="32"/>
          <w:szCs w:val="32"/>
        </w:rPr>
        <w:t>开展第四次全国农业普查工作，项目经费增加</w:t>
      </w:r>
      <w:r>
        <w:rPr>
          <w:rFonts w:hint="eastAsia" w:ascii="仿宋_GB2312" w:hAnsi="仿宋" w:eastAsia="仿宋_GB2312"/>
          <w:sz w:val="32"/>
          <w:szCs w:val="32"/>
        </w:rPr>
        <w:t>。</w:t>
      </w:r>
    </w:p>
    <w:p>
      <w:pPr>
        <w:adjustRightInd w:val="0"/>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5.统计信息事务（款）统计抽样调查（项）。年初预算</w:t>
      </w:r>
      <w:r>
        <w:rPr>
          <w:rFonts w:ascii="仿宋_GB2312" w:hAnsi="仿宋" w:eastAsia="仿宋_GB2312"/>
          <w:sz w:val="32"/>
          <w:szCs w:val="32"/>
          <w:u w:val="single"/>
        </w:rPr>
        <w:t>72.65</w:t>
      </w:r>
      <w:r>
        <w:rPr>
          <w:rFonts w:hint="eastAsia" w:ascii="仿宋_GB2312" w:hAnsi="仿宋" w:eastAsia="仿宋_GB2312"/>
          <w:sz w:val="32"/>
          <w:szCs w:val="32"/>
        </w:rPr>
        <w:t>万元，与上年相比增加</w:t>
      </w:r>
      <w:r>
        <w:rPr>
          <w:rFonts w:ascii="仿宋_GB2312" w:hAnsi="仿宋" w:eastAsia="仿宋_GB2312"/>
          <w:sz w:val="32"/>
          <w:szCs w:val="32"/>
          <w:u w:val="single"/>
        </w:rPr>
        <w:t>6.26</w:t>
      </w:r>
      <w:r>
        <w:rPr>
          <w:rFonts w:hint="eastAsia" w:ascii="仿宋_GB2312" w:hAnsi="仿宋" w:eastAsia="仿宋_GB2312"/>
          <w:sz w:val="32"/>
          <w:szCs w:val="32"/>
        </w:rPr>
        <w:t>万元，增长</w:t>
      </w:r>
      <w:r>
        <w:rPr>
          <w:rFonts w:ascii="仿宋_GB2312" w:hAnsi="仿宋" w:eastAsia="仿宋_GB2312"/>
          <w:sz w:val="32"/>
          <w:szCs w:val="32"/>
          <w:u w:val="single"/>
        </w:rPr>
        <w:t>9.43</w:t>
      </w:r>
      <w:r>
        <w:rPr>
          <w:rFonts w:hint="eastAsia" w:ascii="仿宋_GB2312" w:hAnsi="仿宋" w:eastAsia="仿宋_GB2312"/>
          <w:sz w:val="32"/>
          <w:szCs w:val="32"/>
        </w:rPr>
        <w:t>%，变动原因是上年结转金额较</w:t>
      </w:r>
      <w:r>
        <w:rPr>
          <w:rFonts w:ascii="仿宋_GB2312" w:hAnsi="仿宋" w:eastAsia="仿宋_GB2312"/>
          <w:sz w:val="32"/>
          <w:szCs w:val="32"/>
        </w:rPr>
        <w:t>上年增加</w:t>
      </w:r>
      <w:r>
        <w:rPr>
          <w:rFonts w:hint="eastAsia" w:ascii="仿宋_GB2312" w:hAnsi="仿宋" w:eastAsia="仿宋_GB2312"/>
          <w:sz w:val="32"/>
          <w:szCs w:val="32"/>
        </w:rPr>
        <w:t>。</w:t>
      </w:r>
    </w:p>
    <w:p>
      <w:pPr>
        <w:adjustRightInd w:val="0"/>
        <w:snapToGrid w:val="0"/>
        <w:spacing w:line="600" w:lineRule="exact"/>
        <w:ind w:firstLine="482" w:firstLineChars="150"/>
        <w:rPr>
          <w:rFonts w:ascii="楷体" w:hAnsi="楷体" w:eastAsia="楷体"/>
          <w:b/>
          <w:sz w:val="32"/>
          <w:szCs w:val="32"/>
        </w:rPr>
      </w:pPr>
      <w:r>
        <w:rPr>
          <w:rFonts w:hint="eastAsia" w:ascii="楷体" w:hAnsi="楷体" w:eastAsia="楷体"/>
          <w:b/>
          <w:sz w:val="32"/>
          <w:szCs w:val="32"/>
        </w:rPr>
        <w:t>（二）教育支出</w:t>
      </w:r>
      <w:r>
        <w:rPr>
          <w:rFonts w:ascii="楷体" w:hAnsi="楷体" w:eastAsia="楷体"/>
          <w:b/>
          <w:sz w:val="32"/>
          <w:szCs w:val="32"/>
        </w:rPr>
        <w:t>（</w:t>
      </w:r>
      <w:r>
        <w:rPr>
          <w:rFonts w:hint="eastAsia" w:ascii="楷体" w:hAnsi="楷体" w:eastAsia="楷体"/>
          <w:b/>
          <w:sz w:val="32"/>
          <w:szCs w:val="32"/>
        </w:rPr>
        <w:t>类</w:t>
      </w:r>
      <w:r>
        <w:rPr>
          <w:rFonts w:ascii="楷体" w:hAnsi="楷体" w:eastAsia="楷体"/>
          <w:b/>
          <w:sz w:val="32"/>
          <w:szCs w:val="32"/>
        </w:rPr>
        <w:t>）</w:t>
      </w:r>
    </w:p>
    <w:p>
      <w:pPr>
        <w:pStyle w:val="12"/>
        <w:tabs>
          <w:tab w:val="left" w:pos="2671"/>
          <w:tab w:val="left" w:pos="5000"/>
          <w:tab w:val="left" w:pos="6190"/>
        </w:tabs>
        <w:spacing w:after="0" w:line="600" w:lineRule="exact"/>
        <w:ind w:firstLine="640" w:firstLineChars="200"/>
        <w:rPr>
          <w:rFonts w:ascii="仿宋_GB2312" w:eastAsia="仿宋_GB2312"/>
          <w:sz w:val="32"/>
          <w:szCs w:val="32"/>
        </w:rPr>
      </w:pPr>
      <w:r>
        <w:rPr>
          <w:rFonts w:ascii="仿宋_GB2312" w:eastAsia="仿宋_GB2312"/>
          <w:sz w:val="32"/>
          <w:szCs w:val="32"/>
        </w:rPr>
        <w:t>1.进修及培训（款）培训支出（项）。年初预算</w:t>
      </w:r>
      <w:r>
        <w:rPr>
          <w:rFonts w:ascii="仿宋_GB2312" w:eastAsia="仿宋_GB2312"/>
          <w:sz w:val="32"/>
          <w:szCs w:val="32"/>
          <w:u w:val="single"/>
        </w:rPr>
        <w:t>15.08</w:t>
      </w:r>
      <w:r>
        <w:rPr>
          <w:rFonts w:ascii="仿宋_GB2312" w:eastAsia="仿宋_GB2312"/>
          <w:sz w:val="32"/>
          <w:szCs w:val="32"/>
        </w:rPr>
        <w:t>万元，与上年相比减少</w:t>
      </w:r>
      <w:r>
        <w:rPr>
          <w:rFonts w:ascii="仿宋_GB2312" w:eastAsia="仿宋_GB2312"/>
          <w:sz w:val="32"/>
          <w:szCs w:val="32"/>
          <w:u w:val="single"/>
        </w:rPr>
        <w:t>6.72</w:t>
      </w:r>
      <w:r>
        <w:rPr>
          <w:rFonts w:ascii="仿宋_GB2312" w:eastAsia="仿宋_GB2312"/>
          <w:sz w:val="32"/>
          <w:szCs w:val="32"/>
        </w:rPr>
        <w:t>万元，减少</w:t>
      </w:r>
      <w:r>
        <w:rPr>
          <w:rFonts w:ascii="仿宋_GB2312" w:eastAsia="仿宋_GB2312"/>
          <w:sz w:val="32"/>
          <w:szCs w:val="32"/>
          <w:u w:val="single"/>
        </w:rPr>
        <w:t>30.83</w:t>
      </w:r>
      <w:r>
        <w:rPr>
          <w:rFonts w:ascii="仿宋_GB2312" w:eastAsia="仿宋_GB2312"/>
          <w:sz w:val="32"/>
          <w:szCs w:val="32"/>
        </w:rPr>
        <w:t>%。变动原因是</w:t>
      </w:r>
      <w:r>
        <w:rPr>
          <w:rFonts w:hint="eastAsia" w:ascii="仿宋_GB2312" w:eastAsia="仿宋_GB2312"/>
          <w:sz w:val="32"/>
          <w:szCs w:val="32"/>
        </w:rPr>
        <w:t>此类支出为</w:t>
      </w:r>
      <w:r>
        <w:rPr>
          <w:rFonts w:ascii="仿宋_GB2312" w:eastAsia="仿宋_GB2312"/>
          <w:sz w:val="32"/>
          <w:szCs w:val="32"/>
        </w:rPr>
        <w:t>上年结转金额，没有本年预算</w:t>
      </w:r>
      <w:r>
        <w:rPr>
          <w:rFonts w:hint="eastAsia" w:ascii="仿宋_GB2312" w:eastAsia="仿宋_GB2312"/>
          <w:sz w:val="32"/>
          <w:szCs w:val="32"/>
        </w:rPr>
        <w:t>。</w:t>
      </w:r>
    </w:p>
    <w:p>
      <w:pPr>
        <w:pStyle w:val="2"/>
        <w:spacing w:after="0" w:line="600" w:lineRule="exact"/>
        <w:ind w:left="0" w:leftChars="0" w:firstLine="643" w:firstLineChars="200"/>
        <w:jc w:val="both"/>
        <w:rPr>
          <w:rFonts w:hint="default" w:ascii="楷体" w:hAnsi="楷体" w:eastAsia="楷体"/>
          <w:b/>
          <w:sz w:val="32"/>
          <w:szCs w:val="32"/>
        </w:rPr>
      </w:pPr>
      <w:r>
        <w:rPr>
          <w:rFonts w:ascii="楷体" w:hAnsi="楷体" w:eastAsia="楷体"/>
          <w:b/>
          <w:sz w:val="32"/>
          <w:szCs w:val="32"/>
        </w:rPr>
        <w:t>（三）社会保障和就业（类）</w:t>
      </w:r>
    </w:p>
    <w:p>
      <w:pPr>
        <w:adjustRightInd w:val="0"/>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1.</w:t>
      </w:r>
      <w:r>
        <w:rPr>
          <w:rFonts w:hint="eastAsia" w:ascii="仿宋_GB2312" w:hAnsi="仿宋" w:eastAsia="仿宋_GB2312"/>
        </w:rPr>
        <w:t xml:space="preserve"> </w:t>
      </w:r>
      <w:r>
        <w:rPr>
          <w:rFonts w:hint="eastAsia" w:ascii="仿宋_GB2312" w:hAnsi="仿宋" w:eastAsia="仿宋_GB2312"/>
          <w:sz w:val="32"/>
          <w:szCs w:val="32"/>
        </w:rPr>
        <w:t>行政事业单位养老支出（款）行政单位离退休（项）。年初预算</w:t>
      </w:r>
      <w:r>
        <w:rPr>
          <w:rFonts w:ascii="仿宋_GB2312" w:hAnsi="仿宋" w:eastAsia="仿宋_GB2312"/>
          <w:sz w:val="32"/>
          <w:szCs w:val="32"/>
          <w:u w:val="single"/>
        </w:rPr>
        <w:t>29.54</w:t>
      </w:r>
      <w:r>
        <w:rPr>
          <w:rFonts w:hint="eastAsia" w:ascii="仿宋_GB2312" w:hAnsi="仿宋" w:eastAsia="仿宋_GB2312"/>
          <w:sz w:val="32"/>
          <w:szCs w:val="32"/>
        </w:rPr>
        <w:t>万元，与上年相比增加</w:t>
      </w:r>
      <w:r>
        <w:rPr>
          <w:rFonts w:ascii="仿宋_GB2312" w:hAnsi="仿宋" w:eastAsia="仿宋_GB2312"/>
          <w:sz w:val="32"/>
          <w:szCs w:val="32"/>
          <w:u w:val="single"/>
        </w:rPr>
        <w:t>1.78</w:t>
      </w:r>
      <w:r>
        <w:rPr>
          <w:rFonts w:hint="eastAsia" w:ascii="仿宋_GB2312" w:hAnsi="仿宋" w:eastAsia="仿宋_GB2312"/>
          <w:sz w:val="32"/>
          <w:szCs w:val="32"/>
        </w:rPr>
        <w:t>万元，增长</w:t>
      </w:r>
      <w:r>
        <w:rPr>
          <w:rFonts w:ascii="仿宋_GB2312" w:hAnsi="仿宋" w:eastAsia="仿宋_GB2312"/>
          <w:sz w:val="32"/>
          <w:szCs w:val="32"/>
          <w:u w:val="single"/>
        </w:rPr>
        <w:t>6.41</w:t>
      </w:r>
      <w:r>
        <w:rPr>
          <w:rFonts w:hint="eastAsia" w:ascii="仿宋_GB2312" w:hAnsi="仿宋" w:eastAsia="仿宋_GB2312"/>
          <w:sz w:val="32"/>
          <w:szCs w:val="32"/>
        </w:rPr>
        <w:t>%，变动原因是退休人员较上年增加</w:t>
      </w:r>
      <w:r>
        <w:rPr>
          <w:rFonts w:ascii="仿宋_GB2312" w:hAnsi="仿宋" w:eastAsia="仿宋_GB2312"/>
          <w:sz w:val="32"/>
          <w:szCs w:val="32"/>
        </w:rPr>
        <w:t>2</w:t>
      </w:r>
      <w:r>
        <w:rPr>
          <w:rFonts w:hint="eastAsia" w:ascii="仿宋_GB2312" w:hAnsi="仿宋" w:eastAsia="仿宋_GB2312"/>
          <w:sz w:val="32"/>
          <w:szCs w:val="32"/>
        </w:rPr>
        <w:t>人。</w:t>
      </w:r>
    </w:p>
    <w:p>
      <w:pPr>
        <w:pStyle w:val="12"/>
        <w:tabs>
          <w:tab w:val="left" w:pos="2671"/>
          <w:tab w:val="left" w:pos="5000"/>
          <w:tab w:val="left" w:pos="6190"/>
        </w:tabs>
        <w:spacing w:after="0"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2. 行政事业单位养老支出（款）机关事业单位基本养老保险缴费支出（项）。年初预算</w:t>
      </w:r>
      <w:r>
        <w:rPr>
          <w:rFonts w:ascii="仿宋_GB2312" w:hAnsi="仿宋" w:eastAsia="仿宋_GB2312"/>
          <w:sz w:val="32"/>
          <w:szCs w:val="32"/>
          <w:u w:val="single"/>
        </w:rPr>
        <w:t>39.28</w:t>
      </w:r>
      <w:r>
        <w:rPr>
          <w:rFonts w:hint="eastAsia" w:ascii="仿宋_GB2312" w:hAnsi="仿宋" w:eastAsia="仿宋_GB2312"/>
          <w:sz w:val="32"/>
          <w:szCs w:val="32"/>
        </w:rPr>
        <w:t>万元，与上年相比增加</w:t>
      </w:r>
      <w:r>
        <w:rPr>
          <w:rFonts w:ascii="仿宋_GB2312" w:hAnsi="仿宋" w:eastAsia="仿宋_GB2312"/>
          <w:sz w:val="32"/>
          <w:szCs w:val="32"/>
          <w:u w:val="single"/>
        </w:rPr>
        <w:t>1.14</w:t>
      </w:r>
      <w:r>
        <w:rPr>
          <w:rFonts w:hint="eastAsia" w:ascii="仿宋_GB2312" w:hAnsi="仿宋" w:eastAsia="仿宋_GB2312"/>
          <w:sz w:val="32"/>
          <w:szCs w:val="32"/>
        </w:rPr>
        <w:t>万元，增长</w:t>
      </w:r>
      <w:r>
        <w:rPr>
          <w:rFonts w:ascii="仿宋_GB2312" w:hAnsi="仿宋" w:eastAsia="仿宋_GB2312"/>
          <w:sz w:val="32"/>
          <w:szCs w:val="32"/>
          <w:u w:val="single"/>
        </w:rPr>
        <w:t>2.99</w:t>
      </w:r>
      <w:r>
        <w:rPr>
          <w:rFonts w:hint="eastAsia" w:ascii="仿宋_GB2312" w:hAnsi="仿宋" w:eastAsia="仿宋_GB2312"/>
          <w:sz w:val="32"/>
          <w:szCs w:val="32"/>
        </w:rPr>
        <w:t>%，变动原因是</w:t>
      </w:r>
      <w:r>
        <w:rPr>
          <w:rFonts w:ascii="仿宋_GB2312" w:eastAsia="仿宋_GB2312"/>
          <w:sz w:val="32"/>
          <w:szCs w:val="32"/>
        </w:rPr>
        <w:t>在职人员职务变动，养老保险基数增加</w:t>
      </w:r>
      <w:r>
        <w:rPr>
          <w:rFonts w:hint="eastAsia" w:ascii="仿宋_GB2312" w:hAnsi="仿宋" w:eastAsia="仿宋_GB2312"/>
          <w:sz w:val="32"/>
          <w:szCs w:val="32"/>
        </w:rPr>
        <w:t>。</w:t>
      </w:r>
    </w:p>
    <w:p>
      <w:pPr>
        <w:adjustRightInd w:val="0"/>
        <w:snapToGrid w:val="0"/>
        <w:spacing w:line="600" w:lineRule="exact"/>
        <w:ind w:firstLine="643" w:firstLineChars="200"/>
        <w:rPr>
          <w:rFonts w:ascii="楷体" w:hAnsi="楷体" w:eastAsia="楷体"/>
          <w:b/>
          <w:sz w:val="32"/>
          <w:szCs w:val="32"/>
        </w:rPr>
      </w:pPr>
      <w:r>
        <w:rPr>
          <w:rFonts w:hint="eastAsia" w:ascii="楷体" w:hAnsi="楷体" w:eastAsia="楷体"/>
          <w:b/>
          <w:sz w:val="32"/>
          <w:szCs w:val="32"/>
        </w:rPr>
        <w:t>（四）卫生健康支出（类）</w:t>
      </w:r>
    </w:p>
    <w:p>
      <w:pPr>
        <w:pStyle w:val="12"/>
        <w:tabs>
          <w:tab w:val="left" w:pos="2671"/>
          <w:tab w:val="left" w:pos="5000"/>
          <w:tab w:val="left" w:pos="6190"/>
        </w:tabs>
        <w:spacing w:after="0"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1.行政事业单位医疗（款）行政单位医疗（项）。年初预算</w:t>
      </w:r>
      <w:r>
        <w:rPr>
          <w:rFonts w:ascii="仿宋_GB2312" w:hAnsi="仿宋" w:eastAsia="仿宋_GB2312"/>
          <w:sz w:val="32"/>
          <w:szCs w:val="32"/>
          <w:u w:val="single"/>
        </w:rPr>
        <w:t>15.01</w:t>
      </w:r>
      <w:r>
        <w:rPr>
          <w:rFonts w:hint="eastAsia" w:ascii="仿宋_GB2312" w:hAnsi="仿宋" w:eastAsia="仿宋_GB2312"/>
          <w:sz w:val="32"/>
          <w:szCs w:val="32"/>
        </w:rPr>
        <w:t>万元，与上年相比增加</w:t>
      </w:r>
      <w:r>
        <w:rPr>
          <w:rFonts w:ascii="仿宋_GB2312" w:hAnsi="仿宋" w:eastAsia="仿宋_GB2312"/>
          <w:sz w:val="32"/>
          <w:szCs w:val="32"/>
          <w:u w:val="single"/>
        </w:rPr>
        <w:t>0.46</w:t>
      </w:r>
      <w:r>
        <w:rPr>
          <w:rFonts w:hint="eastAsia" w:ascii="仿宋_GB2312" w:hAnsi="仿宋" w:eastAsia="仿宋_GB2312"/>
          <w:sz w:val="32"/>
          <w:szCs w:val="32"/>
        </w:rPr>
        <w:t>万元，增长</w:t>
      </w:r>
      <w:r>
        <w:rPr>
          <w:rFonts w:ascii="仿宋_GB2312" w:hAnsi="仿宋" w:eastAsia="仿宋_GB2312"/>
          <w:sz w:val="32"/>
          <w:szCs w:val="32"/>
          <w:u w:val="single"/>
        </w:rPr>
        <w:t>3.16</w:t>
      </w:r>
      <w:r>
        <w:rPr>
          <w:rFonts w:hint="eastAsia" w:ascii="仿宋_GB2312" w:hAnsi="仿宋" w:eastAsia="仿宋_GB2312"/>
          <w:sz w:val="32"/>
          <w:szCs w:val="32"/>
        </w:rPr>
        <w:t>%，变动原因是</w:t>
      </w:r>
      <w:r>
        <w:rPr>
          <w:rFonts w:ascii="仿宋_GB2312" w:eastAsia="仿宋_GB2312"/>
          <w:sz w:val="32"/>
          <w:szCs w:val="32"/>
        </w:rPr>
        <w:t>在职人员职务变动，</w:t>
      </w:r>
      <w:r>
        <w:rPr>
          <w:rFonts w:hint="eastAsia" w:ascii="仿宋_GB2312" w:eastAsia="仿宋_GB2312"/>
          <w:sz w:val="32"/>
          <w:szCs w:val="32"/>
        </w:rPr>
        <w:t>基本医疗保险相应增加</w:t>
      </w:r>
      <w:r>
        <w:rPr>
          <w:rFonts w:hint="eastAsia" w:ascii="仿宋_GB2312" w:hAnsi="仿宋" w:eastAsia="仿宋_GB2312"/>
          <w:sz w:val="32"/>
          <w:szCs w:val="32"/>
        </w:rPr>
        <w:t>。</w:t>
      </w:r>
    </w:p>
    <w:p>
      <w:pPr>
        <w:pStyle w:val="12"/>
        <w:tabs>
          <w:tab w:val="left" w:pos="2671"/>
          <w:tab w:val="left" w:pos="5000"/>
          <w:tab w:val="left" w:pos="6190"/>
        </w:tabs>
        <w:spacing w:after="0"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2.行政事业单位医疗（款）公务员医疗补助（项）。年初预算</w:t>
      </w:r>
      <w:r>
        <w:rPr>
          <w:rFonts w:ascii="仿宋_GB2312" w:hAnsi="仿宋" w:eastAsia="仿宋_GB2312"/>
          <w:sz w:val="32"/>
          <w:szCs w:val="32"/>
          <w:u w:val="single"/>
        </w:rPr>
        <w:t>5.38</w:t>
      </w:r>
      <w:r>
        <w:rPr>
          <w:rFonts w:hint="eastAsia" w:ascii="仿宋_GB2312" w:hAnsi="仿宋" w:eastAsia="仿宋_GB2312"/>
          <w:sz w:val="32"/>
          <w:szCs w:val="32"/>
        </w:rPr>
        <w:t>万元，与上年相比增加</w:t>
      </w:r>
      <w:r>
        <w:rPr>
          <w:rFonts w:ascii="仿宋_GB2312" w:hAnsi="仿宋" w:eastAsia="仿宋_GB2312"/>
          <w:sz w:val="32"/>
          <w:szCs w:val="32"/>
          <w:u w:val="single"/>
        </w:rPr>
        <w:t>0.4</w:t>
      </w:r>
      <w:r>
        <w:rPr>
          <w:rFonts w:hint="eastAsia" w:ascii="仿宋_GB2312" w:hAnsi="仿宋" w:eastAsia="仿宋_GB2312"/>
          <w:sz w:val="32"/>
          <w:szCs w:val="32"/>
        </w:rPr>
        <w:t>万元，增长</w:t>
      </w:r>
      <w:r>
        <w:rPr>
          <w:rFonts w:ascii="仿宋_GB2312" w:hAnsi="仿宋" w:eastAsia="仿宋_GB2312"/>
          <w:sz w:val="32"/>
          <w:szCs w:val="32"/>
          <w:u w:val="single"/>
        </w:rPr>
        <w:t>8.03</w:t>
      </w:r>
      <w:r>
        <w:rPr>
          <w:rFonts w:hint="eastAsia" w:ascii="仿宋_GB2312" w:hAnsi="仿宋" w:eastAsia="仿宋_GB2312"/>
          <w:sz w:val="32"/>
          <w:szCs w:val="32"/>
        </w:rPr>
        <w:t>%，变动原因是</w:t>
      </w:r>
      <w:r>
        <w:rPr>
          <w:rFonts w:ascii="仿宋_GB2312" w:eastAsia="仿宋_GB2312"/>
          <w:sz w:val="32"/>
          <w:szCs w:val="32"/>
        </w:rPr>
        <w:t>在职人员职务变动，</w:t>
      </w:r>
      <w:r>
        <w:rPr>
          <w:rFonts w:hint="eastAsia" w:ascii="仿宋_GB2312" w:eastAsia="仿宋_GB2312"/>
          <w:sz w:val="32"/>
          <w:szCs w:val="32"/>
        </w:rPr>
        <w:t>公务员医疗补助相应增加</w:t>
      </w:r>
      <w:r>
        <w:rPr>
          <w:rFonts w:hint="eastAsia" w:ascii="仿宋_GB2312" w:hAnsi="仿宋" w:eastAsia="仿宋_GB2312"/>
          <w:sz w:val="32"/>
          <w:szCs w:val="32"/>
        </w:rPr>
        <w:t>。</w:t>
      </w:r>
    </w:p>
    <w:p>
      <w:pPr>
        <w:pStyle w:val="12"/>
        <w:tabs>
          <w:tab w:val="left" w:pos="2671"/>
          <w:tab w:val="left" w:pos="5000"/>
          <w:tab w:val="left" w:pos="6190"/>
        </w:tabs>
        <w:spacing w:after="0" w:line="600" w:lineRule="exact"/>
        <w:ind w:firstLine="643" w:firstLineChars="200"/>
        <w:rPr>
          <w:rFonts w:ascii="楷体" w:hAnsi="楷体" w:eastAsia="楷体"/>
          <w:b/>
          <w:sz w:val="32"/>
          <w:szCs w:val="32"/>
        </w:rPr>
      </w:pPr>
      <w:r>
        <w:rPr>
          <w:rFonts w:hint="eastAsia" w:ascii="楷体" w:hAnsi="楷体" w:eastAsia="楷体"/>
          <w:b/>
          <w:sz w:val="32"/>
          <w:szCs w:val="32"/>
        </w:rPr>
        <w:t>（五）住房保障支出（类）</w:t>
      </w:r>
    </w:p>
    <w:p>
      <w:pPr>
        <w:adjustRightInd w:val="0"/>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1.住房改革支出（款）住房公积金（项）</w:t>
      </w:r>
      <w:r>
        <w:rPr>
          <w:rFonts w:ascii="仿宋_GB2312" w:hAnsi="仿宋" w:eastAsia="仿宋_GB2312"/>
          <w:sz w:val="32"/>
          <w:szCs w:val="32"/>
          <w:u w:val="single"/>
        </w:rPr>
        <w:t>41.29</w:t>
      </w:r>
      <w:r>
        <w:rPr>
          <w:rFonts w:hint="eastAsia" w:ascii="仿宋_GB2312" w:hAnsi="仿宋" w:eastAsia="仿宋_GB2312"/>
          <w:sz w:val="32"/>
          <w:szCs w:val="32"/>
        </w:rPr>
        <w:t>万元，与上年相比增加</w:t>
      </w:r>
      <w:r>
        <w:rPr>
          <w:rFonts w:ascii="仿宋_GB2312" w:hAnsi="仿宋" w:eastAsia="仿宋_GB2312"/>
          <w:sz w:val="32"/>
          <w:szCs w:val="32"/>
          <w:u w:val="single"/>
        </w:rPr>
        <w:t>1.15</w:t>
      </w:r>
      <w:r>
        <w:rPr>
          <w:rFonts w:hint="eastAsia" w:ascii="仿宋_GB2312" w:hAnsi="仿宋" w:eastAsia="仿宋_GB2312"/>
          <w:sz w:val="32"/>
          <w:szCs w:val="32"/>
        </w:rPr>
        <w:t>万元，增长</w:t>
      </w:r>
      <w:r>
        <w:rPr>
          <w:rFonts w:ascii="仿宋_GB2312" w:hAnsi="仿宋" w:eastAsia="仿宋_GB2312"/>
          <w:sz w:val="32"/>
          <w:szCs w:val="32"/>
          <w:u w:val="single"/>
        </w:rPr>
        <w:t>2.86</w:t>
      </w:r>
      <w:r>
        <w:rPr>
          <w:rFonts w:hint="eastAsia" w:ascii="仿宋_GB2312" w:hAnsi="仿宋" w:eastAsia="仿宋_GB2312"/>
          <w:sz w:val="32"/>
          <w:szCs w:val="32"/>
        </w:rPr>
        <w:t>%，变动原因是</w:t>
      </w:r>
      <w:r>
        <w:rPr>
          <w:rFonts w:ascii="仿宋_GB2312" w:eastAsia="仿宋_GB2312"/>
          <w:sz w:val="32"/>
          <w:szCs w:val="32"/>
        </w:rPr>
        <w:t>在职人员职务变动，</w:t>
      </w:r>
      <w:r>
        <w:rPr>
          <w:rFonts w:hint="eastAsia" w:ascii="仿宋_GB2312" w:eastAsia="仿宋_GB2312"/>
          <w:sz w:val="32"/>
          <w:szCs w:val="32"/>
        </w:rPr>
        <w:t>住房</w:t>
      </w:r>
      <w:bookmarkStart w:id="3" w:name="_GoBack"/>
      <w:bookmarkEnd w:id="3"/>
      <w:r>
        <w:rPr>
          <w:rFonts w:hint="eastAsia" w:ascii="仿宋_GB2312" w:eastAsia="仿宋_GB2312"/>
          <w:sz w:val="32"/>
          <w:szCs w:val="32"/>
        </w:rPr>
        <w:t>公积金相应增加</w:t>
      </w:r>
      <w:r>
        <w:rPr>
          <w:rFonts w:hint="eastAsia" w:ascii="仿宋_GB2312" w:hAnsi="仿宋" w:eastAsia="仿宋_GB2312"/>
          <w:sz w:val="32"/>
          <w:szCs w:val="32"/>
        </w:rPr>
        <w:t>。</w:t>
      </w:r>
    </w:p>
    <w:p>
      <w:pPr>
        <w:adjustRightInd w:val="0"/>
        <w:snapToGrid w:val="0"/>
        <w:spacing w:line="600" w:lineRule="exact"/>
        <w:ind w:firstLine="640" w:firstLineChars="200"/>
        <w:rPr>
          <w:rFonts w:ascii="仿宋" w:hAnsi="仿宋" w:eastAsia="仿宋" w:cs="仿宋"/>
          <w:sz w:val="32"/>
          <w:szCs w:val="32"/>
          <w:highlight w:val="yellow"/>
        </w:rPr>
      </w:pPr>
      <w:r>
        <w:rPr>
          <w:rFonts w:hint="eastAsia" w:ascii="仿宋_GB2312" w:hAnsi="仿宋" w:eastAsia="仿宋_GB2312"/>
          <w:sz w:val="32"/>
          <w:szCs w:val="32"/>
        </w:rPr>
        <w:t>2.住房改革支出（款）购房补贴（项）</w:t>
      </w:r>
      <w:r>
        <w:rPr>
          <w:rFonts w:ascii="仿宋_GB2312" w:hAnsi="仿宋" w:eastAsia="仿宋_GB2312"/>
          <w:sz w:val="32"/>
          <w:szCs w:val="32"/>
          <w:u w:val="single"/>
        </w:rPr>
        <w:t>9.59</w:t>
      </w:r>
      <w:r>
        <w:rPr>
          <w:rFonts w:hint="eastAsia" w:ascii="仿宋_GB2312" w:hAnsi="仿宋" w:eastAsia="仿宋_GB2312"/>
          <w:sz w:val="32"/>
          <w:szCs w:val="32"/>
        </w:rPr>
        <w:t>万元，与上年相比增加</w:t>
      </w:r>
      <w:r>
        <w:rPr>
          <w:rFonts w:ascii="仿宋_GB2312" w:hAnsi="仿宋" w:eastAsia="仿宋_GB2312"/>
          <w:sz w:val="32"/>
          <w:szCs w:val="32"/>
          <w:u w:val="single"/>
        </w:rPr>
        <w:t>1.13</w:t>
      </w:r>
      <w:r>
        <w:rPr>
          <w:rFonts w:hint="eastAsia" w:ascii="仿宋_GB2312" w:hAnsi="仿宋" w:eastAsia="仿宋_GB2312"/>
          <w:sz w:val="32"/>
          <w:szCs w:val="32"/>
        </w:rPr>
        <w:t>万元，增长</w:t>
      </w:r>
      <w:r>
        <w:rPr>
          <w:rFonts w:ascii="仿宋_GB2312" w:hAnsi="仿宋" w:eastAsia="仿宋_GB2312"/>
          <w:sz w:val="32"/>
          <w:szCs w:val="32"/>
          <w:u w:val="single"/>
        </w:rPr>
        <w:t>13.36</w:t>
      </w:r>
      <w:r>
        <w:rPr>
          <w:rFonts w:hint="eastAsia" w:ascii="仿宋_GB2312" w:hAnsi="仿宋" w:eastAsia="仿宋_GB2312"/>
          <w:sz w:val="32"/>
          <w:szCs w:val="32"/>
        </w:rPr>
        <w:t>%，变动原因是</w:t>
      </w:r>
      <w:r>
        <w:rPr>
          <w:rFonts w:ascii="仿宋_GB2312" w:eastAsia="仿宋_GB2312"/>
          <w:sz w:val="32"/>
          <w:szCs w:val="32"/>
        </w:rPr>
        <w:t>在职人员职务变动，</w:t>
      </w:r>
      <w:r>
        <w:rPr>
          <w:rFonts w:hint="eastAsia" w:ascii="仿宋_GB2312" w:eastAsia="仿宋_GB2312"/>
          <w:sz w:val="32"/>
          <w:szCs w:val="32"/>
        </w:rPr>
        <w:t>购房补贴相应增加。</w:t>
      </w:r>
    </w:p>
    <w:p>
      <w:pPr>
        <w:spacing w:line="600" w:lineRule="exact"/>
        <w:ind w:firstLine="640" w:firstLineChars="200"/>
        <w:outlineLvl w:val="0"/>
        <w:rPr>
          <w:rFonts w:eastAsia="黑体" w:cs="黑体"/>
          <w:sz w:val="32"/>
          <w:szCs w:val="36"/>
        </w:rPr>
      </w:pPr>
      <w:r>
        <w:rPr>
          <w:rFonts w:hint="eastAsia" w:eastAsia="黑体" w:cs="黑体"/>
          <w:sz w:val="32"/>
          <w:szCs w:val="36"/>
        </w:rPr>
        <w:t>六、一般公共预算基本支出预算情况说明</w:t>
      </w:r>
    </w:p>
    <w:p>
      <w:pPr>
        <w:pStyle w:val="12"/>
        <w:tabs>
          <w:tab w:val="left" w:pos="2671"/>
          <w:tab w:val="left" w:pos="5000"/>
          <w:tab w:val="left" w:pos="6190"/>
        </w:tabs>
        <w:spacing w:after="0" w:line="600" w:lineRule="exact"/>
        <w:ind w:firstLine="640" w:firstLineChars="200"/>
        <w:rPr>
          <w:rFonts w:eastAsia="仿宋_GB2312"/>
          <w:sz w:val="32"/>
          <w:szCs w:val="32"/>
        </w:rPr>
      </w:pPr>
      <w:r>
        <w:rPr>
          <w:rFonts w:hint="eastAsia" w:eastAsia="仿宋_GB2312"/>
          <w:sz w:val="32"/>
          <w:szCs w:val="32"/>
          <w:u w:val="single"/>
        </w:rPr>
        <w:t>锡林郭勒盟</w:t>
      </w:r>
      <w:r>
        <w:rPr>
          <w:rFonts w:eastAsia="仿宋_GB2312"/>
          <w:sz w:val="32"/>
          <w:szCs w:val="32"/>
          <w:u w:val="single"/>
        </w:rPr>
        <w:t>统计局</w:t>
      </w:r>
      <w:r>
        <w:rPr>
          <w:rFonts w:hint="eastAsia" w:eastAsia="仿宋_GB2312"/>
          <w:sz w:val="32"/>
          <w:szCs w:val="32"/>
          <w:u w:val="single"/>
        </w:rPr>
        <w:t>单位</w:t>
      </w:r>
      <w:r>
        <w:rPr>
          <w:rFonts w:eastAsia="仿宋_GB2312"/>
          <w:sz w:val="32"/>
          <w:szCs w:val="32"/>
        </w:rPr>
        <w:t>2026年度一般公共预算财政拨款基本支出预算</w:t>
      </w:r>
      <w:r>
        <w:rPr>
          <w:rFonts w:eastAsia="仿宋_GB2312"/>
          <w:sz w:val="32"/>
          <w:szCs w:val="32"/>
          <w:u w:val="single"/>
        </w:rPr>
        <w:t>529.33</w:t>
      </w:r>
      <w:r>
        <w:rPr>
          <w:rFonts w:eastAsia="仿宋_GB2312"/>
          <w:sz w:val="32"/>
          <w:szCs w:val="32"/>
        </w:rPr>
        <w:t>万元，其中：</w:t>
      </w:r>
    </w:p>
    <w:p>
      <w:pPr>
        <w:pStyle w:val="12"/>
        <w:tabs>
          <w:tab w:val="left" w:pos="2671"/>
          <w:tab w:val="left" w:pos="5000"/>
          <w:tab w:val="left" w:pos="6190"/>
        </w:tabs>
        <w:spacing w:after="0" w:line="600" w:lineRule="exact"/>
        <w:ind w:firstLine="643" w:firstLineChars="200"/>
        <w:rPr>
          <w:rFonts w:ascii="仿宋_GB2312" w:hAnsi="仿宋" w:eastAsia="仿宋_GB2312"/>
          <w:sz w:val="32"/>
          <w:szCs w:val="32"/>
        </w:rPr>
      </w:pPr>
      <w:r>
        <w:rPr>
          <w:rFonts w:eastAsia="仿宋_GB2312"/>
          <w:b/>
          <w:bCs/>
          <w:sz w:val="32"/>
          <w:szCs w:val="32"/>
        </w:rPr>
        <w:t>（一）人员经费</w:t>
      </w:r>
      <w:r>
        <w:rPr>
          <w:rFonts w:eastAsia="仿宋_GB2312"/>
          <w:b/>
          <w:bCs/>
          <w:sz w:val="32"/>
          <w:szCs w:val="32"/>
          <w:u w:val="single"/>
        </w:rPr>
        <w:t>461.12</w:t>
      </w:r>
      <w:r>
        <w:rPr>
          <w:rFonts w:eastAsia="仿宋_GB2312"/>
          <w:b/>
          <w:bCs/>
          <w:sz w:val="32"/>
          <w:szCs w:val="32"/>
        </w:rPr>
        <w:t>万元</w:t>
      </w:r>
      <w:r>
        <w:rPr>
          <w:rFonts w:eastAsia="仿宋_GB2312"/>
          <w:sz w:val="32"/>
          <w:szCs w:val="32"/>
        </w:rPr>
        <w:t>。主要包括：</w:t>
      </w:r>
      <w:r>
        <w:rPr>
          <w:rFonts w:hint="eastAsia" w:ascii="仿宋_GB2312" w:hAnsi="仿宋" w:eastAsia="仿宋_GB2312"/>
          <w:sz w:val="32"/>
          <w:szCs w:val="32"/>
        </w:rPr>
        <w:t>基本工资、津贴补贴、奖金、机关事业单位基本养老保险缴费、职工基本医疗保险缴费、公务员医疗补助缴费、其他社会保障缴费、住房公积金、其他工资福利支出、退休费、其他对</w:t>
      </w:r>
      <w:r>
        <w:rPr>
          <w:rFonts w:ascii="仿宋_GB2312" w:hAnsi="仿宋" w:eastAsia="仿宋_GB2312"/>
          <w:sz w:val="32"/>
          <w:szCs w:val="32"/>
        </w:rPr>
        <w:t>个人和家庭的补助</w:t>
      </w:r>
      <w:r>
        <w:rPr>
          <w:rFonts w:hint="eastAsia" w:ascii="仿宋_GB2312" w:hAnsi="仿宋" w:eastAsia="仿宋_GB2312"/>
          <w:sz w:val="32"/>
          <w:szCs w:val="32"/>
        </w:rPr>
        <w:t>。</w:t>
      </w:r>
    </w:p>
    <w:p>
      <w:pPr>
        <w:pStyle w:val="12"/>
        <w:tabs>
          <w:tab w:val="left" w:pos="2671"/>
          <w:tab w:val="left" w:pos="5000"/>
          <w:tab w:val="left" w:pos="6190"/>
        </w:tabs>
        <w:spacing w:after="0" w:line="600" w:lineRule="exact"/>
        <w:ind w:firstLine="643" w:firstLineChars="200"/>
        <w:rPr>
          <w:rFonts w:ascii="仿宋_GB2312" w:eastAsia="仿宋_GB2312"/>
          <w:sz w:val="32"/>
          <w:szCs w:val="32"/>
        </w:rPr>
      </w:pPr>
      <w:r>
        <w:rPr>
          <w:rFonts w:eastAsia="仿宋_GB2312"/>
          <w:b/>
          <w:bCs/>
          <w:sz w:val="32"/>
          <w:szCs w:val="32"/>
        </w:rPr>
        <w:t>（二）公用经费</w:t>
      </w:r>
      <w:r>
        <w:rPr>
          <w:rFonts w:eastAsia="仿宋_GB2312"/>
          <w:b/>
          <w:bCs/>
          <w:sz w:val="32"/>
          <w:szCs w:val="32"/>
          <w:u w:val="single"/>
        </w:rPr>
        <w:t>68.21</w:t>
      </w:r>
      <w:r>
        <w:rPr>
          <w:rFonts w:eastAsia="仿宋_GB2312"/>
          <w:b/>
          <w:bCs/>
          <w:sz w:val="32"/>
          <w:szCs w:val="32"/>
        </w:rPr>
        <w:t>万元</w:t>
      </w:r>
      <w:r>
        <w:rPr>
          <w:rFonts w:eastAsia="仿宋_GB2312"/>
          <w:sz w:val="32"/>
          <w:szCs w:val="32"/>
        </w:rPr>
        <w:t>。主要包括：</w:t>
      </w:r>
      <w:r>
        <w:rPr>
          <w:rFonts w:hint="eastAsia" w:ascii="仿宋_GB2312" w:eastAsia="仿宋_GB2312"/>
          <w:sz w:val="32"/>
          <w:szCs w:val="32"/>
        </w:rPr>
        <w:t>办公费、差旅费、公务接待费、劳务费、工会经费、公务用车运行维护费、其他交通费用、</w:t>
      </w:r>
      <w:r>
        <w:rPr>
          <w:rFonts w:ascii="仿宋_GB2312" w:eastAsia="仿宋_GB2312"/>
          <w:sz w:val="32"/>
          <w:szCs w:val="32"/>
        </w:rPr>
        <w:t>其他商品和服务支出</w:t>
      </w:r>
      <w:r>
        <w:rPr>
          <w:rFonts w:hint="eastAsia" w:ascii="仿宋_GB2312" w:eastAsia="仿宋_GB2312"/>
          <w:sz w:val="32"/>
          <w:szCs w:val="32"/>
        </w:rPr>
        <w:t>。</w:t>
      </w:r>
    </w:p>
    <w:p>
      <w:pPr>
        <w:spacing w:line="600" w:lineRule="exact"/>
        <w:ind w:firstLine="640" w:firstLineChars="200"/>
        <w:outlineLvl w:val="0"/>
        <w:rPr>
          <w:rFonts w:eastAsia="黑体" w:cs="黑体"/>
          <w:sz w:val="32"/>
          <w:szCs w:val="36"/>
        </w:rPr>
      </w:pPr>
      <w:r>
        <w:rPr>
          <w:rFonts w:hint="eastAsia" w:eastAsia="黑体" w:cs="黑体"/>
          <w:sz w:val="32"/>
          <w:szCs w:val="36"/>
        </w:rPr>
        <w:t>七、一般公共预算“三公”经费支出预算情况说明</w:t>
      </w:r>
    </w:p>
    <w:p>
      <w:pPr>
        <w:pStyle w:val="12"/>
        <w:tabs>
          <w:tab w:val="left" w:pos="2671"/>
          <w:tab w:val="left" w:pos="5000"/>
          <w:tab w:val="left" w:pos="6190"/>
        </w:tabs>
        <w:spacing w:after="0" w:line="600" w:lineRule="exact"/>
        <w:ind w:firstLine="640" w:firstLineChars="200"/>
        <w:rPr>
          <w:rFonts w:eastAsia="仿宋_GB2312"/>
          <w:sz w:val="32"/>
          <w:szCs w:val="32"/>
        </w:rPr>
      </w:pPr>
      <w:r>
        <w:rPr>
          <w:rFonts w:hint="eastAsia" w:eastAsia="仿宋_GB2312"/>
          <w:sz w:val="32"/>
          <w:szCs w:val="32"/>
          <w:u w:val="single"/>
        </w:rPr>
        <w:t>锡林郭勒盟</w:t>
      </w:r>
      <w:r>
        <w:rPr>
          <w:rFonts w:eastAsia="仿宋_GB2312"/>
          <w:sz w:val="32"/>
          <w:szCs w:val="32"/>
          <w:u w:val="single"/>
        </w:rPr>
        <w:t>统计局单位</w:t>
      </w:r>
      <w:r>
        <w:rPr>
          <w:rFonts w:eastAsia="仿宋_GB2312"/>
          <w:sz w:val="32"/>
          <w:szCs w:val="32"/>
        </w:rPr>
        <w:t>2026年度一般公共预算拨款安排的“三公”经费预算支出</w:t>
      </w:r>
      <w:r>
        <w:rPr>
          <w:rFonts w:eastAsia="仿宋_GB2312"/>
          <w:sz w:val="32"/>
          <w:szCs w:val="32"/>
          <w:u w:val="single"/>
        </w:rPr>
        <w:t>13.63</w:t>
      </w:r>
      <w:r>
        <w:rPr>
          <w:rFonts w:eastAsia="仿宋_GB2312"/>
          <w:sz w:val="32"/>
          <w:szCs w:val="32"/>
        </w:rPr>
        <w:t>万元，其中因公出国（境）费支出</w:t>
      </w:r>
      <w:r>
        <w:rPr>
          <w:rFonts w:eastAsia="仿宋_GB2312"/>
          <w:sz w:val="32"/>
          <w:szCs w:val="32"/>
          <w:u w:val="single"/>
        </w:rPr>
        <w:t>0</w:t>
      </w:r>
      <w:r>
        <w:rPr>
          <w:rFonts w:eastAsia="仿宋_GB2312"/>
          <w:sz w:val="32"/>
          <w:szCs w:val="32"/>
        </w:rPr>
        <w:t>万元，占“三公”经费的</w:t>
      </w:r>
      <w:r>
        <w:rPr>
          <w:rFonts w:eastAsia="仿宋_GB2312"/>
          <w:sz w:val="32"/>
          <w:szCs w:val="32"/>
          <w:u w:val="single"/>
        </w:rPr>
        <w:t>0</w:t>
      </w:r>
      <w:r>
        <w:rPr>
          <w:rFonts w:eastAsia="仿宋_GB2312"/>
          <w:sz w:val="32"/>
          <w:szCs w:val="32"/>
        </w:rPr>
        <w:t>%；公务用车购置及运行维护费支出</w:t>
      </w:r>
      <w:r>
        <w:rPr>
          <w:rFonts w:eastAsia="仿宋_GB2312"/>
          <w:sz w:val="32"/>
          <w:szCs w:val="32"/>
          <w:u w:val="single"/>
        </w:rPr>
        <w:t>13</w:t>
      </w:r>
      <w:r>
        <w:rPr>
          <w:rFonts w:eastAsia="仿宋_GB2312"/>
          <w:sz w:val="32"/>
          <w:szCs w:val="32"/>
        </w:rPr>
        <w:t>万元，占“三公”经费的</w:t>
      </w:r>
      <w:r>
        <w:rPr>
          <w:rFonts w:eastAsia="仿宋_GB2312"/>
          <w:sz w:val="32"/>
          <w:szCs w:val="32"/>
          <w:u w:val="single"/>
        </w:rPr>
        <w:t>95.38</w:t>
      </w:r>
      <w:r>
        <w:rPr>
          <w:rFonts w:eastAsia="仿宋_GB2312"/>
          <w:sz w:val="32"/>
          <w:szCs w:val="32"/>
        </w:rPr>
        <w:t>%；公务接待费支出</w:t>
      </w:r>
      <w:r>
        <w:rPr>
          <w:rFonts w:eastAsia="仿宋_GB2312"/>
          <w:sz w:val="32"/>
          <w:szCs w:val="32"/>
          <w:u w:val="single"/>
        </w:rPr>
        <w:t>0.63</w:t>
      </w:r>
      <w:r>
        <w:rPr>
          <w:rFonts w:eastAsia="仿宋_GB2312"/>
          <w:sz w:val="32"/>
          <w:szCs w:val="32"/>
        </w:rPr>
        <w:t>万元，占“三公”经费的</w:t>
      </w:r>
      <w:r>
        <w:rPr>
          <w:rFonts w:eastAsia="仿宋_GB2312"/>
          <w:sz w:val="32"/>
          <w:szCs w:val="32"/>
          <w:u w:val="single"/>
        </w:rPr>
        <w:t>4.62</w:t>
      </w:r>
      <w:r>
        <w:rPr>
          <w:rFonts w:eastAsia="仿宋_GB2312"/>
          <w:sz w:val="32"/>
          <w:szCs w:val="32"/>
        </w:rPr>
        <w:t>%。具体情况如下：</w:t>
      </w:r>
    </w:p>
    <w:p>
      <w:pPr>
        <w:spacing w:line="600" w:lineRule="exact"/>
        <w:ind w:left="29" w:right="96" w:firstLine="650"/>
        <w:rPr>
          <w:rFonts w:eastAsia="仿宋_GB2312"/>
          <w:sz w:val="32"/>
          <w:szCs w:val="32"/>
        </w:rPr>
      </w:pPr>
      <w:r>
        <w:rPr>
          <w:rFonts w:eastAsia="仿宋_GB2312"/>
          <w:sz w:val="32"/>
          <w:szCs w:val="32"/>
        </w:rPr>
        <w:t>一般公共预算拨款安排的“三公”经费预算支出</w:t>
      </w:r>
      <w:r>
        <w:rPr>
          <w:rFonts w:eastAsia="仿宋_GB2312"/>
          <w:sz w:val="32"/>
          <w:szCs w:val="32"/>
          <w:u w:val="single"/>
        </w:rPr>
        <w:t>13.63</w:t>
      </w:r>
      <w:r>
        <w:rPr>
          <w:rFonts w:eastAsia="仿宋_GB2312"/>
          <w:spacing w:val="-4"/>
          <w:sz w:val="32"/>
          <w:szCs w:val="32"/>
        </w:rPr>
        <w:t>万元，比上年预</w:t>
      </w:r>
      <w:r>
        <w:rPr>
          <w:rFonts w:eastAsia="仿宋_GB2312"/>
          <w:spacing w:val="-6"/>
          <w:sz w:val="32"/>
          <w:szCs w:val="32"/>
        </w:rPr>
        <w:t>算减少</w:t>
      </w:r>
      <w:r>
        <w:rPr>
          <w:rFonts w:eastAsia="仿宋_GB2312"/>
          <w:sz w:val="32"/>
          <w:szCs w:val="32"/>
          <w:u w:val="single"/>
        </w:rPr>
        <w:t>0.38</w:t>
      </w:r>
      <w:r>
        <w:rPr>
          <w:rFonts w:eastAsia="仿宋_GB2312"/>
          <w:spacing w:val="-6"/>
          <w:sz w:val="32"/>
          <w:szCs w:val="32"/>
        </w:rPr>
        <w:t>万元，</w:t>
      </w:r>
      <w:r>
        <w:rPr>
          <w:rFonts w:eastAsia="仿宋_GB2312"/>
          <w:sz w:val="32"/>
          <w:szCs w:val="32"/>
        </w:rPr>
        <w:t>减少</w:t>
      </w:r>
      <w:r>
        <w:rPr>
          <w:rFonts w:eastAsia="仿宋_GB2312"/>
          <w:sz w:val="32"/>
          <w:szCs w:val="32"/>
          <w:u w:val="single"/>
        </w:rPr>
        <w:t>2.64</w:t>
      </w:r>
      <w:r>
        <w:rPr>
          <w:rFonts w:eastAsia="仿宋_GB2312"/>
          <w:sz w:val="32"/>
          <w:szCs w:val="32"/>
        </w:rPr>
        <w:t>%</w:t>
      </w:r>
      <w:r>
        <w:rPr>
          <w:rFonts w:eastAsia="仿宋_GB2312"/>
          <w:spacing w:val="-6"/>
          <w:sz w:val="32"/>
          <w:szCs w:val="32"/>
        </w:rPr>
        <w:t>；</w:t>
      </w:r>
      <w:r>
        <w:rPr>
          <w:rFonts w:eastAsia="仿宋_GB2312"/>
          <w:spacing w:val="70"/>
          <w:sz w:val="32"/>
          <w:szCs w:val="32"/>
        </w:rPr>
        <w:t xml:space="preserve"> </w:t>
      </w:r>
      <w:r>
        <w:rPr>
          <w:rFonts w:eastAsia="仿宋_GB2312"/>
          <w:spacing w:val="-4"/>
          <w:sz w:val="32"/>
          <w:szCs w:val="32"/>
        </w:rPr>
        <w:t>其中：</w:t>
      </w:r>
    </w:p>
    <w:p>
      <w:pPr>
        <w:pStyle w:val="12"/>
        <w:spacing w:after="0" w:line="600" w:lineRule="exact"/>
        <w:ind w:left="17" w:leftChars="8" w:firstLine="640" w:firstLineChars="200"/>
        <w:rPr>
          <w:rFonts w:eastAsia="仿宋_GB2312"/>
          <w:sz w:val="32"/>
          <w:szCs w:val="32"/>
        </w:rPr>
      </w:pPr>
      <w:r>
        <w:rPr>
          <w:rFonts w:eastAsia="仿宋_GB2312"/>
          <w:sz w:val="32"/>
          <w:szCs w:val="32"/>
        </w:rPr>
        <w:t>1．因公出国（境）费预算支出</w:t>
      </w:r>
      <w:r>
        <w:rPr>
          <w:rFonts w:eastAsia="仿宋_GB2312"/>
          <w:sz w:val="32"/>
          <w:szCs w:val="32"/>
          <w:u w:val="single"/>
        </w:rPr>
        <w:t>0</w:t>
      </w:r>
      <w:r>
        <w:rPr>
          <w:rFonts w:eastAsia="仿宋_GB2312"/>
          <w:sz w:val="32"/>
          <w:szCs w:val="32"/>
        </w:rPr>
        <w:t>万元，比上年预算增加</w:t>
      </w:r>
      <w:r>
        <w:rPr>
          <w:rFonts w:eastAsia="仿宋_GB2312"/>
          <w:sz w:val="32"/>
          <w:szCs w:val="32"/>
          <w:u w:val="single"/>
        </w:rPr>
        <w:t>0</w:t>
      </w:r>
      <w:r>
        <w:rPr>
          <w:rFonts w:eastAsia="仿宋_GB2312"/>
          <w:sz w:val="32"/>
          <w:szCs w:val="32"/>
        </w:rPr>
        <w:t>万元，主要</w:t>
      </w:r>
      <w:r>
        <w:rPr>
          <w:rFonts w:hint="eastAsia" w:eastAsia="仿宋_GB2312"/>
          <w:sz w:val="32"/>
          <w:szCs w:val="32"/>
        </w:rPr>
        <w:t>原因是</w:t>
      </w:r>
      <w:r>
        <w:rPr>
          <w:rFonts w:eastAsia="仿宋_GB2312"/>
          <w:sz w:val="32"/>
          <w:szCs w:val="32"/>
        </w:rPr>
        <w:t>我单位无此项支出。</w:t>
      </w:r>
    </w:p>
    <w:p>
      <w:pPr>
        <w:pStyle w:val="12"/>
        <w:tabs>
          <w:tab w:val="left" w:pos="2671"/>
          <w:tab w:val="left" w:pos="5000"/>
          <w:tab w:val="left" w:pos="6190"/>
        </w:tabs>
        <w:spacing w:after="0" w:line="600" w:lineRule="exact"/>
        <w:ind w:firstLine="640" w:firstLineChars="200"/>
        <w:rPr>
          <w:rFonts w:eastAsia="仿宋_GB2312"/>
          <w:sz w:val="32"/>
          <w:szCs w:val="32"/>
        </w:rPr>
      </w:pPr>
      <w:r>
        <w:rPr>
          <w:rFonts w:eastAsia="仿宋_GB2312"/>
          <w:sz w:val="32"/>
          <w:szCs w:val="32"/>
        </w:rPr>
        <w:t>2．公务用车购置及运行维护费预算支出</w:t>
      </w:r>
      <w:r>
        <w:rPr>
          <w:rFonts w:eastAsia="仿宋_GB2312"/>
          <w:sz w:val="32"/>
          <w:szCs w:val="32"/>
          <w:u w:val="single"/>
        </w:rPr>
        <w:t>13</w:t>
      </w:r>
      <w:r>
        <w:rPr>
          <w:rFonts w:eastAsia="仿宋_GB2312"/>
          <w:sz w:val="32"/>
          <w:szCs w:val="32"/>
        </w:rPr>
        <w:t>万元。其中：</w:t>
      </w:r>
      <w:r>
        <w:rPr>
          <w:rFonts w:eastAsia="仿宋_GB2312"/>
          <w:sz w:val="32"/>
          <w:szCs w:val="32"/>
        </w:rPr>
        <w:tab/>
      </w:r>
    </w:p>
    <w:p>
      <w:pPr>
        <w:pStyle w:val="12"/>
        <w:spacing w:after="0" w:line="600" w:lineRule="exact"/>
        <w:ind w:firstLine="640" w:firstLineChars="200"/>
        <w:rPr>
          <w:rFonts w:eastAsia="仿宋_GB2312"/>
          <w:sz w:val="32"/>
          <w:szCs w:val="32"/>
        </w:rPr>
      </w:pPr>
      <w:r>
        <w:rPr>
          <w:rFonts w:eastAsia="仿宋_GB2312"/>
          <w:sz w:val="32"/>
          <w:szCs w:val="32"/>
        </w:rPr>
        <w:t>（1）公务用车购置预算支出</w:t>
      </w:r>
      <w:r>
        <w:rPr>
          <w:rFonts w:eastAsia="仿宋_GB2312"/>
          <w:sz w:val="32"/>
          <w:szCs w:val="32"/>
          <w:u w:val="single"/>
        </w:rPr>
        <w:t>0</w:t>
      </w:r>
      <w:r>
        <w:rPr>
          <w:rFonts w:eastAsia="仿宋_GB2312"/>
          <w:sz w:val="32"/>
          <w:szCs w:val="32"/>
        </w:rPr>
        <w:t>万元，比上年预算增加</w:t>
      </w:r>
      <w:r>
        <w:rPr>
          <w:rFonts w:eastAsia="仿宋_GB2312"/>
          <w:sz w:val="32"/>
          <w:szCs w:val="32"/>
          <w:u w:val="single"/>
        </w:rPr>
        <w:t>0</w:t>
      </w:r>
      <w:r>
        <w:rPr>
          <w:rFonts w:eastAsia="仿宋_GB2312"/>
          <w:sz w:val="32"/>
          <w:szCs w:val="32"/>
        </w:rPr>
        <w:t>万元，主要原因</w:t>
      </w:r>
      <w:r>
        <w:rPr>
          <w:rFonts w:hint="eastAsia" w:eastAsia="仿宋_GB2312"/>
          <w:sz w:val="32"/>
          <w:szCs w:val="32"/>
        </w:rPr>
        <w:t>我单位无</w:t>
      </w:r>
      <w:r>
        <w:rPr>
          <w:rFonts w:eastAsia="仿宋_GB2312"/>
          <w:sz w:val="32"/>
          <w:szCs w:val="32"/>
        </w:rPr>
        <w:t>此项支出。</w:t>
      </w:r>
    </w:p>
    <w:p>
      <w:pPr>
        <w:pStyle w:val="12"/>
        <w:spacing w:after="0" w:line="600" w:lineRule="exact"/>
        <w:ind w:firstLine="640" w:firstLineChars="200"/>
        <w:rPr>
          <w:rFonts w:eastAsia="仿宋_GB2312"/>
          <w:sz w:val="32"/>
          <w:szCs w:val="32"/>
        </w:rPr>
      </w:pPr>
      <w:r>
        <w:rPr>
          <w:rFonts w:eastAsia="仿宋_GB2312"/>
          <w:sz w:val="32"/>
          <w:szCs w:val="32"/>
        </w:rPr>
        <w:t>（2）公务用车运行维护费预算支出</w:t>
      </w:r>
      <w:r>
        <w:rPr>
          <w:rFonts w:eastAsia="仿宋_GB2312"/>
          <w:sz w:val="32"/>
          <w:szCs w:val="32"/>
          <w:u w:val="single"/>
        </w:rPr>
        <w:t>13</w:t>
      </w:r>
      <w:r>
        <w:rPr>
          <w:rFonts w:eastAsia="仿宋_GB2312"/>
          <w:sz w:val="32"/>
          <w:szCs w:val="32"/>
        </w:rPr>
        <w:t>万元，比上年预算增加</w:t>
      </w:r>
      <w:r>
        <w:rPr>
          <w:rFonts w:eastAsia="仿宋_GB2312"/>
          <w:sz w:val="32"/>
          <w:szCs w:val="32"/>
          <w:u w:val="single"/>
        </w:rPr>
        <w:t>0</w:t>
      </w:r>
      <w:r>
        <w:rPr>
          <w:rFonts w:eastAsia="仿宋_GB2312"/>
          <w:sz w:val="32"/>
          <w:szCs w:val="32"/>
        </w:rPr>
        <w:t>万元，主要原因</w:t>
      </w:r>
      <w:r>
        <w:rPr>
          <w:rFonts w:hint="eastAsia" w:eastAsia="仿宋_GB2312"/>
          <w:sz w:val="32"/>
          <w:szCs w:val="32"/>
        </w:rPr>
        <w:t>是与</w:t>
      </w:r>
      <w:r>
        <w:rPr>
          <w:rFonts w:eastAsia="仿宋_GB2312"/>
          <w:sz w:val="32"/>
          <w:szCs w:val="32"/>
        </w:rPr>
        <w:t>上年预算一致。</w:t>
      </w:r>
    </w:p>
    <w:p>
      <w:pPr>
        <w:pStyle w:val="12"/>
        <w:spacing w:after="0" w:line="600" w:lineRule="exact"/>
        <w:ind w:firstLine="640" w:firstLineChars="200"/>
        <w:rPr>
          <w:rFonts w:eastAsia="仿宋_GB2312"/>
          <w:sz w:val="32"/>
          <w:szCs w:val="32"/>
        </w:rPr>
      </w:pPr>
      <w:r>
        <w:rPr>
          <w:rFonts w:eastAsia="仿宋_GB2312"/>
          <w:sz w:val="32"/>
          <w:szCs w:val="32"/>
        </w:rPr>
        <w:t>3．公务接待费预算支出</w:t>
      </w:r>
      <w:r>
        <w:rPr>
          <w:rFonts w:eastAsia="仿宋_GB2312"/>
          <w:sz w:val="32"/>
          <w:szCs w:val="32"/>
          <w:u w:val="single"/>
        </w:rPr>
        <w:t>0.63</w:t>
      </w:r>
      <w:r>
        <w:rPr>
          <w:rFonts w:eastAsia="仿宋_GB2312"/>
          <w:sz w:val="32"/>
          <w:szCs w:val="32"/>
        </w:rPr>
        <w:t>万元，比上年预算减少</w:t>
      </w:r>
      <w:r>
        <w:rPr>
          <w:rFonts w:eastAsia="仿宋_GB2312"/>
          <w:sz w:val="32"/>
          <w:szCs w:val="32"/>
          <w:u w:val="single"/>
        </w:rPr>
        <w:t>0.37</w:t>
      </w:r>
      <w:r>
        <w:rPr>
          <w:rFonts w:eastAsia="仿宋_GB2312"/>
          <w:sz w:val="32"/>
          <w:szCs w:val="32"/>
        </w:rPr>
        <w:t>万元，主要原因</w:t>
      </w:r>
      <w:r>
        <w:rPr>
          <w:rFonts w:hint="eastAsia" w:eastAsia="仿宋_GB2312"/>
          <w:sz w:val="32"/>
          <w:szCs w:val="32"/>
        </w:rPr>
        <w:t>是厉行节约</w:t>
      </w:r>
      <w:r>
        <w:rPr>
          <w:rFonts w:eastAsia="仿宋_GB2312"/>
          <w:sz w:val="32"/>
          <w:szCs w:val="32"/>
        </w:rPr>
        <w:t>，压减“</w:t>
      </w:r>
      <w:r>
        <w:rPr>
          <w:rFonts w:hint="eastAsia" w:eastAsia="仿宋_GB2312"/>
          <w:sz w:val="32"/>
          <w:szCs w:val="32"/>
        </w:rPr>
        <w:t>三公</w:t>
      </w:r>
      <w:r>
        <w:rPr>
          <w:rFonts w:eastAsia="仿宋_GB2312"/>
          <w:sz w:val="32"/>
          <w:szCs w:val="32"/>
        </w:rPr>
        <w:t>”</w:t>
      </w:r>
      <w:r>
        <w:rPr>
          <w:rFonts w:hint="eastAsia" w:eastAsia="仿宋_GB2312"/>
          <w:sz w:val="32"/>
          <w:szCs w:val="32"/>
        </w:rPr>
        <w:t>经费</w:t>
      </w:r>
      <w:r>
        <w:rPr>
          <w:rFonts w:eastAsia="仿宋_GB2312"/>
          <w:sz w:val="32"/>
          <w:szCs w:val="32"/>
        </w:rPr>
        <w:t>预算支出。</w:t>
      </w:r>
    </w:p>
    <w:p>
      <w:pPr>
        <w:spacing w:line="600" w:lineRule="exact"/>
        <w:ind w:firstLine="640" w:firstLineChars="200"/>
        <w:outlineLvl w:val="0"/>
        <w:rPr>
          <w:rFonts w:eastAsia="黑体" w:cs="黑体"/>
          <w:sz w:val="32"/>
          <w:szCs w:val="36"/>
        </w:rPr>
      </w:pPr>
      <w:r>
        <w:rPr>
          <w:rFonts w:hint="eastAsia" w:eastAsia="黑体" w:cs="黑体"/>
          <w:sz w:val="32"/>
          <w:szCs w:val="36"/>
        </w:rPr>
        <w:t>八、政府性基金预算支出预算情况说明</w:t>
      </w:r>
    </w:p>
    <w:p>
      <w:pPr>
        <w:pStyle w:val="12"/>
        <w:spacing w:after="0" w:line="600" w:lineRule="exact"/>
        <w:ind w:left="17" w:leftChars="8" w:firstLine="640" w:firstLineChars="200"/>
        <w:rPr>
          <w:rFonts w:ascii="仿宋" w:hAnsi="仿宋" w:eastAsia="仿宋"/>
          <w:sz w:val="32"/>
          <w:szCs w:val="32"/>
        </w:rPr>
      </w:pPr>
      <w:r>
        <w:rPr>
          <w:rFonts w:hint="eastAsia" w:eastAsia="仿宋_GB2312"/>
          <w:sz w:val="32"/>
          <w:szCs w:val="32"/>
          <w:u w:val="single"/>
        </w:rPr>
        <w:t>锡林郭勒盟统计局</w:t>
      </w:r>
      <w:r>
        <w:rPr>
          <w:rFonts w:eastAsia="仿宋_GB2312"/>
          <w:sz w:val="32"/>
          <w:szCs w:val="32"/>
          <w:u w:val="single"/>
        </w:rPr>
        <w:t>单位</w:t>
      </w:r>
      <w:r>
        <w:rPr>
          <w:rFonts w:eastAsia="仿宋_GB2312"/>
          <w:sz w:val="32"/>
          <w:szCs w:val="32"/>
        </w:rPr>
        <w:t>2026年政府性基金支出预算支出</w:t>
      </w:r>
      <w:r>
        <w:rPr>
          <w:rFonts w:eastAsia="仿宋_GB2312"/>
          <w:sz w:val="32"/>
          <w:szCs w:val="32"/>
          <w:u w:val="single"/>
        </w:rPr>
        <w:t>0</w:t>
      </w:r>
      <w:r>
        <w:rPr>
          <w:rFonts w:eastAsia="仿宋_GB2312"/>
          <w:sz w:val="32"/>
          <w:szCs w:val="32"/>
        </w:rPr>
        <w:t>万元。与上年相比增加</w:t>
      </w:r>
      <w:r>
        <w:rPr>
          <w:rFonts w:eastAsia="仿宋_GB2312"/>
          <w:sz w:val="32"/>
          <w:szCs w:val="32"/>
          <w:u w:val="single"/>
        </w:rPr>
        <w:t>0</w:t>
      </w:r>
      <w:r>
        <w:rPr>
          <w:rFonts w:eastAsia="仿宋_GB2312"/>
          <w:sz w:val="32"/>
          <w:szCs w:val="32"/>
        </w:rPr>
        <w:t>万元，增长</w:t>
      </w:r>
      <w:r>
        <w:rPr>
          <w:rFonts w:eastAsia="仿宋_GB2312"/>
          <w:sz w:val="32"/>
          <w:szCs w:val="32"/>
          <w:u w:val="single"/>
        </w:rPr>
        <w:t>0</w:t>
      </w:r>
      <w:r>
        <w:rPr>
          <w:rFonts w:eastAsia="仿宋_GB2312"/>
          <w:sz w:val="32"/>
          <w:szCs w:val="32"/>
        </w:rPr>
        <w:tab/>
      </w:r>
      <w:r>
        <w:rPr>
          <w:rFonts w:eastAsia="仿宋_GB2312"/>
          <w:sz w:val="32"/>
          <w:szCs w:val="32"/>
        </w:rPr>
        <w:t>%。主要原因是</w:t>
      </w:r>
      <w:r>
        <w:rPr>
          <w:rFonts w:hint="eastAsia" w:ascii="仿宋" w:hAnsi="仿宋" w:eastAsia="仿宋"/>
          <w:sz w:val="32"/>
          <w:szCs w:val="32"/>
        </w:rPr>
        <w:t>本单位无</w:t>
      </w:r>
      <w:r>
        <w:rPr>
          <w:rFonts w:ascii="仿宋" w:hAnsi="仿宋" w:eastAsia="仿宋"/>
          <w:sz w:val="32"/>
          <w:szCs w:val="32"/>
        </w:rPr>
        <w:t>政府性基金预算拨款支出。</w:t>
      </w:r>
    </w:p>
    <w:p>
      <w:pPr>
        <w:spacing w:line="600" w:lineRule="exact"/>
        <w:ind w:firstLine="640" w:firstLineChars="200"/>
        <w:outlineLvl w:val="0"/>
        <w:rPr>
          <w:rFonts w:eastAsia="黑体" w:cs="黑体"/>
          <w:sz w:val="32"/>
          <w:szCs w:val="36"/>
        </w:rPr>
      </w:pPr>
      <w:r>
        <w:rPr>
          <w:rFonts w:hint="eastAsia" w:eastAsia="黑体" w:cs="黑体"/>
          <w:sz w:val="32"/>
          <w:szCs w:val="36"/>
        </w:rPr>
        <w:t>九、国有资本经营预算支出预算情况说明</w:t>
      </w:r>
    </w:p>
    <w:p>
      <w:pPr>
        <w:spacing w:line="600" w:lineRule="exact"/>
        <w:ind w:firstLine="640" w:firstLineChars="200"/>
        <w:rPr>
          <w:rFonts w:eastAsia="仿宋_GB2312" w:cstheme="minorBidi"/>
          <w:sz w:val="32"/>
          <w:szCs w:val="32"/>
        </w:rPr>
      </w:pPr>
      <w:r>
        <w:rPr>
          <w:rFonts w:hint="eastAsia" w:eastAsia="仿宋_GB2312" w:cstheme="minorBidi"/>
          <w:sz w:val="32"/>
          <w:szCs w:val="32"/>
          <w:u w:val="single"/>
        </w:rPr>
        <w:t>锡林郭勒盟统计局单位</w:t>
      </w:r>
      <w:r>
        <w:rPr>
          <w:rFonts w:hint="eastAsia" w:eastAsia="仿宋_GB2312" w:cstheme="minorBidi"/>
          <w:sz w:val="32"/>
          <w:szCs w:val="32"/>
        </w:rPr>
        <w:t>2025年国有资本经营预算支出</w:t>
      </w:r>
      <w:r>
        <w:rPr>
          <w:rFonts w:eastAsia="仿宋_GB2312" w:cstheme="minorBidi"/>
          <w:sz w:val="32"/>
          <w:szCs w:val="32"/>
          <w:u w:val="single"/>
        </w:rPr>
        <w:t>0</w:t>
      </w:r>
      <w:r>
        <w:rPr>
          <w:rFonts w:hint="eastAsia" w:eastAsia="仿宋_GB2312" w:cstheme="minorBidi"/>
          <w:sz w:val="32"/>
          <w:szCs w:val="32"/>
        </w:rPr>
        <w:t>万元。与上年相比增加</w:t>
      </w:r>
      <w:r>
        <w:rPr>
          <w:rFonts w:eastAsia="仿宋_GB2312" w:cstheme="minorBidi"/>
          <w:sz w:val="32"/>
          <w:szCs w:val="32"/>
          <w:u w:val="single"/>
        </w:rPr>
        <w:t>0</w:t>
      </w:r>
      <w:r>
        <w:rPr>
          <w:rFonts w:hint="eastAsia" w:eastAsia="仿宋_GB2312" w:cstheme="minorBidi"/>
          <w:sz w:val="32"/>
          <w:szCs w:val="32"/>
        </w:rPr>
        <w:t>万元，增长</w:t>
      </w:r>
      <w:r>
        <w:rPr>
          <w:rFonts w:eastAsia="仿宋_GB2312" w:cstheme="minorBidi"/>
          <w:sz w:val="32"/>
          <w:szCs w:val="32"/>
          <w:u w:val="single"/>
        </w:rPr>
        <w:t>0</w:t>
      </w:r>
      <w:r>
        <w:rPr>
          <w:rFonts w:hint="eastAsia" w:eastAsia="仿宋_GB2312" w:cstheme="minorBidi"/>
          <w:sz w:val="32"/>
          <w:szCs w:val="32"/>
        </w:rPr>
        <w:t>%。主要原因是</w:t>
      </w:r>
      <w:r>
        <w:rPr>
          <w:rFonts w:hint="eastAsia" w:ascii="仿宋" w:hAnsi="仿宋" w:eastAsia="仿宋" w:cstheme="minorBidi"/>
          <w:iCs/>
          <w:sz w:val="32"/>
          <w:szCs w:val="32"/>
        </w:rPr>
        <w:t>本单位</w:t>
      </w:r>
      <w:r>
        <w:rPr>
          <w:rFonts w:hint="eastAsia" w:ascii="仿宋" w:hAnsi="仿宋" w:eastAsia="仿宋" w:cs="微软雅黑"/>
          <w:iCs/>
          <w:sz w:val="32"/>
          <w:szCs w:val="32"/>
        </w:rPr>
        <w:t>无</w:t>
      </w:r>
      <w:r>
        <w:rPr>
          <w:rFonts w:ascii="仿宋" w:hAnsi="仿宋" w:eastAsia="仿宋" w:cs="___WRD_EMBED_SUB_40"/>
          <w:iCs/>
          <w:sz w:val="32"/>
          <w:szCs w:val="32"/>
        </w:rPr>
        <w:t>国有资本经营预算拨款支出</w:t>
      </w:r>
      <w:r>
        <w:rPr>
          <w:rFonts w:hint="eastAsia" w:eastAsia="仿宋_GB2312" w:cstheme="minorBidi"/>
          <w:sz w:val="32"/>
          <w:szCs w:val="32"/>
        </w:rPr>
        <w:t>。</w:t>
      </w:r>
    </w:p>
    <w:p>
      <w:pPr>
        <w:spacing w:line="600" w:lineRule="exact"/>
        <w:ind w:firstLine="640" w:firstLineChars="200"/>
        <w:rPr>
          <w:i/>
          <w:iCs/>
          <w:highlight w:val="yellow"/>
        </w:rPr>
      </w:pPr>
      <w:r>
        <w:rPr>
          <w:rFonts w:hint="eastAsia" w:eastAsia="黑体" w:cs="黑体"/>
          <w:sz w:val="32"/>
          <w:szCs w:val="36"/>
        </w:rPr>
        <w:t>十、项目支出预算情况说明</w:t>
      </w:r>
    </w:p>
    <w:p>
      <w:pPr>
        <w:spacing w:line="600" w:lineRule="exact"/>
        <w:ind w:firstLine="640" w:firstLineChars="200"/>
        <w:rPr>
          <w:rFonts w:eastAsia="仿宋_GB2312"/>
          <w:sz w:val="32"/>
          <w:szCs w:val="32"/>
        </w:rPr>
      </w:pPr>
      <w:r>
        <w:rPr>
          <w:rFonts w:eastAsia="仿宋_GB2312"/>
          <w:sz w:val="32"/>
          <w:szCs w:val="32"/>
        </w:rPr>
        <w:t>2026年单位预算安排项目</w:t>
      </w:r>
      <w:r>
        <w:rPr>
          <w:rFonts w:eastAsia="仿宋_GB2312"/>
          <w:sz w:val="32"/>
          <w:szCs w:val="32"/>
          <w:u w:val="single"/>
        </w:rPr>
        <w:t>7</w:t>
      </w:r>
      <w:r>
        <w:rPr>
          <w:rFonts w:eastAsia="仿宋_GB2312"/>
          <w:sz w:val="32"/>
          <w:szCs w:val="32"/>
        </w:rPr>
        <w:t>个，项目预算总金额</w:t>
      </w:r>
      <w:r>
        <w:rPr>
          <w:rFonts w:eastAsia="仿宋_GB2312"/>
          <w:sz w:val="32"/>
          <w:szCs w:val="32"/>
          <w:u w:val="single"/>
        </w:rPr>
        <w:t>269.73</w:t>
      </w:r>
      <w:r>
        <w:rPr>
          <w:rFonts w:eastAsia="仿宋_GB2312"/>
          <w:sz w:val="32"/>
          <w:szCs w:val="32"/>
        </w:rPr>
        <w:t>万元。其中，财政本年拨款金额</w:t>
      </w:r>
      <w:r>
        <w:rPr>
          <w:rFonts w:eastAsia="仿宋_GB2312"/>
          <w:sz w:val="32"/>
          <w:szCs w:val="32"/>
          <w:u w:val="single"/>
        </w:rPr>
        <w:t>192.5</w:t>
      </w:r>
      <w:r>
        <w:rPr>
          <w:rFonts w:eastAsia="仿宋_GB2312"/>
          <w:sz w:val="32"/>
          <w:szCs w:val="32"/>
        </w:rPr>
        <w:t>万元，财政拨款结转结余</w:t>
      </w:r>
      <w:r>
        <w:rPr>
          <w:rFonts w:eastAsia="仿宋_GB2312"/>
          <w:sz w:val="32"/>
          <w:szCs w:val="32"/>
          <w:u w:val="single"/>
        </w:rPr>
        <w:t>77.23</w:t>
      </w:r>
      <w:r>
        <w:rPr>
          <w:rFonts w:eastAsia="仿宋_GB2312"/>
          <w:sz w:val="32"/>
          <w:szCs w:val="32"/>
        </w:rPr>
        <w:t>万元，财政专户管理资金</w:t>
      </w:r>
      <w:r>
        <w:rPr>
          <w:rFonts w:eastAsia="仿宋_GB2312"/>
          <w:sz w:val="32"/>
          <w:szCs w:val="32"/>
          <w:u w:val="single"/>
        </w:rPr>
        <w:t>0</w:t>
      </w:r>
      <w:r>
        <w:rPr>
          <w:rFonts w:eastAsia="仿宋_GB2312"/>
          <w:sz w:val="32"/>
          <w:szCs w:val="32"/>
        </w:rPr>
        <w:t>万元，单位资金</w:t>
      </w:r>
      <w:r>
        <w:rPr>
          <w:rFonts w:eastAsia="仿宋_GB2312"/>
          <w:sz w:val="32"/>
          <w:szCs w:val="32"/>
          <w:u w:val="single"/>
        </w:rPr>
        <w:t>0</w:t>
      </w:r>
      <w:r>
        <w:rPr>
          <w:rFonts w:eastAsia="仿宋_GB2312"/>
          <w:sz w:val="32"/>
          <w:szCs w:val="32"/>
        </w:rPr>
        <w:t>万元。</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（一）全盟人口抽样调查</w:t>
      </w:r>
    </w:p>
    <w:p>
      <w:pPr>
        <w:pBdr>
          <w:bottom w:val="single" w:color="FFFFFF" w:sz="4" w:space="30"/>
        </w:pBdr>
        <w:snapToGrid w:val="0"/>
        <w:spacing w:line="600" w:lineRule="exact"/>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    1.项目概述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本项目主要用于开展全盟人口</w:t>
      </w:r>
      <w:r>
        <w:rPr>
          <w:rFonts w:ascii="仿宋_GB2312" w:hAnsi="仿宋" w:eastAsia="仿宋_GB2312"/>
          <w:bCs/>
          <w:color w:val="000000" w:themeColor="text1"/>
          <w:sz w:val="32"/>
          <w:szCs w:val="32"/>
          <w14:textFill>
            <w14:solidFill>
              <w14:schemeClr w14:val="tx1"/>
            </w14:solidFill>
          </w14:textFill>
        </w:rPr>
        <w:t>变动情况</w:t>
      </w:r>
      <w:r>
        <w:rPr>
          <w:rFonts w:hint="eastAsia" w:ascii="仿宋_GB2312" w:hAnsi="仿宋" w:eastAsia="仿宋_GB2312"/>
          <w:bCs/>
          <w:color w:val="000000" w:themeColor="text1"/>
          <w:sz w:val="32"/>
          <w:szCs w:val="32"/>
          <w14:textFill>
            <w14:solidFill>
              <w14:schemeClr w14:val="tx1"/>
            </w14:solidFill>
          </w14:textFill>
        </w:rPr>
        <w:t xml:space="preserve">抽样调查，开展劳动工资统计工作。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2.立项依据 </w:t>
      </w:r>
    </w:p>
    <w:p>
      <w:pPr>
        <w:pBdr>
          <w:bottom w:val="single" w:color="FFFFFF" w:sz="4" w:space="30"/>
        </w:pBdr>
        <w:snapToGrid w:val="0"/>
        <w:spacing w:line="600" w:lineRule="exact"/>
        <w:ind w:firstLine="640" w:firstLineChars="200"/>
        <w:rPr>
          <w:rStyle w:val="41"/>
          <w:rFonts w:ascii="仿宋_GB2312" w:hAnsi="仿宋" w:eastAsia="仿宋_GB2312"/>
          <w:color w:val="000000"/>
          <w:sz w:val="32"/>
          <w:szCs w:val="32"/>
        </w:rPr>
      </w:pPr>
      <w:r>
        <w:rPr>
          <w:rStyle w:val="41"/>
          <w:rFonts w:hint="eastAsia" w:ascii="仿宋_GB2312" w:hAnsi="仿宋" w:eastAsia="仿宋_GB2312"/>
          <w:color w:val="000000"/>
          <w:sz w:val="32"/>
          <w:szCs w:val="32"/>
        </w:rPr>
        <w:t>全国人口</w:t>
      </w:r>
      <w:r>
        <w:rPr>
          <w:rStyle w:val="41"/>
          <w:rFonts w:ascii="仿宋_GB2312" w:hAnsi="仿宋" w:eastAsia="仿宋_GB2312"/>
          <w:color w:val="000000"/>
          <w:sz w:val="32"/>
          <w:szCs w:val="32"/>
        </w:rPr>
        <w:t>普查条例、</w:t>
      </w:r>
      <w:r>
        <w:rPr>
          <w:rStyle w:val="41"/>
          <w:rFonts w:hint="eastAsia" w:ascii="仿宋_GB2312" w:hAnsi="仿宋" w:eastAsia="仿宋_GB2312"/>
          <w:color w:val="000000"/>
          <w:sz w:val="32"/>
          <w:szCs w:val="32"/>
        </w:rPr>
        <w:t>人口变动情况抽样调查制度</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3.实施主体 </w:t>
      </w:r>
    </w:p>
    <w:p>
      <w:pPr>
        <w:pBdr>
          <w:bottom w:val="single" w:color="FFFFFF" w:sz="4" w:space="30"/>
        </w:pBdr>
        <w:snapToGrid w:val="0"/>
        <w:spacing w:line="600" w:lineRule="exact"/>
        <w:ind w:firstLine="640" w:firstLineChars="200"/>
        <w:rPr>
          <w:rFonts w:ascii="仿宋_GB2312" w:hAnsi="仿宋" w:eastAsia="仿宋_GB2312" w:cs="微软雅黑"/>
          <w:bCs/>
          <w:color w:val="000000" w:themeColor="text1"/>
          <w:sz w:val="32"/>
          <w:szCs w:val="32"/>
          <w14:textFill>
            <w14:solidFill>
              <w14:schemeClr w14:val="tx1"/>
            </w14:solidFill>
          </w14:textFill>
        </w:rPr>
      </w:pPr>
      <w:r>
        <w:rPr>
          <w:rFonts w:hint="eastAsia" w:ascii="仿宋_GB2312" w:hAnsi="仿宋" w:eastAsia="仿宋_GB2312" w:cs="微软雅黑"/>
          <w:bCs/>
          <w:color w:val="000000" w:themeColor="text1"/>
          <w:sz w:val="32"/>
          <w:szCs w:val="32"/>
          <w14:textFill>
            <w14:solidFill>
              <w14:schemeClr w14:val="tx1"/>
            </w14:solidFill>
          </w14:textFill>
        </w:rPr>
        <w:t>锡盟统计局</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4.实施方案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Segoe UI" w:eastAsia="仿宋_GB2312" w:cs="Segoe UI"/>
          <w:color w:val="404040"/>
          <w:kern w:val="0"/>
          <w:sz w:val="32"/>
          <w:szCs w:val="32"/>
        </w:rPr>
        <w:t>重点开展的</w:t>
      </w:r>
      <w:r>
        <w:rPr>
          <w:rFonts w:hint="eastAsia" w:ascii="仿宋_GB2312" w:hAnsi="仿宋_GB2312" w:eastAsia="仿宋_GB2312" w:cs="仿宋_GB2312"/>
          <w:bCs/>
          <w:color w:val="404040"/>
          <w:kern w:val="0"/>
          <w:sz w:val="32"/>
          <w:szCs w:val="32"/>
        </w:rPr>
        <w:t>全盟人口变动情况抽样调查数据核查</w:t>
      </w:r>
      <w:r>
        <w:rPr>
          <w:rFonts w:ascii="仿宋_GB2312" w:hAnsi="仿宋_GB2312" w:eastAsia="仿宋_GB2312" w:cs="仿宋_GB2312"/>
          <w:bCs/>
          <w:color w:val="404040"/>
          <w:kern w:val="0"/>
          <w:sz w:val="32"/>
          <w:szCs w:val="32"/>
        </w:rPr>
        <w:t>3</w:t>
      </w:r>
      <w:r>
        <w:rPr>
          <w:rFonts w:hint="eastAsia" w:ascii="仿宋_GB2312" w:hAnsi="仿宋_GB2312" w:eastAsia="仿宋_GB2312" w:cs="仿宋_GB2312"/>
          <w:bCs/>
          <w:color w:val="404040"/>
          <w:kern w:val="0"/>
          <w:sz w:val="32"/>
          <w:szCs w:val="32"/>
        </w:rPr>
        <w:t>万户，正式抽样调查近</w:t>
      </w:r>
      <w:r>
        <w:rPr>
          <w:rFonts w:ascii="仿宋_GB2312" w:hAnsi="仿宋_GB2312" w:eastAsia="仿宋_GB2312" w:cs="仿宋_GB2312"/>
          <w:bCs/>
          <w:color w:val="404040"/>
          <w:kern w:val="0"/>
          <w:sz w:val="32"/>
          <w:szCs w:val="32"/>
        </w:rPr>
        <w:t>0.4</w:t>
      </w:r>
      <w:r>
        <w:rPr>
          <w:rFonts w:hint="eastAsia" w:ascii="仿宋_GB2312" w:hAnsi="仿宋_GB2312" w:eastAsia="仿宋_GB2312" w:cs="仿宋_GB2312"/>
          <w:bCs/>
          <w:color w:val="404040"/>
          <w:kern w:val="0"/>
          <w:sz w:val="32"/>
          <w:szCs w:val="32"/>
        </w:rPr>
        <w:t>万户，调查</w:t>
      </w:r>
      <w:r>
        <w:rPr>
          <w:rFonts w:ascii="仿宋_GB2312" w:hAnsi="仿宋_GB2312" w:eastAsia="仿宋_GB2312" w:cs="仿宋_GB2312"/>
          <w:bCs/>
          <w:color w:val="404040"/>
          <w:kern w:val="0"/>
          <w:sz w:val="32"/>
          <w:szCs w:val="32"/>
        </w:rPr>
        <w:t>1.0</w:t>
      </w:r>
      <w:r>
        <w:rPr>
          <w:rFonts w:hint="eastAsia" w:ascii="仿宋_GB2312" w:hAnsi="仿宋_GB2312" w:eastAsia="仿宋_GB2312" w:cs="仿宋_GB2312"/>
          <w:bCs/>
          <w:color w:val="404040"/>
          <w:kern w:val="0"/>
          <w:sz w:val="32"/>
          <w:szCs w:val="32"/>
        </w:rPr>
        <w:t>万人。开展人口追踪调查</w:t>
      </w:r>
      <w:r>
        <w:rPr>
          <w:rFonts w:ascii="仿宋_GB2312" w:hAnsi="仿宋_GB2312" w:eastAsia="仿宋_GB2312" w:cs="仿宋_GB2312"/>
          <w:bCs/>
          <w:color w:val="404040"/>
          <w:kern w:val="0"/>
          <w:sz w:val="32"/>
          <w:szCs w:val="32"/>
        </w:rPr>
        <w:t>2</w:t>
      </w:r>
      <w:r>
        <w:rPr>
          <w:rFonts w:hint="eastAsia" w:ascii="仿宋_GB2312" w:hAnsi="仿宋_GB2312" w:eastAsia="仿宋_GB2312" w:cs="仿宋_GB2312"/>
          <w:bCs/>
          <w:color w:val="404040"/>
          <w:kern w:val="0"/>
          <w:sz w:val="32"/>
          <w:szCs w:val="32"/>
        </w:rPr>
        <w:t>次，约</w:t>
      </w:r>
      <w:r>
        <w:rPr>
          <w:rFonts w:ascii="仿宋_GB2312" w:hAnsi="仿宋_GB2312" w:eastAsia="仿宋_GB2312" w:cs="仿宋_GB2312"/>
          <w:bCs/>
          <w:color w:val="404040"/>
          <w:kern w:val="0"/>
          <w:sz w:val="32"/>
          <w:szCs w:val="32"/>
        </w:rPr>
        <w:t>160</w:t>
      </w:r>
      <w:r>
        <w:rPr>
          <w:rFonts w:hint="eastAsia" w:ascii="仿宋_GB2312" w:hAnsi="仿宋_GB2312" w:eastAsia="仿宋_GB2312" w:cs="仿宋_GB2312"/>
          <w:bCs/>
          <w:color w:val="404040"/>
          <w:kern w:val="0"/>
          <w:sz w:val="32"/>
          <w:szCs w:val="32"/>
        </w:rPr>
        <w:t>户。开展</w:t>
      </w:r>
      <w:r>
        <w:rPr>
          <w:rFonts w:ascii="仿宋_GB2312" w:hAnsi="仿宋_GB2312" w:eastAsia="仿宋_GB2312" w:cs="仿宋_GB2312"/>
          <w:bCs/>
          <w:color w:val="404040"/>
          <w:kern w:val="0"/>
          <w:sz w:val="32"/>
          <w:szCs w:val="32"/>
        </w:rPr>
        <w:t>1%</w:t>
      </w:r>
      <w:r>
        <w:rPr>
          <w:rFonts w:hint="eastAsia" w:ascii="仿宋_GB2312" w:hAnsi="仿宋_GB2312" w:eastAsia="仿宋_GB2312" w:cs="仿宋_GB2312"/>
          <w:bCs/>
          <w:color w:val="404040"/>
          <w:kern w:val="0"/>
          <w:sz w:val="32"/>
          <w:szCs w:val="32"/>
        </w:rPr>
        <w:t>人口抽样调查资料开发工作。</w:t>
      </w:r>
      <w:r>
        <w:rPr>
          <w:rFonts w:hint="eastAsia" w:ascii="仿宋_GB2312" w:hAnsi="Segoe UI" w:eastAsia="仿宋_GB2312" w:cs="Segoe UI"/>
          <w:color w:val="404040"/>
          <w:sz w:val="32"/>
          <w:szCs w:val="32"/>
        </w:rPr>
        <w:t>开展</w:t>
      </w:r>
      <w:r>
        <w:rPr>
          <w:rFonts w:ascii="仿宋_GB2312" w:hAnsi="Segoe UI" w:eastAsia="仿宋_GB2312" w:cs="Segoe UI"/>
          <w:color w:val="404040"/>
          <w:sz w:val="32"/>
          <w:szCs w:val="32"/>
        </w:rPr>
        <w:t>劳动工资统计</w:t>
      </w:r>
      <w:r>
        <w:rPr>
          <w:rFonts w:hint="eastAsia" w:ascii="仿宋_GB2312" w:hAnsi="Segoe UI" w:eastAsia="仿宋_GB2312" w:cs="Segoe UI"/>
          <w:color w:val="404040"/>
          <w:sz w:val="32"/>
          <w:szCs w:val="32"/>
        </w:rPr>
        <w:t>工作</w:t>
      </w:r>
      <w:r>
        <w:rPr>
          <w:rFonts w:ascii="仿宋_GB2312" w:hAnsi="Segoe UI" w:eastAsia="仿宋_GB2312" w:cs="Segoe UI"/>
          <w:color w:val="404040"/>
          <w:sz w:val="32"/>
          <w:szCs w:val="32"/>
        </w:rPr>
        <w:t>，</w:t>
      </w:r>
      <w:r>
        <w:rPr>
          <w:rFonts w:hint="eastAsia" w:ascii="仿宋_GB2312" w:hAnsi="仿宋" w:eastAsia="仿宋_GB2312"/>
          <w:bCs/>
          <w:color w:val="000000" w:themeColor="text1"/>
          <w:sz w:val="32"/>
          <w:szCs w:val="32"/>
          <w14:textFill>
            <w14:solidFill>
              <w14:schemeClr w14:val="tx1"/>
            </w14:solidFill>
          </w14:textFill>
        </w:rPr>
        <w:t>全面、准确、及时反映全部法人单位的从业人员和平均工资等方面的数据，以满足国民经济核算、收入分配和社会保障政策制定等相关需求。</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5.实施周期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自202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年1月1日至202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 xml:space="preserve">年12月31日。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6.年度预算安排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年该项目预算</w:t>
      </w:r>
      <w:r>
        <w:rPr>
          <w:rFonts w:ascii="仿宋_GB2312" w:hAnsi="仿宋" w:eastAsia="仿宋_GB2312"/>
          <w:bCs/>
          <w:color w:val="000000" w:themeColor="text1"/>
          <w:sz w:val="32"/>
          <w:szCs w:val="32"/>
          <w14:textFill>
            <w14:solidFill>
              <w14:schemeClr w14:val="tx1"/>
            </w14:solidFill>
          </w14:textFill>
        </w:rPr>
        <w:t>16.74</w:t>
      </w:r>
      <w:r>
        <w:rPr>
          <w:rFonts w:hint="eastAsia" w:ascii="仿宋_GB2312" w:hAnsi="仿宋" w:eastAsia="仿宋_GB2312"/>
          <w:bCs/>
          <w:color w:val="000000" w:themeColor="text1"/>
          <w:sz w:val="32"/>
          <w:szCs w:val="32"/>
          <w14:textFill>
            <w14:solidFill>
              <w14:schemeClr w14:val="tx1"/>
            </w14:solidFill>
          </w14:textFill>
        </w:rPr>
        <w:t>万元。其中本年拨款</w:t>
      </w:r>
      <w:r>
        <w:rPr>
          <w:rFonts w:ascii="仿宋_GB2312" w:hAnsi="仿宋" w:eastAsia="仿宋_GB2312"/>
          <w:bCs/>
          <w:color w:val="000000" w:themeColor="text1"/>
          <w:sz w:val="32"/>
          <w:szCs w:val="32"/>
          <w14:textFill>
            <w14:solidFill>
              <w14:schemeClr w14:val="tx1"/>
            </w14:solidFill>
          </w14:textFill>
        </w:rPr>
        <w:t>15.5</w:t>
      </w:r>
      <w:r>
        <w:rPr>
          <w:rFonts w:hint="eastAsia" w:ascii="仿宋_GB2312" w:hAnsi="仿宋" w:eastAsia="仿宋_GB2312"/>
          <w:bCs/>
          <w:color w:val="000000" w:themeColor="text1"/>
          <w:sz w:val="32"/>
          <w:szCs w:val="32"/>
          <w14:textFill>
            <w14:solidFill>
              <w14:schemeClr w14:val="tx1"/>
            </w14:solidFill>
          </w14:textFill>
        </w:rPr>
        <w:t>万元，财政拨款结转结余</w:t>
      </w:r>
      <w:r>
        <w:rPr>
          <w:rFonts w:ascii="仿宋_GB2312" w:hAnsi="仿宋" w:eastAsia="仿宋_GB2312"/>
          <w:bCs/>
          <w:color w:val="000000" w:themeColor="text1"/>
          <w:sz w:val="32"/>
          <w:szCs w:val="32"/>
          <w14:textFill>
            <w14:solidFill>
              <w14:schemeClr w14:val="tx1"/>
            </w14:solidFill>
          </w14:textFill>
        </w:rPr>
        <w:t>1.24</w:t>
      </w:r>
      <w:r>
        <w:rPr>
          <w:rFonts w:hint="eastAsia" w:ascii="仿宋_GB2312" w:hAnsi="仿宋" w:eastAsia="仿宋_GB2312"/>
          <w:bCs/>
          <w:color w:val="000000" w:themeColor="text1"/>
          <w:sz w:val="32"/>
          <w:szCs w:val="32"/>
          <w14:textFill>
            <w14:solidFill>
              <w14:schemeClr w14:val="tx1"/>
            </w14:solidFill>
          </w14:textFill>
        </w:rPr>
        <w:t>万元。</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（二）综合统计业务</w:t>
      </w:r>
    </w:p>
    <w:p>
      <w:pPr>
        <w:pBdr>
          <w:bottom w:val="single" w:color="FFFFFF" w:sz="4" w:space="30"/>
        </w:pBdr>
        <w:snapToGrid w:val="0"/>
        <w:spacing w:line="600" w:lineRule="exact"/>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    1.项目概述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本项目主要用于保障生产总值核算、企业直报、民营经济增加值核算、规上服务业、社会消费品零售等小型调查项目的开展。发布盟内生产总值、社会消费品零售的统计数据，并分析研究相关产业的发展结构，监测、预测地方宏观经济运行，对基层起报单位进行常态化数据核查。</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2.立项依据 </w:t>
      </w:r>
    </w:p>
    <w:p>
      <w:pPr>
        <w:pBdr>
          <w:bottom w:val="single" w:color="FFFFFF" w:sz="4" w:space="30"/>
        </w:pBdr>
        <w:snapToGrid w:val="0"/>
        <w:spacing w:line="600" w:lineRule="exact"/>
        <w:ind w:firstLine="640" w:firstLineChars="200"/>
        <w:rPr>
          <w:rStyle w:val="41"/>
          <w:rFonts w:ascii="仿宋_GB2312" w:hAnsi="仿宋" w:eastAsia="仿宋_GB2312"/>
          <w:color w:val="000000"/>
          <w:sz w:val="32"/>
          <w:szCs w:val="32"/>
        </w:rPr>
      </w:pPr>
      <w:r>
        <w:rPr>
          <w:rStyle w:val="41"/>
          <w:rFonts w:hint="eastAsia" w:ascii="仿宋_GB2312" w:hAnsi="仿宋" w:eastAsia="仿宋_GB2312"/>
          <w:color w:val="000000"/>
          <w:sz w:val="32"/>
          <w:szCs w:val="32"/>
        </w:rPr>
        <w:t>《统计法》、统计各专业报表制度</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3.实施主体 </w:t>
      </w:r>
    </w:p>
    <w:p>
      <w:pPr>
        <w:pBdr>
          <w:bottom w:val="single" w:color="FFFFFF" w:sz="4" w:space="30"/>
        </w:pBdr>
        <w:snapToGrid w:val="0"/>
        <w:spacing w:line="600" w:lineRule="exact"/>
        <w:ind w:firstLine="640" w:firstLineChars="200"/>
        <w:rPr>
          <w:rFonts w:ascii="仿宋_GB2312" w:hAnsi="仿宋" w:eastAsia="仿宋_GB2312" w:cs="微软雅黑"/>
          <w:bCs/>
          <w:color w:val="000000" w:themeColor="text1"/>
          <w:sz w:val="32"/>
          <w:szCs w:val="32"/>
          <w14:textFill>
            <w14:solidFill>
              <w14:schemeClr w14:val="tx1"/>
            </w14:solidFill>
          </w14:textFill>
        </w:rPr>
      </w:pPr>
      <w:r>
        <w:rPr>
          <w:rFonts w:hint="eastAsia" w:ascii="仿宋_GB2312" w:hAnsi="仿宋" w:eastAsia="仿宋_GB2312" w:cs="微软雅黑"/>
          <w:bCs/>
          <w:color w:val="000000" w:themeColor="text1"/>
          <w:sz w:val="32"/>
          <w:szCs w:val="32"/>
          <w14:textFill>
            <w14:solidFill>
              <w14:schemeClr w14:val="tx1"/>
            </w14:solidFill>
          </w14:textFill>
        </w:rPr>
        <w:t>锡盟统计局</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4.实施方案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全面了解和反映工业、建筑业、批发和零售业、住宿和餐饮业、房地产业、规模以上服务业等国民经济行业调查单位生产经营全过程，核算全盟生产总值，汇编提供国民经济核算资料，收集、汇总、整理和提供有关调查的统计数据，综合整理和提供基本统计数据。收集、汇总、整理和提供有关调查的统计数据，综合整理和提供能源、房屋、对外贸易等基本统计数据。对国民经济、社会发展、资源环境等情况进行统计分析、统计预测和统计监督，向政府及有关部门提供统计信息和咨询建议，为政府制定政策和规划、进行经济管理与调控提供依据。</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5.实施周期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自202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年1月1日至202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 xml:space="preserve">年12月31日。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6.年度预算安排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年该项目预算</w:t>
      </w:r>
      <w:r>
        <w:rPr>
          <w:rFonts w:ascii="仿宋_GB2312" w:hAnsi="仿宋" w:eastAsia="仿宋_GB2312"/>
          <w:bCs/>
          <w:color w:val="000000" w:themeColor="text1"/>
          <w:sz w:val="32"/>
          <w:szCs w:val="32"/>
          <w14:textFill>
            <w14:solidFill>
              <w14:schemeClr w14:val="tx1"/>
            </w14:solidFill>
          </w14:textFill>
        </w:rPr>
        <w:t>27.55</w:t>
      </w:r>
      <w:r>
        <w:rPr>
          <w:rFonts w:hint="eastAsia" w:ascii="仿宋_GB2312" w:hAnsi="仿宋" w:eastAsia="仿宋_GB2312"/>
          <w:bCs/>
          <w:color w:val="000000" w:themeColor="text1"/>
          <w:sz w:val="32"/>
          <w:szCs w:val="32"/>
          <w14:textFill>
            <w14:solidFill>
              <w14:schemeClr w14:val="tx1"/>
            </w14:solidFill>
          </w14:textFill>
        </w:rPr>
        <w:t>万元。其中本年拨款2</w:t>
      </w:r>
      <w:r>
        <w:rPr>
          <w:rFonts w:ascii="仿宋_GB2312" w:hAnsi="仿宋" w:eastAsia="仿宋_GB2312"/>
          <w:bCs/>
          <w:color w:val="000000" w:themeColor="text1"/>
          <w:sz w:val="32"/>
          <w:szCs w:val="32"/>
          <w14:textFill>
            <w14:solidFill>
              <w14:schemeClr w14:val="tx1"/>
            </w14:solidFill>
          </w14:textFill>
        </w:rPr>
        <w:t>5</w:t>
      </w:r>
      <w:r>
        <w:rPr>
          <w:rFonts w:hint="eastAsia" w:ascii="仿宋_GB2312" w:hAnsi="仿宋" w:eastAsia="仿宋_GB2312"/>
          <w:bCs/>
          <w:color w:val="000000" w:themeColor="text1"/>
          <w:sz w:val="32"/>
          <w:szCs w:val="32"/>
          <w14:textFill>
            <w14:solidFill>
              <w14:schemeClr w14:val="tx1"/>
            </w14:solidFill>
          </w14:textFill>
        </w:rPr>
        <w:t>万元，财政拨款结转结余</w:t>
      </w:r>
      <w:r>
        <w:rPr>
          <w:rFonts w:ascii="仿宋_GB2312" w:hAnsi="仿宋" w:eastAsia="仿宋_GB2312"/>
          <w:bCs/>
          <w:color w:val="000000" w:themeColor="text1"/>
          <w:sz w:val="32"/>
          <w:szCs w:val="32"/>
          <w14:textFill>
            <w14:solidFill>
              <w14:schemeClr w14:val="tx1"/>
            </w14:solidFill>
          </w14:textFill>
        </w:rPr>
        <w:t>2.55</w:t>
      </w:r>
      <w:r>
        <w:rPr>
          <w:rFonts w:hint="eastAsia" w:ascii="仿宋_GB2312" w:hAnsi="仿宋" w:eastAsia="仿宋_GB2312"/>
          <w:bCs/>
          <w:color w:val="000000" w:themeColor="text1"/>
          <w:sz w:val="32"/>
          <w:szCs w:val="32"/>
          <w14:textFill>
            <w14:solidFill>
              <w14:schemeClr w14:val="tx1"/>
            </w14:solidFill>
          </w14:textFill>
        </w:rPr>
        <w:t>万元。</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（三）统计执法监督工作</w:t>
      </w:r>
    </w:p>
    <w:p>
      <w:pPr>
        <w:pBdr>
          <w:bottom w:val="single" w:color="FFFFFF" w:sz="4" w:space="30"/>
        </w:pBdr>
        <w:snapToGrid w:val="0"/>
        <w:spacing w:line="600" w:lineRule="exact"/>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    1.项目概述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规范部门统计调查行为，对我盟全部法人单位、产业活动单位进行双随机执法检查；做好基层基础规范化建设工作。</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2.立项依据 </w:t>
      </w:r>
    </w:p>
    <w:p>
      <w:pPr>
        <w:pBdr>
          <w:bottom w:val="single" w:color="FFFFFF" w:sz="4" w:space="30"/>
        </w:pBdr>
        <w:snapToGrid w:val="0"/>
        <w:spacing w:line="600" w:lineRule="exact"/>
        <w:ind w:firstLine="640" w:firstLineChars="200"/>
        <w:rPr>
          <w:rStyle w:val="41"/>
          <w:rFonts w:ascii="仿宋_GB2312" w:hAnsi="仿宋" w:eastAsia="仿宋_GB2312"/>
          <w:color w:val="000000"/>
          <w:sz w:val="32"/>
          <w:szCs w:val="32"/>
        </w:rPr>
      </w:pPr>
      <w:r>
        <w:rPr>
          <w:rStyle w:val="41"/>
          <w:rFonts w:hint="eastAsia" w:ascii="仿宋_GB2312" w:hAnsi="仿宋" w:eastAsia="仿宋_GB2312"/>
          <w:color w:val="000000"/>
          <w:sz w:val="32"/>
          <w:szCs w:val="32"/>
        </w:rPr>
        <w:t>（1）按照《中华人民共和国统计法》。（2）统计执法常用法律规范。（3）统计执法检查规定（2001年6月20日国家统计局制定）。（4）关于印发《内蒙古自治区统计局统计执法“双随机”抽查办法（试行）》的通知（内统计〔2018〕63号）。</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3.实施主体 </w:t>
      </w:r>
    </w:p>
    <w:p>
      <w:pPr>
        <w:pBdr>
          <w:bottom w:val="single" w:color="FFFFFF" w:sz="4" w:space="30"/>
        </w:pBdr>
        <w:snapToGrid w:val="0"/>
        <w:spacing w:line="600" w:lineRule="exact"/>
        <w:ind w:firstLine="640" w:firstLineChars="200"/>
        <w:rPr>
          <w:rFonts w:ascii="仿宋_GB2312" w:hAnsi="仿宋" w:eastAsia="仿宋_GB2312" w:cs="微软雅黑"/>
          <w:bCs/>
          <w:color w:val="000000" w:themeColor="text1"/>
          <w:sz w:val="32"/>
          <w:szCs w:val="32"/>
          <w14:textFill>
            <w14:solidFill>
              <w14:schemeClr w14:val="tx1"/>
            </w14:solidFill>
          </w14:textFill>
        </w:rPr>
      </w:pPr>
      <w:r>
        <w:rPr>
          <w:rFonts w:hint="eastAsia" w:ascii="仿宋_GB2312" w:hAnsi="仿宋" w:eastAsia="仿宋_GB2312" w:cs="微软雅黑"/>
          <w:bCs/>
          <w:color w:val="000000" w:themeColor="text1"/>
          <w:sz w:val="32"/>
          <w:szCs w:val="32"/>
          <w14:textFill>
            <w14:solidFill>
              <w14:schemeClr w14:val="tx1"/>
            </w14:solidFill>
          </w14:textFill>
        </w:rPr>
        <w:t>锡盟统计局</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4.实施方案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依法依纪惩处统计弄虚作假，从源头上遏制“数字上的腐败”。深入贯彻落实中央《意见》《办法》《规定》。对我盟境内从事的全部法人单位、产业活动单位进行双随机执法检查。根据规定做好统计普法宣传工作。建立健全统计法各项规章制度。开展统计法培训教育活动。</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5.实施周期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自202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年1月1日至202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 xml:space="preserve">年12月31日。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6.年度预算安排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年该项目预算</w:t>
      </w:r>
      <w:r>
        <w:rPr>
          <w:rFonts w:ascii="仿宋_GB2312" w:hAnsi="仿宋" w:eastAsia="仿宋_GB2312"/>
          <w:bCs/>
          <w:color w:val="000000" w:themeColor="text1"/>
          <w:sz w:val="32"/>
          <w:szCs w:val="32"/>
          <w14:textFill>
            <w14:solidFill>
              <w14:schemeClr w14:val="tx1"/>
            </w14:solidFill>
          </w14:textFill>
        </w:rPr>
        <w:t>17.5</w:t>
      </w:r>
      <w:r>
        <w:rPr>
          <w:rFonts w:hint="eastAsia" w:ascii="仿宋_GB2312" w:hAnsi="仿宋" w:eastAsia="仿宋_GB2312"/>
          <w:bCs/>
          <w:color w:val="000000" w:themeColor="text1"/>
          <w:sz w:val="32"/>
          <w:szCs w:val="32"/>
          <w14:textFill>
            <w14:solidFill>
              <w14:schemeClr w14:val="tx1"/>
            </w14:solidFill>
          </w14:textFill>
        </w:rPr>
        <w:t>万元。其中本年拨款</w:t>
      </w:r>
      <w:r>
        <w:rPr>
          <w:rFonts w:ascii="仿宋_GB2312" w:hAnsi="仿宋" w:eastAsia="仿宋_GB2312"/>
          <w:bCs/>
          <w:color w:val="000000" w:themeColor="text1"/>
          <w:sz w:val="32"/>
          <w:szCs w:val="32"/>
          <w14:textFill>
            <w14:solidFill>
              <w14:schemeClr w14:val="tx1"/>
            </w14:solidFill>
          </w14:textFill>
        </w:rPr>
        <w:t>10</w:t>
      </w:r>
      <w:r>
        <w:rPr>
          <w:rFonts w:hint="eastAsia" w:ascii="仿宋_GB2312" w:hAnsi="仿宋" w:eastAsia="仿宋_GB2312"/>
          <w:bCs/>
          <w:color w:val="000000" w:themeColor="text1"/>
          <w:sz w:val="32"/>
          <w:szCs w:val="32"/>
          <w14:textFill>
            <w14:solidFill>
              <w14:schemeClr w14:val="tx1"/>
            </w14:solidFill>
          </w14:textFill>
        </w:rPr>
        <w:t>万元，财政拨款结转结余</w:t>
      </w:r>
      <w:r>
        <w:rPr>
          <w:rFonts w:ascii="仿宋_GB2312" w:hAnsi="仿宋" w:eastAsia="仿宋_GB2312"/>
          <w:bCs/>
          <w:color w:val="000000" w:themeColor="text1"/>
          <w:sz w:val="32"/>
          <w:szCs w:val="32"/>
          <w14:textFill>
            <w14:solidFill>
              <w14:schemeClr w14:val="tx1"/>
            </w14:solidFill>
          </w14:textFill>
        </w:rPr>
        <w:t>7.5</w:t>
      </w:r>
      <w:r>
        <w:rPr>
          <w:rFonts w:hint="eastAsia" w:ascii="仿宋_GB2312" w:hAnsi="仿宋" w:eastAsia="仿宋_GB2312"/>
          <w:bCs/>
          <w:color w:val="000000" w:themeColor="text1"/>
          <w:sz w:val="32"/>
          <w:szCs w:val="32"/>
          <w14:textFill>
            <w14:solidFill>
              <w14:schemeClr w14:val="tx1"/>
            </w14:solidFill>
          </w14:textFill>
        </w:rPr>
        <w:t>万元。</w:t>
      </w:r>
    </w:p>
    <w:p>
      <w:pPr>
        <w:pBdr>
          <w:bottom w:val="single" w:color="FFFFFF" w:sz="4" w:space="30"/>
        </w:pBdr>
        <w:snapToGrid w:val="0"/>
        <w:spacing w:line="600" w:lineRule="exact"/>
        <w:ind w:firstLine="480" w:firstLineChars="150"/>
        <w:rPr>
          <w:rFonts w:ascii="仿宋_GB2312" w:hAnsi="仿宋" w:eastAsia="仿宋_GB2312"/>
          <w:bCs/>
          <w:sz w:val="32"/>
          <w:szCs w:val="32"/>
        </w:rPr>
      </w:pPr>
      <w:r>
        <w:rPr>
          <w:rFonts w:hint="eastAsia" w:ascii="仿宋_GB2312" w:hAnsi="仿宋" w:eastAsia="仿宋_GB2312"/>
          <w:bCs/>
          <w:sz w:val="32"/>
          <w:szCs w:val="32"/>
        </w:rPr>
        <w:t>（四）第四次全国农业普查</w:t>
      </w:r>
      <w:r>
        <w:rPr>
          <w:rFonts w:ascii="仿宋_GB2312" w:hAnsi="仿宋" w:eastAsia="仿宋_GB2312"/>
          <w:bCs/>
          <w:sz w:val="32"/>
          <w:szCs w:val="32"/>
        </w:rPr>
        <w:t>工作</w:t>
      </w:r>
    </w:p>
    <w:p>
      <w:pPr>
        <w:pBdr>
          <w:bottom w:val="single" w:color="FFFFFF" w:sz="4" w:space="30"/>
        </w:pBdr>
        <w:snapToGrid w:val="0"/>
        <w:spacing w:line="600" w:lineRule="exact"/>
        <w:rPr>
          <w:rFonts w:ascii="仿宋_GB2312" w:hAnsi="仿宋" w:eastAsia="仿宋_GB2312"/>
          <w:bCs/>
          <w:sz w:val="32"/>
          <w:szCs w:val="32"/>
        </w:rPr>
      </w:pPr>
      <w:r>
        <w:rPr>
          <w:rFonts w:hint="eastAsia" w:ascii="仿宋_GB2312" w:hAnsi="仿宋" w:eastAsia="仿宋_GB2312"/>
          <w:bCs/>
          <w:sz w:val="32"/>
          <w:szCs w:val="32"/>
        </w:rPr>
        <w:t xml:space="preserve">    1.项目概述 </w:t>
      </w:r>
    </w:p>
    <w:p>
      <w:pPr>
        <w:pBdr>
          <w:bottom w:val="single" w:color="FFFFFF" w:sz="4" w:space="30"/>
        </w:pBdr>
        <w:snapToGrid w:val="0"/>
        <w:spacing w:line="600" w:lineRule="exact"/>
        <w:ind w:firstLine="640" w:firstLineChars="200"/>
        <w:rPr>
          <w:rFonts w:ascii="仿宋_GB2312" w:hAnsi="仿宋" w:eastAsia="仿宋_GB2312"/>
          <w:bCs/>
          <w:sz w:val="32"/>
          <w:szCs w:val="32"/>
        </w:rPr>
      </w:pPr>
      <w:r>
        <w:rPr>
          <w:rFonts w:hint="eastAsia" w:ascii="仿宋_GB2312" w:hAnsi="仿宋" w:eastAsia="仿宋_GB2312"/>
          <w:bCs/>
          <w:sz w:val="32"/>
          <w:szCs w:val="32"/>
        </w:rPr>
        <w:t>根据《全国农业普查条例》规定，我国将于</w:t>
      </w:r>
      <w:r>
        <w:rPr>
          <w:rFonts w:ascii="仿宋_GB2312" w:hAnsi="仿宋" w:eastAsia="仿宋_GB2312"/>
          <w:bCs/>
          <w:sz w:val="32"/>
          <w:szCs w:val="32"/>
        </w:rPr>
        <w:t>2026</w:t>
      </w:r>
      <w:r>
        <w:rPr>
          <w:rFonts w:hint="eastAsia" w:ascii="仿宋_GB2312" w:hAnsi="仿宋" w:eastAsia="仿宋_GB2312"/>
          <w:bCs/>
          <w:sz w:val="32"/>
          <w:szCs w:val="32"/>
        </w:rPr>
        <w:t xml:space="preserve">年开展第四次全国农业普查。 </w:t>
      </w:r>
    </w:p>
    <w:p>
      <w:pPr>
        <w:pBdr>
          <w:bottom w:val="single" w:color="FFFFFF" w:sz="4" w:space="30"/>
        </w:pBdr>
        <w:snapToGrid w:val="0"/>
        <w:spacing w:line="600" w:lineRule="exact"/>
        <w:ind w:firstLine="640" w:firstLineChars="200"/>
        <w:rPr>
          <w:rFonts w:ascii="仿宋_GB2312" w:hAnsi="仿宋" w:eastAsia="仿宋_GB2312"/>
          <w:bCs/>
          <w:sz w:val="32"/>
          <w:szCs w:val="32"/>
        </w:rPr>
      </w:pPr>
      <w:r>
        <w:rPr>
          <w:rFonts w:hint="eastAsia" w:ascii="仿宋_GB2312" w:hAnsi="仿宋" w:eastAsia="仿宋_GB2312"/>
          <w:bCs/>
          <w:sz w:val="32"/>
          <w:szCs w:val="32"/>
        </w:rPr>
        <w:t xml:space="preserve">2.立项依据 </w:t>
      </w:r>
    </w:p>
    <w:p>
      <w:pPr>
        <w:pBdr>
          <w:bottom w:val="single" w:color="FFFFFF" w:sz="4" w:space="30"/>
        </w:pBdr>
        <w:snapToGrid w:val="0"/>
        <w:spacing w:line="600" w:lineRule="exact"/>
        <w:ind w:firstLine="640" w:firstLineChars="200"/>
        <w:rPr>
          <w:rFonts w:ascii="仿宋_GB2312" w:hAnsi="仿宋" w:eastAsia="仿宋_GB2312"/>
          <w:bCs/>
          <w:sz w:val="32"/>
          <w:szCs w:val="32"/>
        </w:rPr>
      </w:pPr>
      <w:r>
        <w:rPr>
          <w:rFonts w:hint="eastAsia" w:ascii="仿宋_GB2312" w:hAnsi="仿宋" w:eastAsia="仿宋_GB2312"/>
          <w:bCs/>
          <w:sz w:val="32"/>
          <w:szCs w:val="32"/>
        </w:rPr>
        <w:t>《中华人民共和国统计法》、《全国农业普查条例》</w:t>
      </w:r>
    </w:p>
    <w:p>
      <w:pPr>
        <w:pBdr>
          <w:bottom w:val="single" w:color="FFFFFF" w:sz="4" w:space="30"/>
        </w:pBdr>
        <w:snapToGrid w:val="0"/>
        <w:spacing w:line="600" w:lineRule="exact"/>
        <w:ind w:firstLine="640" w:firstLineChars="200"/>
        <w:rPr>
          <w:rFonts w:ascii="仿宋_GB2312" w:hAnsi="仿宋" w:eastAsia="仿宋_GB2312"/>
          <w:bCs/>
          <w:sz w:val="32"/>
          <w:szCs w:val="32"/>
        </w:rPr>
      </w:pPr>
      <w:r>
        <w:rPr>
          <w:rFonts w:hint="eastAsia" w:ascii="仿宋_GB2312" w:hAnsi="仿宋" w:eastAsia="仿宋_GB2312"/>
          <w:bCs/>
          <w:sz w:val="32"/>
          <w:szCs w:val="32"/>
        </w:rPr>
        <w:t xml:space="preserve">3.实施主体 </w:t>
      </w:r>
    </w:p>
    <w:p>
      <w:pPr>
        <w:pBdr>
          <w:bottom w:val="single" w:color="FFFFFF" w:sz="4" w:space="30"/>
        </w:pBdr>
        <w:snapToGrid w:val="0"/>
        <w:spacing w:line="600" w:lineRule="exact"/>
        <w:ind w:firstLine="640" w:firstLineChars="200"/>
        <w:rPr>
          <w:rFonts w:ascii="仿宋_GB2312" w:hAnsi="仿宋" w:eastAsia="仿宋_GB2312" w:cs="微软雅黑"/>
          <w:bCs/>
          <w:sz w:val="32"/>
          <w:szCs w:val="32"/>
        </w:rPr>
      </w:pPr>
      <w:r>
        <w:rPr>
          <w:rFonts w:hint="eastAsia" w:ascii="仿宋_GB2312" w:hAnsi="仿宋" w:eastAsia="仿宋_GB2312" w:cs="微软雅黑"/>
          <w:bCs/>
          <w:sz w:val="32"/>
          <w:szCs w:val="32"/>
        </w:rPr>
        <w:t>锡盟统计局</w:t>
      </w:r>
    </w:p>
    <w:p>
      <w:pPr>
        <w:pBdr>
          <w:bottom w:val="single" w:color="FFFFFF" w:sz="4" w:space="30"/>
        </w:pBdr>
        <w:snapToGrid w:val="0"/>
        <w:spacing w:line="600" w:lineRule="exact"/>
        <w:ind w:firstLine="640" w:firstLineChars="200"/>
        <w:rPr>
          <w:rFonts w:ascii="仿宋_GB2312" w:hAnsi="仿宋" w:eastAsia="仿宋_GB2312"/>
          <w:bCs/>
          <w:sz w:val="32"/>
          <w:szCs w:val="32"/>
        </w:rPr>
      </w:pPr>
      <w:r>
        <w:rPr>
          <w:rFonts w:hint="eastAsia" w:ascii="仿宋_GB2312" w:hAnsi="仿宋" w:eastAsia="仿宋_GB2312"/>
          <w:bCs/>
          <w:sz w:val="32"/>
          <w:szCs w:val="32"/>
        </w:rPr>
        <w:t xml:space="preserve">4.实施方案 </w:t>
      </w:r>
    </w:p>
    <w:p>
      <w:pPr>
        <w:pBdr>
          <w:bottom w:val="single" w:color="FFFFFF" w:sz="4" w:space="30"/>
        </w:pBdr>
        <w:snapToGrid w:val="0"/>
        <w:spacing w:line="600" w:lineRule="exact"/>
        <w:ind w:firstLine="640" w:firstLineChars="200"/>
        <w:rPr>
          <w:rFonts w:ascii="仿宋_GB2312" w:hAnsi="仿宋" w:eastAsia="仿宋_GB2312"/>
          <w:bCs/>
          <w:sz w:val="32"/>
          <w:szCs w:val="32"/>
        </w:rPr>
      </w:pPr>
      <w:r>
        <w:rPr>
          <w:rFonts w:hint="eastAsia" w:ascii="仿宋_GB2312" w:hAnsi="仿宋" w:eastAsia="仿宋_GB2312"/>
          <w:bCs/>
          <w:sz w:val="32"/>
          <w:szCs w:val="32"/>
        </w:rPr>
        <w:t>严格</w:t>
      </w:r>
      <w:r>
        <w:rPr>
          <w:rFonts w:ascii="仿宋_GB2312" w:hAnsi="仿宋" w:eastAsia="仿宋_GB2312"/>
          <w:bCs/>
          <w:sz w:val="32"/>
          <w:szCs w:val="32"/>
        </w:rPr>
        <w:t>执行普查方案，实事求是开展普查登记，</w:t>
      </w:r>
      <w:r>
        <w:rPr>
          <w:rFonts w:hint="eastAsia" w:ascii="仿宋_GB2312" w:eastAsia="仿宋_GB2312"/>
          <w:sz w:val="32"/>
          <w:szCs w:val="32"/>
        </w:rPr>
        <w:t>加强普查指导培训，强化数据质量审核，坚决杜绝统计造假行为，确保普查数据真实准确、完整可信。认真做好普查宣传，引导社会各界积极参与。</w:t>
      </w:r>
      <w:r>
        <w:rPr>
          <w:rFonts w:hint="eastAsia" w:ascii="仿宋_GB2312" w:hAnsi="仿宋" w:eastAsia="仿宋_GB2312"/>
          <w:bCs/>
          <w:sz w:val="32"/>
          <w:szCs w:val="32"/>
        </w:rPr>
        <w:t>为科学制定“三农”政策、推进乡村全面振兴、加快农业农村现代化、建设农业强国，提供准确的统计信息支撑。</w:t>
      </w:r>
    </w:p>
    <w:p>
      <w:pPr>
        <w:pBdr>
          <w:bottom w:val="single" w:color="FFFFFF" w:sz="4" w:space="30"/>
        </w:pBdr>
        <w:snapToGrid w:val="0"/>
        <w:spacing w:line="600" w:lineRule="exact"/>
        <w:ind w:firstLine="640" w:firstLineChars="200"/>
        <w:rPr>
          <w:rFonts w:ascii="仿宋_GB2312" w:hAnsi="仿宋" w:eastAsia="仿宋_GB2312"/>
          <w:bCs/>
          <w:sz w:val="32"/>
          <w:szCs w:val="32"/>
        </w:rPr>
      </w:pPr>
      <w:r>
        <w:rPr>
          <w:rFonts w:hint="eastAsia" w:ascii="仿宋_GB2312" w:hAnsi="仿宋" w:eastAsia="仿宋_GB2312"/>
          <w:bCs/>
          <w:sz w:val="32"/>
          <w:szCs w:val="32"/>
        </w:rPr>
        <w:t xml:space="preserve">5.实施周期 </w:t>
      </w:r>
    </w:p>
    <w:p>
      <w:pPr>
        <w:pBdr>
          <w:bottom w:val="single" w:color="FFFFFF" w:sz="4" w:space="30"/>
        </w:pBdr>
        <w:snapToGrid w:val="0"/>
        <w:spacing w:line="600" w:lineRule="exact"/>
        <w:ind w:firstLine="640" w:firstLineChars="200"/>
        <w:rPr>
          <w:rFonts w:ascii="仿宋_GB2312" w:hAnsi="仿宋" w:eastAsia="仿宋_GB2312"/>
          <w:bCs/>
          <w:sz w:val="32"/>
          <w:szCs w:val="32"/>
        </w:rPr>
      </w:pPr>
      <w:r>
        <w:rPr>
          <w:rFonts w:hint="eastAsia" w:ascii="仿宋_GB2312" w:hAnsi="仿宋" w:eastAsia="仿宋_GB2312"/>
          <w:bCs/>
          <w:sz w:val="32"/>
          <w:szCs w:val="32"/>
        </w:rPr>
        <w:t>自202</w:t>
      </w:r>
      <w:r>
        <w:rPr>
          <w:rFonts w:ascii="仿宋_GB2312" w:hAnsi="仿宋" w:eastAsia="仿宋_GB2312"/>
          <w:bCs/>
          <w:sz w:val="32"/>
          <w:szCs w:val="32"/>
        </w:rPr>
        <w:t>6</w:t>
      </w:r>
      <w:r>
        <w:rPr>
          <w:rFonts w:hint="eastAsia" w:ascii="仿宋_GB2312" w:hAnsi="仿宋" w:eastAsia="仿宋_GB2312"/>
          <w:bCs/>
          <w:sz w:val="32"/>
          <w:szCs w:val="32"/>
        </w:rPr>
        <w:t>年1月1日至202</w:t>
      </w:r>
      <w:r>
        <w:rPr>
          <w:rFonts w:ascii="仿宋_GB2312" w:hAnsi="仿宋" w:eastAsia="仿宋_GB2312"/>
          <w:bCs/>
          <w:sz w:val="32"/>
          <w:szCs w:val="32"/>
        </w:rPr>
        <w:t>6</w:t>
      </w:r>
      <w:r>
        <w:rPr>
          <w:rFonts w:hint="eastAsia" w:ascii="仿宋_GB2312" w:hAnsi="仿宋" w:eastAsia="仿宋_GB2312"/>
          <w:bCs/>
          <w:sz w:val="32"/>
          <w:szCs w:val="32"/>
        </w:rPr>
        <w:t xml:space="preserve">年12月31日。 </w:t>
      </w:r>
    </w:p>
    <w:p>
      <w:pPr>
        <w:pBdr>
          <w:bottom w:val="single" w:color="FFFFFF" w:sz="4" w:space="30"/>
        </w:pBdr>
        <w:snapToGrid w:val="0"/>
        <w:spacing w:line="600" w:lineRule="exact"/>
        <w:ind w:firstLine="640" w:firstLineChars="200"/>
        <w:rPr>
          <w:rFonts w:ascii="仿宋_GB2312" w:hAnsi="仿宋" w:eastAsia="仿宋_GB2312"/>
          <w:bCs/>
          <w:sz w:val="32"/>
          <w:szCs w:val="32"/>
        </w:rPr>
      </w:pPr>
      <w:r>
        <w:rPr>
          <w:rFonts w:hint="eastAsia" w:ascii="仿宋_GB2312" w:hAnsi="仿宋" w:eastAsia="仿宋_GB2312"/>
          <w:bCs/>
          <w:sz w:val="32"/>
          <w:szCs w:val="32"/>
        </w:rPr>
        <w:t xml:space="preserve">6.年度预算安排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sz w:val="32"/>
          <w:szCs w:val="32"/>
        </w:rPr>
        <w:t>202</w:t>
      </w:r>
      <w:r>
        <w:rPr>
          <w:rFonts w:ascii="仿宋_GB2312" w:hAnsi="仿宋" w:eastAsia="仿宋_GB2312"/>
          <w:bCs/>
          <w:sz w:val="32"/>
          <w:szCs w:val="32"/>
        </w:rPr>
        <w:t>6</w:t>
      </w:r>
      <w:r>
        <w:rPr>
          <w:rFonts w:hint="eastAsia" w:ascii="仿宋_GB2312" w:hAnsi="仿宋" w:eastAsia="仿宋_GB2312"/>
          <w:bCs/>
          <w:sz w:val="32"/>
          <w:szCs w:val="32"/>
        </w:rPr>
        <w:t>年该项目预算</w:t>
      </w:r>
      <w:r>
        <w:rPr>
          <w:rFonts w:ascii="仿宋_GB2312" w:hAnsi="仿宋" w:eastAsia="仿宋_GB2312"/>
          <w:bCs/>
          <w:sz w:val="32"/>
          <w:szCs w:val="32"/>
        </w:rPr>
        <w:t>101.76</w:t>
      </w:r>
      <w:r>
        <w:rPr>
          <w:rFonts w:hint="eastAsia" w:ascii="仿宋_GB2312" w:hAnsi="仿宋" w:eastAsia="仿宋_GB2312"/>
          <w:bCs/>
          <w:sz w:val="32"/>
          <w:szCs w:val="32"/>
        </w:rPr>
        <w:t>万元。</w:t>
      </w:r>
      <w:r>
        <w:rPr>
          <w:rFonts w:hint="eastAsia" w:ascii="仿宋_GB2312" w:hAnsi="仿宋" w:eastAsia="仿宋_GB2312"/>
          <w:bCs/>
          <w:color w:val="000000" w:themeColor="text1"/>
          <w:sz w:val="32"/>
          <w:szCs w:val="32"/>
          <w14:textFill>
            <w14:solidFill>
              <w14:schemeClr w14:val="tx1"/>
            </w14:solidFill>
          </w14:textFill>
        </w:rPr>
        <w:t>其中本年拨款</w:t>
      </w:r>
      <w:r>
        <w:rPr>
          <w:rFonts w:ascii="仿宋_GB2312" w:hAnsi="仿宋" w:eastAsia="仿宋_GB2312"/>
          <w:bCs/>
          <w:color w:val="000000" w:themeColor="text1"/>
          <w:sz w:val="32"/>
          <w:szCs w:val="32"/>
          <w14:textFill>
            <w14:solidFill>
              <w14:schemeClr w14:val="tx1"/>
            </w14:solidFill>
          </w14:textFill>
        </w:rPr>
        <w:t>100</w:t>
      </w:r>
      <w:r>
        <w:rPr>
          <w:rFonts w:hint="eastAsia" w:ascii="仿宋_GB2312" w:hAnsi="仿宋" w:eastAsia="仿宋_GB2312"/>
          <w:bCs/>
          <w:color w:val="000000" w:themeColor="text1"/>
          <w:sz w:val="32"/>
          <w:szCs w:val="32"/>
          <w14:textFill>
            <w14:solidFill>
              <w14:schemeClr w14:val="tx1"/>
            </w14:solidFill>
          </w14:textFill>
        </w:rPr>
        <w:t>万元，财政拨款结转结余</w:t>
      </w:r>
      <w:r>
        <w:rPr>
          <w:rFonts w:ascii="仿宋_GB2312" w:hAnsi="仿宋" w:eastAsia="仿宋_GB2312"/>
          <w:bCs/>
          <w:color w:val="000000" w:themeColor="text1"/>
          <w:sz w:val="32"/>
          <w:szCs w:val="32"/>
          <w14:textFill>
            <w14:solidFill>
              <w14:schemeClr w14:val="tx1"/>
            </w14:solidFill>
          </w14:textFill>
        </w:rPr>
        <w:t>1.76</w:t>
      </w:r>
      <w:r>
        <w:rPr>
          <w:rFonts w:hint="eastAsia" w:ascii="仿宋_GB2312" w:hAnsi="仿宋" w:eastAsia="仿宋_GB2312"/>
          <w:bCs/>
          <w:color w:val="000000" w:themeColor="text1"/>
          <w:sz w:val="32"/>
          <w:szCs w:val="32"/>
          <w14:textFill>
            <w14:solidFill>
              <w14:schemeClr w14:val="tx1"/>
            </w14:solidFill>
          </w14:textFill>
        </w:rPr>
        <w:t>万元。</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（五）社情民意调查工作</w:t>
      </w:r>
    </w:p>
    <w:p>
      <w:pPr>
        <w:pBdr>
          <w:bottom w:val="single" w:color="FFFFFF" w:sz="4" w:space="30"/>
        </w:pBdr>
        <w:snapToGrid w:val="0"/>
        <w:spacing w:line="600" w:lineRule="exact"/>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    1.项目概述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针对社会热点问题、百姓关心的问题和领导关注的问题进行民意调查，为党委政府及各部门提供决策参考重要依据，并将群众反映的问题积极向盟领导和有关部门反馈，促使群众问题及时解决。</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2.立项依据 </w:t>
      </w:r>
    </w:p>
    <w:p>
      <w:pPr>
        <w:pBdr>
          <w:bottom w:val="single" w:color="FFFFFF" w:sz="4" w:space="30"/>
        </w:pBdr>
        <w:snapToGrid w:val="0"/>
        <w:spacing w:line="600" w:lineRule="exact"/>
        <w:ind w:firstLine="640" w:firstLineChars="200"/>
        <w:rPr>
          <w:rStyle w:val="41"/>
          <w:rFonts w:ascii="仿宋_GB2312" w:hAnsi="仿宋" w:eastAsia="仿宋_GB2312"/>
          <w:color w:val="000000"/>
          <w:sz w:val="32"/>
          <w:szCs w:val="32"/>
        </w:rPr>
      </w:pPr>
      <w:r>
        <w:rPr>
          <w:rStyle w:val="41"/>
          <w:rFonts w:hint="eastAsia" w:ascii="仿宋_GB2312" w:hAnsi="仿宋" w:eastAsia="仿宋_GB2312"/>
          <w:color w:val="000000"/>
          <w:sz w:val="32"/>
          <w:szCs w:val="32"/>
        </w:rPr>
        <w:t>《关于建立社情民意电话网络调查系统的通知》（内统办字〔2015〕41号；《关于加强和规范锡盟社情民意调查工作的会议纪要》（锡统发〔2015〕2号）。</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3.实施主体 </w:t>
      </w:r>
    </w:p>
    <w:p>
      <w:pPr>
        <w:pBdr>
          <w:bottom w:val="single" w:color="FFFFFF" w:sz="4" w:space="30"/>
        </w:pBdr>
        <w:snapToGrid w:val="0"/>
        <w:spacing w:line="600" w:lineRule="exact"/>
        <w:ind w:firstLine="640" w:firstLineChars="200"/>
        <w:rPr>
          <w:rFonts w:ascii="仿宋_GB2312" w:hAnsi="仿宋" w:eastAsia="仿宋_GB2312" w:cs="微软雅黑"/>
          <w:bCs/>
          <w:color w:val="000000" w:themeColor="text1"/>
          <w:sz w:val="32"/>
          <w:szCs w:val="32"/>
          <w14:textFill>
            <w14:solidFill>
              <w14:schemeClr w14:val="tx1"/>
            </w14:solidFill>
          </w14:textFill>
        </w:rPr>
      </w:pPr>
      <w:r>
        <w:rPr>
          <w:rFonts w:hint="eastAsia" w:ascii="仿宋_GB2312" w:hAnsi="仿宋" w:eastAsia="仿宋_GB2312" w:cs="微软雅黑"/>
          <w:bCs/>
          <w:color w:val="000000" w:themeColor="text1"/>
          <w:sz w:val="32"/>
          <w:szCs w:val="32"/>
          <w14:textFill>
            <w14:solidFill>
              <w14:schemeClr w14:val="tx1"/>
            </w14:solidFill>
          </w14:textFill>
        </w:rPr>
        <w:t>锡盟统计局</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4.实施方案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完成</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项调查任务。计划访问</w:t>
      </w:r>
      <w:r>
        <w:rPr>
          <w:rFonts w:ascii="仿宋_GB2312" w:hAnsi="仿宋" w:eastAsia="仿宋_GB2312"/>
          <w:bCs/>
          <w:color w:val="000000" w:themeColor="text1"/>
          <w:sz w:val="32"/>
          <w:szCs w:val="32"/>
          <w14:textFill>
            <w14:solidFill>
              <w14:schemeClr w14:val="tx1"/>
            </w14:solidFill>
          </w14:textFill>
        </w:rPr>
        <w:t>14.66</w:t>
      </w:r>
      <w:r>
        <w:rPr>
          <w:rFonts w:hint="eastAsia" w:ascii="仿宋_GB2312" w:hAnsi="仿宋" w:eastAsia="仿宋_GB2312"/>
          <w:bCs/>
          <w:color w:val="000000" w:themeColor="text1"/>
          <w:sz w:val="32"/>
          <w:szCs w:val="32"/>
          <w14:textFill>
            <w14:solidFill>
              <w14:schemeClr w14:val="tx1"/>
            </w14:solidFill>
          </w14:textFill>
        </w:rPr>
        <w:t>万户样本，成功访问率达到</w:t>
      </w:r>
      <w:r>
        <w:rPr>
          <w:rFonts w:ascii="仿宋_GB2312" w:hAnsi="仿宋" w:eastAsia="仿宋_GB2312"/>
          <w:bCs/>
          <w:color w:val="000000" w:themeColor="text1"/>
          <w:sz w:val="32"/>
          <w:szCs w:val="32"/>
          <w14:textFill>
            <w14:solidFill>
              <w14:schemeClr w14:val="tx1"/>
            </w14:solidFill>
          </w14:textFill>
        </w:rPr>
        <w:t>30%</w:t>
      </w:r>
      <w:r>
        <w:rPr>
          <w:rFonts w:hint="eastAsia" w:ascii="仿宋_GB2312" w:hAnsi="仿宋" w:eastAsia="仿宋_GB2312"/>
          <w:bCs/>
          <w:color w:val="000000" w:themeColor="text1"/>
          <w:sz w:val="32"/>
          <w:szCs w:val="32"/>
          <w14:textFill>
            <w14:solidFill>
              <w14:schemeClr w14:val="tx1"/>
            </w14:solidFill>
          </w14:textFill>
        </w:rPr>
        <w:t>。提供调研类汇总数据，撰写调查报告。完成相关部门交办的涉密项目电话调查。完成调查软件运行维护。</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5.实施周期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自202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年1月1日至202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 xml:space="preserve">年12月31日。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6.年度预算安排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年该项目预算</w:t>
      </w:r>
      <w:r>
        <w:rPr>
          <w:rFonts w:ascii="仿宋_GB2312" w:hAnsi="仿宋" w:eastAsia="仿宋_GB2312"/>
          <w:bCs/>
          <w:color w:val="000000" w:themeColor="text1"/>
          <w:sz w:val="32"/>
          <w:szCs w:val="32"/>
          <w14:textFill>
            <w14:solidFill>
              <w14:schemeClr w14:val="tx1"/>
            </w14:solidFill>
          </w14:textFill>
        </w:rPr>
        <w:t>56.5</w:t>
      </w:r>
      <w:r>
        <w:rPr>
          <w:rFonts w:hint="eastAsia" w:ascii="仿宋_GB2312" w:hAnsi="仿宋" w:eastAsia="仿宋_GB2312"/>
          <w:bCs/>
          <w:color w:val="000000" w:themeColor="text1"/>
          <w:sz w:val="32"/>
          <w:szCs w:val="32"/>
          <w14:textFill>
            <w14:solidFill>
              <w14:schemeClr w14:val="tx1"/>
            </w14:solidFill>
          </w14:textFill>
        </w:rPr>
        <w:t>万元。其中本年拨款</w:t>
      </w:r>
      <w:r>
        <w:rPr>
          <w:rFonts w:ascii="仿宋_GB2312" w:hAnsi="仿宋" w:eastAsia="仿宋_GB2312"/>
          <w:bCs/>
          <w:color w:val="000000" w:themeColor="text1"/>
          <w:sz w:val="32"/>
          <w:szCs w:val="32"/>
          <w14:textFill>
            <w14:solidFill>
              <w14:schemeClr w14:val="tx1"/>
            </w14:solidFill>
          </w14:textFill>
        </w:rPr>
        <w:t>42</w:t>
      </w:r>
      <w:r>
        <w:rPr>
          <w:rFonts w:hint="eastAsia" w:ascii="仿宋_GB2312" w:hAnsi="仿宋" w:eastAsia="仿宋_GB2312"/>
          <w:bCs/>
          <w:color w:val="000000" w:themeColor="text1"/>
          <w:sz w:val="32"/>
          <w:szCs w:val="32"/>
          <w14:textFill>
            <w14:solidFill>
              <w14:schemeClr w14:val="tx1"/>
            </w14:solidFill>
          </w14:textFill>
        </w:rPr>
        <w:t>万元，财政拨款结转结余</w:t>
      </w:r>
      <w:r>
        <w:rPr>
          <w:rFonts w:ascii="仿宋_GB2312" w:hAnsi="仿宋" w:eastAsia="仿宋_GB2312"/>
          <w:bCs/>
          <w:color w:val="000000" w:themeColor="text1"/>
          <w:sz w:val="32"/>
          <w:szCs w:val="32"/>
          <w14:textFill>
            <w14:solidFill>
              <w14:schemeClr w14:val="tx1"/>
            </w14:solidFill>
          </w14:textFill>
        </w:rPr>
        <w:t>14.5</w:t>
      </w:r>
      <w:r>
        <w:rPr>
          <w:rFonts w:hint="eastAsia" w:ascii="仿宋_GB2312" w:hAnsi="仿宋" w:eastAsia="仿宋_GB2312"/>
          <w:bCs/>
          <w:color w:val="000000" w:themeColor="text1"/>
          <w:sz w:val="32"/>
          <w:szCs w:val="32"/>
          <w14:textFill>
            <w14:solidFill>
              <w14:schemeClr w14:val="tx1"/>
            </w14:solidFill>
          </w14:textFill>
        </w:rPr>
        <w:t>万元。</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（六）第五次全国经济普查工作经费</w:t>
      </w:r>
    </w:p>
    <w:p>
      <w:pPr>
        <w:pBdr>
          <w:bottom w:val="single" w:color="FFFFFF" w:sz="4" w:space="30"/>
        </w:pBdr>
        <w:snapToGrid w:val="0"/>
        <w:spacing w:line="600" w:lineRule="exact"/>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    1.项目概述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根据第五次全国经济普查实施方案安排，五经普</w:t>
      </w:r>
      <w:r>
        <w:rPr>
          <w:rFonts w:ascii="仿宋_GB2312" w:hAnsi="仿宋" w:eastAsia="仿宋_GB2312"/>
          <w:bCs/>
          <w:color w:val="000000" w:themeColor="text1"/>
          <w:sz w:val="32"/>
          <w:szCs w:val="32"/>
          <w14:textFill>
            <w14:solidFill>
              <w14:schemeClr w14:val="tx1"/>
            </w14:solidFill>
          </w14:textFill>
        </w:rPr>
        <w:t>2026</w:t>
      </w:r>
      <w:r>
        <w:rPr>
          <w:rFonts w:hint="eastAsia" w:ascii="仿宋_GB2312" w:hAnsi="仿宋" w:eastAsia="仿宋_GB2312"/>
          <w:bCs/>
          <w:color w:val="000000" w:themeColor="text1"/>
          <w:sz w:val="32"/>
          <w:szCs w:val="32"/>
          <w14:textFill>
            <w14:solidFill>
              <w14:schemeClr w14:val="tx1"/>
            </w14:solidFill>
          </w14:textFill>
        </w:rPr>
        <w:t>年进入组织开展</w:t>
      </w:r>
      <w:r>
        <w:rPr>
          <w:rFonts w:ascii="仿宋_GB2312" w:hAnsi="仿宋" w:eastAsia="仿宋_GB2312"/>
          <w:bCs/>
          <w:color w:val="000000" w:themeColor="text1"/>
          <w:sz w:val="32"/>
          <w:szCs w:val="32"/>
          <w14:textFill>
            <w14:solidFill>
              <w14:schemeClr w14:val="tx1"/>
            </w14:solidFill>
          </w14:textFill>
        </w:rPr>
        <w:t>课题研究和分析</w:t>
      </w:r>
      <w:r>
        <w:rPr>
          <w:rFonts w:hint="eastAsia" w:ascii="仿宋_GB2312" w:hAnsi="仿宋" w:eastAsia="仿宋_GB2312"/>
          <w:bCs/>
          <w:color w:val="000000" w:themeColor="text1"/>
          <w:sz w:val="32"/>
          <w:szCs w:val="32"/>
          <w14:textFill>
            <w14:solidFill>
              <w14:schemeClr w14:val="tx1"/>
            </w14:solidFill>
          </w14:textFill>
        </w:rPr>
        <w:t>阶段，</w:t>
      </w:r>
      <w:r>
        <w:rPr>
          <w:rFonts w:ascii="仿宋_GB2312" w:hAnsi="仿宋" w:eastAsia="仿宋_GB2312"/>
          <w:bCs/>
          <w:color w:val="000000" w:themeColor="text1"/>
          <w:sz w:val="32"/>
          <w:szCs w:val="32"/>
          <w14:textFill>
            <w14:solidFill>
              <w14:schemeClr w14:val="tx1"/>
            </w14:solidFill>
          </w14:textFill>
        </w:rPr>
        <w:t>开展普查数据共享</w:t>
      </w:r>
      <w:r>
        <w:rPr>
          <w:rFonts w:hint="eastAsia" w:ascii="仿宋_GB2312" w:hAnsi="仿宋" w:eastAsia="仿宋_GB2312"/>
          <w:bCs/>
          <w:color w:val="000000" w:themeColor="text1"/>
          <w:sz w:val="32"/>
          <w:szCs w:val="32"/>
          <w14:textFill>
            <w14:solidFill>
              <w14:schemeClr w14:val="tx1"/>
            </w14:solidFill>
          </w14:textFill>
        </w:rPr>
        <w:t>。</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2.立项依据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《中华人民共和国统计法》、《全国经济普查条例》</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3.实施主体 </w:t>
      </w:r>
    </w:p>
    <w:p>
      <w:pPr>
        <w:pBdr>
          <w:bottom w:val="single" w:color="FFFFFF" w:sz="4" w:space="30"/>
        </w:pBdr>
        <w:snapToGrid w:val="0"/>
        <w:spacing w:line="600" w:lineRule="exact"/>
        <w:ind w:firstLine="640" w:firstLineChars="200"/>
        <w:rPr>
          <w:rFonts w:ascii="仿宋_GB2312" w:hAnsi="仿宋" w:eastAsia="仿宋_GB2312" w:cs="微软雅黑"/>
          <w:bCs/>
          <w:color w:val="000000" w:themeColor="text1"/>
          <w:sz w:val="32"/>
          <w:szCs w:val="32"/>
          <w14:textFill>
            <w14:solidFill>
              <w14:schemeClr w14:val="tx1"/>
            </w14:solidFill>
          </w14:textFill>
        </w:rPr>
      </w:pPr>
      <w:r>
        <w:rPr>
          <w:rFonts w:hint="eastAsia" w:ascii="仿宋_GB2312" w:hAnsi="仿宋" w:eastAsia="仿宋_GB2312" w:cs="微软雅黑"/>
          <w:bCs/>
          <w:color w:val="000000" w:themeColor="text1"/>
          <w:sz w:val="32"/>
          <w:szCs w:val="32"/>
          <w14:textFill>
            <w14:solidFill>
              <w14:schemeClr w14:val="tx1"/>
            </w14:solidFill>
          </w14:textFill>
        </w:rPr>
        <w:t>锡盟统计局</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4.实施方案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利用普查资料开展专题课题分析研究，编制投入产出表，开展投入产出应用分析。对普查工作进行技术业务和工作总结。</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5.实施周期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自202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年1月1日至202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 xml:space="preserve">年12月31日。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6.年度预算安排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年该项目预算</w:t>
      </w:r>
      <w:r>
        <w:rPr>
          <w:rFonts w:ascii="仿宋_GB2312" w:hAnsi="仿宋" w:eastAsia="仿宋_GB2312"/>
          <w:bCs/>
          <w:color w:val="000000" w:themeColor="text1"/>
          <w:sz w:val="32"/>
          <w:szCs w:val="32"/>
          <w14:textFill>
            <w14:solidFill>
              <w14:schemeClr w14:val="tx1"/>
            </w14:solidFill>
          </w14:textFill>
        </w:rPr>
        <w:t>39.29</w:t>
      </w:r>
      <w:r>
        <w:rPr>
          <w:rFonts w:hint="eastAsia" w:ascii="仿宋_GB2312" w:hAnsi="仿宋" w:eastAsia="仿宋_GB2312"/>
          <w:bCs/>
          <w:color w:val="000000" w:themeColor="text1"/>
          <w:sz w:val="32"/>
          <w:szCs w:val="32"/>
          <w14:textFill>
            <w14:solidFill>
              <w14:schemeClr w14:val="tx1"/>
            </w14:solidFill>
          </w14:textFill>
        </w:rPr>
        <w:t>万元。全部为财政拨款结转结余。</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（七）全盟服务经济培训经费</w:t>
      </w:r>
    </w:p>
    <w:p>
      <w:pPr>
        <w:pBdr>
          <w:bottom w:val="single" w:color="FFFFFF" w:sz="4" w:space="30"/>
        </w:pBdr>
        <w:snapToGrid w:val="0"/>
        <w:spacing w:line="600" w:lineRule="exact"/>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    1.项目概述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开展规模以上</w:t>
      </w:r>
      <w:r>
        <w:rPr>
          <w:rFonts w:ascii="仿宋_GB2312" w:hAnsi="仿宋" w:eastAsia="仿宋_GB2312"/>
          <w:bCs/>
          <w:color w:val="000000" w:themeColor="text1"/>
          <w:sz w:val="32"/>
          <w:szCs w:val="32"/>
          <w14:textFill>
            <w14:solidFill>
              <w14:schemeClr w14:val="tx1"/>
            </w14:solidFill>
          </w14:textFill>
        </w:rPr>
        <w:t>工业</w:t>
      </w:r>
      <w:r>
        <w:rPr>
          <w:rFonts w:hint="eastAsia" w:ascii="仿宋_GB2312" w:hAnsi="仿宋" w:eastAsia="仿宋_GB2312"/>
          <w:bCs/>
          <w:color w:val="000000" w:themeColor="text1"/>
          <w:sz w:val="32"/>
          <w:szCs w:val="32"/>
          <w14:textFill>
            <w14:solidFill>
              <w14:schemeClr w14:val="tx1"/>
            </w14:solidFill>
          </w14:textFill>
        </w:rPr>
        <w:t>、</w:t>
      </w:r>
      <w:r>
        <w:rPr>
          <w:rFonts w:ascii="仿宋_GB2312" w:hAnsi="仿宋" w:eastAsia="仿宋_GB2312"/>
          <w:bCs/>
          <w:color w:val="000000" w:themeColor="text1"/>
          <w:sz w:val="32"/>
          <w:szCs w:val="32"/>
          <w14:textFill>
            <w14:solidFill>
              <w14:schemeClr w14:val="tx1"/>
            </w14:solidFill>
          </w14:textFill>
        </w:rPr>
        <w:t>固定资产投资、建筑业、贸易业、规模</w:t>
      </w:r>
      <w:r>
        <w:rPr>
          <w:rFonts w:hint="eastAsia" w:ascii="仿宋_GB2312" w:hAnsi="仿宋" w:eastAsia="仿宋_GB2312"/>
          <w:bCs/>
          <w:color w:val="000000" w:themeColor="text1"/>
          <w:sz w:val="32"/>
          <w:szCs w:val="32"/>
          <w14:textFill>
            <w14:solidFill>
              <w14:schemeClr w14:val="tx1"/>
            </w14:solidFill>
          </w14:textFill>
        </w:rPr>
        <w:t>以上</w:t>
      </w:r>
      <w:r>
        <w:rPr>
          <w:rFonts w:ascii="仿宋_GB2312" w:hAnsi="仿宋" w:eastAsia="仿宋_GB2312"/>
          <w:bCs/>
          <w:color w:val="000000" w:themeColor="text1"/>
          <w:sz w:val="32"/>
          <w:szCs w:val="32"/>
          <w14:textFill>
            <w14:solidFill>
              <w14:schemeClr w14:val="tx1"/>
            </w14:solidFill>
          </w14:textFill>
        </w:rPr>
        <w:t>服务业、能源统计和劳动工资统计的</w:t>
      </w:r>
      <w:r>
        <w:rPr>
          <w:rFonts w:hint="eastAsia" w:ascii="仿宋_GB2312" w:hAnsi="仿宋" w:eastAsia="仿宋_GB2312"/>
          <w:bCs/>
          <w:color w:val="000000" w:themeColor="text1"/>
          <w:sz w:val="32"/>
          <w:szCs w:val="32"/>
          <w14:textFill>
            <w14:solidFill>
              <w14:schemeClr w14:val="tx1"/>
            </w14:solidFill>
          </w14:textFill>
        </w:rPr>
        <w:t>相关培训，提升</w:t>
      </w:r>
      <w:r>
        <w:rPr>
          <w:rFonts w:ascii="仿宋_GB2312" w:hAnsi="仿宋" w:eastAsia="仿宋_GB2312"/>
          <w:bCs/>
          <w:color w:val="000000" w:themeColor="text1"/>
          <w:sz w:val="32"/>
          <w:szCs w:val="32"/>
          <w14:textFill>
            <w14:solidFill>
              <w14:schemeClr w14:val="tx1"/>
            </w14:solidFill>
          </w14:textFill>
        </w:rPr>
        <w:t>统计工作能力和水平，</w:t>
      </w:r>
      <w:r>
        <w:rPr>
          <w:rFonts w:hint="eastAsia" w:ascii="仿宋_GB2312" w:hAnsi="仿宋" w:eastAsia="仿宋_GB2312"/>
          <w:bCs/>
          <w:color w:val="000000" w:themeColor="text1"/>
          <w:sz w:val="32"/>
          <w:szCs w:val="32"/>
          <w14:textFill>
            <w14:solidFill>
              <w14:schemeClr w14:val="tx1"/>
            </w14:solidFill>
          </w14:textFill>
        </w:rPr>
        <w:t>更好</w:t>
      </w:r>
      <w:r>
        <w:rPr>
          <w:rFonts w:ascii="仿宋_GB2312" w:hAnsi="仿宋" w:eastAsia="仿宋_GB2312"/>
          <w:bCs/>
          <w:color w:val="000000" w:themeColor="text1"/>
          <w:sz w:val="32"/>
          <w:szCs w:val="32"/>
          <w14:textFill>
            <w14:solidFill>
              <w14:schemeClr w14:val="tx1"/>
            </w14:solidFill>
          </w14:textFill>
        </w:rPr>
        <w:t>的发挥统计在了解国情国力，服务经济社会高质量发展中的重要作用。</w:t>
      </w:r>
      <w:r>
        <w:rPr>
          <w:rFonts w:hint="eastAsia" w:ascii="仿宋_GB2312" w:hAnsi="仿宋" w:eastAsia="仿宋_GB2312"/>
          <w:bCs/>
          <w:color w:val="000000" w:themeColor="text1"/>
          <w:sz w:val="32"/>
          <w:szCs w:val="32"/>
          <w14:textFill>
            <w14:solidFill>
              <w14:schemeClr w14:val="tx1"/>
            </w14:solidFill>
          </w14:textFill>
        </w:rPr>
        <w:t xml:space="preserve">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2.立项依据 </w:t>
      </w:r>
    </w:p>
    <w:p>
      <w:pPr>
        <w:pBdr>
          <w:bottom w:val="single" w:color="FFFFFF" w:sz="4" w:space="30"/>
        </w:pBdr>
        <w:snapToGrid w:val="0"/>
        <w:spacing w:line="600" w:lineRule="exact"/>
        <w:ind w:firstLine="640" w:firstLineChars="200"/>
        <w:rPr>
          <w:rStyle w:val="41"/>
          <w:rFonts w:ascii="仿宋_GB2312" w:hAnsi="仿宋" w:eastAsia="仿宋_GB2312"/>
          <w:color w:val="000000"/>
          <w:sz w:val="32"/>
          <w:szCs w:val="32"/>
        </w:rPr>
      </w:pPr>
      <w:r>
        <w:rPr>
          <w:rStyle w:val="41"/>
          <w:rFonts w:hint="eastAsia" w:ascii="仿宋_GB2312" w:hAnsi="仿宋" w:eastAsia="仿宋_GB2312"/>
          <w:color w:val="000000"/>
          <w:sz w:val="32"/>
          <w:szCs w:val="32"/>
        </w:rPr>
        <w:t>《统计法</w:t>
      </w:r>
      <w:r>
        <w:rPr>
          <w:rStyle w:val="41"/>
          <w:rFonts w:ascii="仿宋_GB2312" w:hAnsi="仿宋" w:eastAsia="仿宋_GB2312"/>
          <w:color w:val="000000"/>
          <w:sz w:val="32"/>
          <w:szCs w:val="32"/>
        </w:rPr>
        <w:t>》</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3.实施主体 </w:t>
      </w:r>
    </w:p>
    <w:p>
      <w:pPr>
        <w:pBdr>
          <w:bottom w:val="single" w:color="FFFFFF" w:sz="4" w:space="30"/>
        </w:pBdr>
        <w:snapToGrid w:val="0"/>
        <w:spacing w:line="600" w:lineRule="exact"/>
        <w:ind w:firstLine="640" w:firstLineChars="200"/>
        <w:rPr>
          <w:rFonts w:ascii="仿宋_GB2312" w:hAnsi="仿宋" w:eastAsia="仿宋_GB2312" w:cs="微软雅黑"/>
          <w:bCs/>
          <w:color w:val="000000" w:themeColor="text1"/>
          <w:sz w:val="32"/>
          <w:szCs w:val="32"/>
          <w14:textFill>
            <w14:solidFill>
              <w14:schemeClr w14:val="tx1"/>
            </w14:solidFill>
          </w14:textFill>
        </w:rPr>
      </w:pPr>
      <w:r>
        <w:rPr>
          <w:rFonts w:hint="eastAsia" w:ascii="仿宋_GB2312" w:hAnsi="仿宋" w:eastAsia="仿宋_GB2312" w:cs="微软雅黑"/>
          <w:bCs/>
          <w:color w:val="000000" w:themeColor="text1"/>
          <w:sz w:val="32"/>
          <w:szCs w:val="32"/>
          <w14:textFill>
            <w14:solidFill>
              <w14:schemeClr w14:val="tx1"/>
            </w14:solidFill>
          </w14:textFill>
        </w:rPr>
        <w:t>锡盟统计局</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4.实施方案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围绕规模以上</w:t>
      </w:r>
      <w:r>
        <w:rPr>
          <w:rFonts w:ascii="仿宋_GB2312" w:hAnsi="仿宋" w:eastAsia="仿宋_GB2312"/>
          <w:bCs/>
          <w:color w:val="000000" w:themeColor="text1"/>
          <w:sz w:val="32"/>
          <w:szCs w:val="32"/>
          <w14:textFill>
            <w14:solidFill>
              <w14:schemeClr w14:val="tx1"/>
            </w14:solidFill>
          </w14:textFill>
        </w:rPr>
        <w:t>工业</w:t>
      </w:r>
      <w:r>
        <w:rPr>
          <w:rFonts w:hint="eastAsia" w:ascii="仿宋_GB2312" w:hAnsi="仿宋" w:eastAsia="仿宋_GB2312"/>
          <w:bCs/>
          <w:color w:val="000000" w:themeColor="text1"/>
          <w:sz w:val="32"/>
          <w:szCs w:val="32"/>
          <w14:textFill>
            <w14:solidFill>
              <w14:schemeClr w14:val="tx1"/>
            </w14:solidFill>
          </w14:textFill>
        </w:rPr>
        <w:t>、</w:t>
      </w:r>
      <w:r>
        <w:rPr>
          <w:rFonts w:ascii="仿宋_GB2312" w:hAnsi="仿宋" w:eastAsia="仿宋_GB2312"/>
          <w:bCs/>
          <w:color w:val="000000" w:themeColor="text1"/>
          <w:sz w:val="32"/>
          <w:szCs w:val="32"/>
          <w14:textFill>
            <w14:solidFill>
              <w14:schemeClr w14:val="tx1"/>
            </w14:solidFill>
          </w14:textFill>
        </w:rPr>
        <w:t>固定资产投资、建筑业、贸易业、规模</w:t>
      </w:r>
      <w:r>
        <w:rPr>
          <w:rFonts w:hint="eastAsia" w:ascii="仿宋_GB2312" w:hAnsi="仿宋" w:eastAsia="仿宋_GB2312"/>
          <w:bCs/>
          <w:color w:val="000000" w:themeColor="text1"/>
          <w:sz w:val="32"/>
          <w:szCs w:val="32"/>
          <w14:textFill>
            <w14:solidFill>
              <w14:schemeClr w14:val="tx1"/>
            </w14:solidFill>
          </w14:textFill>
        </w:rPr>
        <w:t>以上</w:t>
      </w:r>
      <w:r>
        <w:rPr>
          <w:rFonts w:ascii="仿宋_GB2312" w:hAnsi="仿宋" w:eastAsia="仿宋_GB2312"/>
          <w:bCs/>
          <w:color w:val="000000" w:themeColor="text1"/>
          <w:sz w:val="32"/>
          <w:szCs w:val="32"/>
          <w14:textFill>
            <w14:solidFill>
              <w14:schemeClr w14:val="tx1"/>
            </w14:solidFill>
          </w14:textFill>
        </w:rPr>
        <w:t>服务业、能源统计和劳动工资统计开展</w:t>
      </w:r>
      <w:r>
        <w:rPr>
          <w:rFonts w:hint="eastAsia" w:ascii="仿宋_GB2312" w:hAnsi="仿宋" w:eastAsia="仿宋_GB2312"/>
          <w:bCs/>
          <w:color w:val="000000" w:themeColor="text1"/>
          <w:sz w:val="32"/>
          <w:szCs w:val="32"/>
          <w14:textFill>
            <w14:solidFill>
              <w14:schemeClr w14:val="tx1"/>
            </w14:solidFill>
          </w14:textFill>
        </w:rPr>
        <w:t>相关培训。</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5.实施周期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自202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年1月1日至202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 xml:space="preserve">年12月31日。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 xml:space="preserve">6.年度预算安排 </w:t>
      </w:r>
    </w:p>
    <w:p>
      <w:pPr>
        <w:pBdr>
          <w:bottom w:val="single" w:color="FFFFFF" w:sz="4" w:space="30"/>
        </w:pBdr>
        <w:snapToGrid w:val="0"/>
        <w:spacing w:line="600" w:lineRule="exact"/>
        <w:ind w:firstLine="640" w:firstLineChars="200"/>
        <w:rPr>
          <w:rFonts w:ascii="仿宋_GB2312" w:hAnsi="仿宋" w:eastAsia="仿宋_GB2312"/>
          <w:bCs/>
          <w:color w:val="000000" w:themeColor="text1"/>
          <w:sz w:val="32"/>
          <w:szCs w:val="32"/>
          <w14:textFill>
            <w14:solidFill>
              <w14:schemeClr w14:val="tx1"/>
            </w14:solidFill>
          </w14:textFill>
        </w:rPr>
      </w:pPr>
      <w:r>
        <w:rPr>
          <w:rFonts w:hint="eastAsia" w:ascii="仿宋_GB2312" w:hAnsi="仿宋" w:eastAsia="仿宋_GB2312"/>
          <w:bCs/>
          <w:color w:val="000000" w:themeColor="text1"/>
          <w:sz w:val="32"/>
          <w:szCs w:val="32"/>
          <w14:textFill>
            <w14:solidFill>
              <w14:schemeClr w14:val="tx1"/>
            </w14:solidFill>
          </w14:textFill>
        </w:rPr>
        <w:t>202</w:t>
      </w:r>
      <w:r>
        <w:rPr>
          <w:rFonts w:ascii="仿宋_GB2312" w:hAnsi="仿宋" w:eastAsia="仿宋_GB2312"/>
          <w:bCs/>
          <w:color w:val="000000" w:themeColor="text1"/>
          <w:sz w:val="32"/>
          <w:szCs w:val="32"/>
          <w14:textFill>
            <w14:solidFill>
              <w14:schemeClr w14:val="tx1"/>
            </w14:solidFill>
          </w14:textFill>
        </w:rPr>
        <w:t>6</w:t>
      </w:r>
      <w:r>
        <w:rPr>
          <w:rFonts w:hint="eastAsia" w:ascii="仿宋_GB2312" w:hAnsi="仿宋" w:eastAsia="仿宋_GB2312"/>
          <w:bCs/>
          <w:color w:val="000000" w:themeColor="text1"/>
          <w:sz w:val="32"/>
          <w:szCs w:val="32"/>
          <w14:textFill>
            <w14:solidFill>
              <w14:schemeClr w14:val="tx1"/>
            </w14:solidFill>
          </w14:textFill>
        </w:rPr>
        <w:t>年该项目预算</w:t>
      </w:r>
      <w:r>
        <w:rPr>
          <w:rFonts w:ascii="仿宋_GB2312" w:hAnsi="仿宋" w:eastAsia="仿宋_GB2312"/>
          <w:bCs/>
          <w:color w:val="000000" w:themeColor="text1"/>
          <w:sz w:val="32"/>
          <w:szCs w:val="32"/>
          <w14:textFill>
            <w14:solidFill>
              <w14:schemeClr w14:val="tx1"/>
            </w14:solidFill>
          </w14:textFill>
        </w:rPr>
        <w:t>10.39</w:t>
      </w:r>
      <w:r>
        <w:rPr>
          <w:rFonts w:hint="eastAsia" w:ascii="仿宋_GB2312" w:hAnsi="仿宋" w:eastAsia="仿宋_GB2312"/>
          <w:bCs/>
          <w:color w:val="000000" w:themeColor="text1"/>
          <w:sz w:val="32"/>
          <w:szCs w:val="32"/>
          <w14:textFill>
            <w14:solidFill>
              <w14:schemeClr w14:val="tx1"/>
            </w14:solidFill>
          </w14:textFill>
        </w:rPr>
        <w:t>万元。全部为财政拨款结转结余。</w:t>
      </w:r>
    </w:p>
    <w:p>
      <w:pPr>
        <w:pBdr>
          <w:bottom w:val="single" w:color="FFFFFF" w:sz="4" w:space="30"/>
        </w:pBdr>
        <w:snapToGrid w:val="0"/>
        <w:spacing w:line="600" w:lineRule="exact"/>
        <w:rPr>
          <w:rFonts w:eastAsia="黑体" w:cs="黑体"/>
          <w:sz w:val="32"/>
          <w:szCs w:val="36"/>
        </w:rPr>
      </w:pPr>
      <w:r>
        <w:rPr>
          <w:rFonts w:hint="eastAsia" w:ascii="黑体" w:hAnsi="黑体" w:eastAsia="黑体" w:cs="黑体"/>
          <w:bCs/>
          <w:color w:val="000000" w:themeColor="text1"/>
          <w:sz w:val="32"/>
          <w:szCs w:val="32"/>
          <w14:textFill>
            <w14:solidFill>
              <w14:schemeClr w14:val="tx1"/>
            </w14:solidFill>
          </w14:textFill>
        </w:rPr>
        <w:t xml:space="preserve">    十一、</w:t>
      </w:r>
      <w:r>
        <w:rPr>
          <w:rFonts w:hint="eastAsia" w:eastAsia="黑体" w:cs="黑体"/>
          <w:sz w:val="32"/>
          <w:szCs w:val="36"/>
        </w:rPr>
        <w:t>一般公共预算机关运行经费支出预算情况说明</w:t>
      </w:r>
    </w:p>
    <w:p>
      <w:pPr>
        <w:pBdr>
          <w:bottom w:val="single" w:color="FFFFFF" w:sz="4" w:space="30"/>
        </w:pBdr>
        <w:snapToGrid w:val="0"/>
        <w:spacing w:line="600" w:lineRule="exact"/>
        <w:ind w:firstLine="640" w:firstLineChars="200"/>
        <w:rPr>
          <w:rFonts w:ascii="仿宋_GB2312" w:eastAsia="仿宋_GB2312"/>
          <w:sz w:val="32"/>
          <w:szCs w:val="32"/>
        </w:rPr>
      </w:pPr>
      <w:r>
        <w:rPr>
          <w:rFonts w:hint="eastAsia" w:ascii="仿宋_GB2312" w:eastAsia="仿宋_GB2312"/>
          <w:sz w:val="32"/>
          <w:szCs w:val="32"/>
          <w:u w:val="single"/>
        </w:rPr>
        <w:t>2026年单位</w:t>
      </w:r>
      <w:r>
        <w:rPr>
          <w:rFonts w:hint="eastAsia" w:ascii="仿宋_GB2312" w:eastAsia="仿宋_GB2312"/>
          <w:sz w:val="32"/>
          <w:szCs w:val="32"/>
        </w:rPr>
        <w:t>一般公共预算机关运行经费预算支出</w:t>
      </w:r>
      <w:r>
        <w:rPr>
          <w:rFonts w:ascii="仿宋_GB2312" w:eastAsia="仿宋_GB2312"/>
          <w:sz w:val="32"/>
          <w:szCs w:val="32"/>
          <w:u w:val="single"/>
        </w:rPr>
        <w:t>68.21</w:t>
      </w:r>
      <w:r>
        <w:rPr>
          <w:rFonts w:hint="eastAsia" w:ascii="仿宋_GB2312" w:eastAsia="仿宋_GB2312"/>
          <w:sz w:val="32"/>
          <w:szCs w:val="32"/>
        </w:rPr>
        <w:t>万元，主要包括以下支出：</w:t>
      </w:r>
      <w:r>
        <w:rPr>
          <w:rFonts w:hint="eastAsia" w:ascii="仿宋_GB2312" w:hAnsi="仿宋" w:eastAsia="仿宋_GB2312"/>
          <w:color w:val="000000" w:themeColor="text1"/>
          <w:sz w:val="32"/>
          <w:szCs w:val="32"/>
          <w14:textFill>
            <w14:solidFill>
              <w14:schemeClr w14:val="tx1"/>
            </w14:solidFill>
          </w14:textFill>
        </w:rPr>
        <w:t>办公费</w:t>
      </w:r>
      <w:r>
        <w:rPr>
          <w:rFonts w:ascii="仿宋_GB2312" w:hAnsi="仿宋" w:eastAsia="仿宋_GB2312"/>
          <w:color w:val="000000" w:themeColor="text1"/>
          <w:sz w:val="32"/>
          <w:szCs w:val="32"/>
          <w14:textFill>
            <w14:solidFill>
              <w14:schemeClr w14:val="tx1"/>
            </w14:solidFill>
          </w14:textFill>
        </w:rPr>
        <w:t>10.37</w:t>
      </w:r>
      <w:r>
        <w:rPr>
          <w:rFonts w:hint="eastAsia" w:ascii="仿宋_GB2312" w:hAnsi="仿宋" w:eastAsia="仿宋_GB2312"/>
          <w:color w:val="000000" w:themeColor="text1"/>
          <w:sz w:val="32"/>
          <w:szCs w:val="32"/>
          <w14:textFill>
            <w14:solidFill>
              <w14:schemeClr w14:val="tx1"/>
            </w14:solidFill>
          </w14:textFill>
        </w:rPr>
        <w:t>万元，差旅费</w:t>
      </w:r>
      <w:r>
        <w:rPr>
          <w:rFonts w:ascii="仿宋_GB2312" w:hAnsi="仿宋" w:eastAsia="仿宋_GB2312"/>
          <w:color w:val="000000" w:themeColor="text1"/>
          <w:sz w:val="32"/>
          <w:szCs w:val="32"/>
          <w14:textFill>
            <w14:solidFill>
              <w14:schemeClr w14:val="tx1"/>
            </w14:solidFill>
          </w14:textFill>
        </w:rPr>
        <w:t>5</w:t>
      </w:r>
      <w:r>
        <w:rPr>
          <w:rFonts w:hint="eastAsia" w:ascii="仿宋_GB2312" w:hAnsi="仿宋" w:eastAsia="仿宋_GB2312"/>
          <w:color w:val="000000" w:themeColor="text1"/>
          <w:sz w:val="32"/>
          <w:szCs w:val="32"/>
          <w14:textFill>
            <w14:solidFill>
              <w14:schemeClr w14:val="tx1"/>
            </w14:solidFill>
          </w14:textFill>
        </w:rPr>
        <w:t>万元，公务接待费</w:t>
      </w:r>
      <w:r>
        <w:rPr>
          <w:rFonts w:ascii="仿宋_GB2312" w:hAnsi="仿宋" w:eastAsia="仿宋_GB2312"/>
          <w:color w:val="000000" w:themeColor="text1"/>
          <w:sz w:val="32"/>
          <w:szCs w:val="32"/>
          <w14:textFill>
            <w14:solidFill>
              <w14:schemeClr w14:val="tx1"/>
            </w14:solidFill>
          </w14:textFill>
        </w:rPr>
        <w:t>0.63</w:t>
      </w:r>
      <w:r>
        <w:rPr>
          <w:rFonts w:hint="eastAsia" w:ascii="仿宋_GB2312" w:hAnsi="仿宋" w:eastAsia="仿宋_GB2312"/>
          <w:color w:val="000000" w:themeColor="text1"/>
          <w:sz w:val="32"/>
          <w:szCs w:val="32"/>
          <w14:textFill>
            <w14:solidFill>
              <w14:schemeClr w14:val="tx1"/>
            </w14:solidFill>
          </w14:textFill>
        </w:rPr>
        <w:t>万元，劳务费0.4万元，工会经费6.88万元，公务用车运行维护费13万元，其他交通费用</w:t>
      </w:r>
      <w:r>
        <w:rPr>
          <w:rFonts w:ascii="仿宋_GB2312" w:hAnsi="仿宋" w:eastAsia="仿宋_GB2312"/>
          <w:color w:val="000000" w:themeColor="text1"/>
          <w:sz w:val="32"/>
          <w:szCs w:val="32"/>
          <w14:textFill>
            <w14:solidFill>
              <w14:schemeClr w14:val="tx1"/>
            </w14:solidFill>
          </w14:textFill>
        </w:rPr>
        <w:t>23.96</w:t>
      </w:r>
      <w:r>
        <w:rPr>
          <w:rFonts w:hint="eastAsia" w:ascii="仿宋_GB2312" w:hAnsi="仿宋" w:eastAsia="仿宋_GB2312"/>
          <w:color w:val="000000" w:themeColor="text1"/>
          <w:sz w:val="32"/>
          <w:szCs w:val="32"/>
          <w14:textFill>
            <w14:solidFill>
              <w14:schemeClr w14:val="tx1"/>
            </w14:solidFill>
          </w14:textFill>
        </w:rPr>
        <w:t>万元，</w:t>
      </w:r>
      <w:r>
        <w:rPr>
          <w:rFonts w:ascii="仿宋_GB2312" w:hAnsi="仿宋" w:eastAsia="仿宋_GB2312"/>
          <w:color w:val="000000" w:themeColor="text1"/>
          <w:sz w:val="32"/>
          <w:szCs w:val="32"/>
          <w14:textFill>
            <w14:solidFill>
              <w14:schemeClr w14:val="tx1"/>
            </w14:solidFill>
          </w14:textFill>
        </w:rPr>
        <w:t>其他商品和服务支出</w:t>
      </w:r>
      <w:r>
        <w:rPr>
          <w:rFonts w:hint="eastAsia" w:ascii="仿宋_GB2312" w:hAnsi="仿宋" w:eastAsia="仿宋_GB2312"/>
          <w:color w:val="000000" w:themeColor="text1"/>
          <w:sz w:val="32"/>
          <w:szCs w:val="32"/>
          <w14:textFill>
            <w14:solidFill>
              <w14:schemeClr w14:val="tx1"/>
            </w14:solidFill>
          </w14:textFill>
        </w:rPr>
        <w:t>7.97万元</w:t>
      </w:r>
      <w:r>
        <w:rPr>
          <w:rFonts w:hint="eastAsia" w:ascii="仿宋_GB2312" w:eastAsia="仿宋_GB2312" w:cstheme="minorBidi"/>
          <w:sz w:val="32"/>
          <w:szCs w:val="32"/>
        </w:rPr>
        <w:t>。</w:t>
      </w:r>
      <w:r>
        <w:rPr>
          <w:rFonts w:hint="eastAsia" w:ascii="仿宋_GB2312" w:eastAsia="仿宋_GB2312"/>
          <w:color w:val="000000" w:themeColor="text1"/>
          <w:sz w:val="32"/>
          <w:szCs w:val="32"/>
          <w14:textFill>
            <w14:solidFill>
              <w14:schemeClr w14:val="tx1"/>
            </w14:solidFill>
          </w14:textFill>
        </w:rPr>
        <w:t>与</w:t>
      </w:r>
      <w:r>
        <w:rPr>
          <w:rFonts w:hint="eastAsia" w:ascii="仿宋_GB2312" w:eastAsia="仿宋_GB2312"/>
          <w:sz w:val="32"/>
          <w:szCs w:val="32"/>
        </w:rPr>
        <w:t>上年相比增加</w:t>
      </w:r>
      <w:r>
        <w:rPr>
          <w:rFonts w:ascii="仿宋_GB2312" w:eastAsia="仿宋_GB2312"/>
          <w:sz w:val="32"/>
          <w:szCs w:val="32"/>
          <w:u w:val="single"/>
        </w:rPr>
        <w:t>11.63</w:t>
      </w:r>
      <w:r>
        <w:rPr>
          <w:rFonts w:hint="eastAsia" w:ascii="仿宋_GB2312" w:eastAsia="仿宋_GB2312"/>
          <w:sz w:val="32"/>
          <w:szCs w:val="32"/>
        </w:rPr>
        <w:t>万元，增长</w:t>
      </w:r>
      <w:r>
        <w:rPr>
          <w:rFonts w:ascii="仿宋_GB2312" w:eastAsia="仿宋_GB2312"/>
          <w:sz w:val="32"/>
          <w:szCs w:val="32"/>
          <w:u w:val="single"/>
        </w:rPr>
        <w:t>20.55</w:t>
      </w:r>
      <w:r>
        <w:rPr>
          <w:rFonts w:hint="eastAsia" w:ascii="仿宋_GB2312" w:eastAsia="仿宋_GB2312"/>
          <w:sz w:val="32"/>
          <w:szCs w:val="32"/>
        </w:rPr>
        <w:t>%。主要原因是：</w:t>
      </w:r>
      <w:r>
        <w:rPr>
          <w:rFonts w:hint="eastAsia" w:eastAsia="仿宋_GB2312"/>
          <w:sz w:val="32"/>
          <w:szCs w:val="32"/>
        </w:rPr>
        <w:t>公务费</w:t>
      </w:r>
      <w:r>
        <w:rPr>
          <w:rFonts w:eastAsia="仿宋_GB2312"/>
          <w:sz w:val="32"/>
          <w:szCs w:val="32"/>
        </w:rPr>
        <w:t>定额标准增加，公用经费增加</w:t>
      </w:r>
      <w:r>
        <w:rPr>
          <w:rFonts w:hint="eastAsia" w:ascii="仿宋_GB2312" w:eastAsia="仿宋_GB2312"/>
          <w:sz w:val="32"/>
          <w:szCs w:val="32"/>
        </w:rPr>
        <w:t>。</w:t>
      </w:r>
    </w:p>
    <w:p>
      <w:pPr>
        <w:pBdr>
          <w:bottom w:val="single" w:color="FFFFFF" w:sz="4" w:space="30"/>
        </w:pBdr>
        <w:snapToGrid w:val="0"/>
        <w:spacing w:line="600" w:lineRule="exact"/>
        <w:rPr>
          <w:rFonts w:eastAsia="仿宋_GB2312" w:cstheme="minorBidi"/>
          <w:sz w:val="32"/>
          <w:szCs w:val="32"/>
          <w:highlight w:val="yellow"/>
        </w:rPr>
      </w:pPr>
      <w:r>
        <w:rPr>
          <w:rFonts w:hint="eastAsia" w:eastAsia="黑体" w:cs="黑体"/>
          <w:sz w:val="32"/>
          <w:szCs w:val="36"/>
        </w:rPr>
        <w:t xml:space="preserve">    十二、政府采购支出预算情况说明</w:t>
      </w:r>
    </w:p>
    <w:p>
      <w:pPr>
        <w:pBdr>
          <w:bottom w:val="single" w:color="FFFFFF" w:sz="4" w:space="30"/>
        </w:pBdr>
        <w:snapToGrid w:val="0"/>
        <w:spacing w:line="600" w:lineRule="exact"/>
        <w:ind w:firstLine="640" w:firstLineChars="200"/>
        <w:rPr>
          <w:rFonts w:eastAsia="仿宋_GB2312"/>
          <w:color w:val="FF0000"/>
          <w:sz w:val="32"/>
          <w:szCs w:val="32"/>
        </w:rPr>
      </w:pPr>
      <w:r>
        <w:rPr>
          <w:rFonts w:eastAsia="仿宋_GB2312"/>
          <w:sz w:val="32"/>
          <w:szCs w:val="32"/>
        </w:rPr>
        <w:t>2026年度政府采购支出预算总额</w:t>
      </w:r>
      <w:r>
        <w:rPr>
          <w:rFonts w:eastAsia="仿宋_GB2312"/>
          <w:sz w:val="32"/>
          <w:szCs w:val="32"/>
          <w:u w:val="single"/>
        </w:rPr>
        <w:t>34.15</w:t>
      </w:r>
      <w:r>
        <w:rPr>
          <w:rFonts w:eastAsia="仿宋_GB2312"/>
          <w:sz w:val="32"/>
          <w:szCs w:val="32"/>
        </w:rPr>
        <w:t>万元，其中：拟采购货物支出</w:t>
      </w:r>
      <w:r>
        <w:rPr>
          <w:rFonts w:eastAsia="仿宋_GB2312"/>
          <w:sz w:val="32"/>
          <w:szCs w:val="32"/>
          <w:u w:val="single"/>
        </w:rPr>
        <w:t>4</w:t>
      </w:r>
      <w:r>
        <w:rPr>
          <w:rFonts w:eastAsia="仿宋_GB2312"/>
          <w:sz w:val="32"/>
          <w:szCs w:val="32"/>
        </w:rPr>
        <w:t>万元、拟采购工程支出</w:t>
      </w:r>
      <w:r>
        <w:rPr>
          <w:rFonts w:eastAsia="仿宋_GB2312"/>
          <w:sz w:val="32"/>
          <w:szCs w:val="32"/>
          <w:u w:val="single"/>
        </w:rPr>
        <w:t>0</w:t>
      </w:r>
      <w:r>
        <w:rPr>
          <w:rFonts w:eastAsia="仿宋_GB2312"/>
          <w:sz w:val="32"/>
          <w:szCs w:val="32"/>
        </w:rPr>
        <w:t>万元、拟购买服务支出</w:t>
      </w:r>
      <w:r>
        <w:rPr>
          <w:rFonts w:eastAsia="仿宋_GB2312"/>
          <w:sz w:val="32"/>
          <w:szCs w:val="32"/>
          <w:u w:val="single"/>
        </w:rPr>
        <w:t>30.15</w:t>
      </w:r>
      <w:r>
        <w:rPr>
          <w:rFonts w:eastAsia="仿宋_GB2312"/>
          <w:sz w:val="32"/>
          <w:szCs w:val="32"/>
        </w:rPr>
        <w:t>万元。</w:t>
      </w:r>
      <w:r>
        <w:rPr>
          <w:rFonts w:hint="eastAsia" w:ascii="仿宋_GB2312" w:eastAsia="仿宋_GB2312"/>
          <w:color w:val="000000" w:themeColor="text1"/>
          <w:sz w:val="32"/>
          <w:szCs w:val="32"/>
          <w14:textFill>
            <w14:solidFill>
              <w14:schemeClr w14:val="tx1"/>
            </w14:solidFill>
          </w14:textFill>
        </w:rPr>
        <w:t>涵盖“计算机设备及软件”、</w:t>
      </w:r>
      <w:bookmarkStart w:id="1" w:name="OLE_LINK2"/>
      <w:bookmarkStart w:id="2" w:name="OLE_LINK3"/>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印刷和出版服务</w:t>
      </w:r>
      <w:r>
        <w:rPr>
          <w:rFonts w:eastAsia="仿宋_GB2312"/>
          <w:color w:val="000000" w:themeColor="text1"/>
          <w:sz w:val="32"/>
          <w:szCs w:val="32"/>
          <w14:textFill>
            <w14:solidFill>
              <w14:schemeClr w14:val="tx1"/>
            </w14:solidFill>
          </w14:textFill>
        </w:rPr>
        <w:t>”</w:t>
      </w:r>
      <w:bookmarkEnd w:id="1"/>
      <w:bookmarkEnd w:id="2"/>
      <w:r>
        <w:rPr>
          <w:rFonts w:hint="eastAsia" w:ascii="仿宋_GB2312" w:eastAsia="仿宋_GB2312"/>
          <w:color w:val="000000" w:themeColor="text1"/>
          <w:sz w:val="32"/>
          <w:szCs w:val="32"/>
          <w14:textFill>
            <w14:solidFill>
              <w14:schemeClr w14:val="tx1"/>
            </w14:solidFill>
          </w14:textFill>
        </w:rPr>
        <w:t>等采购大类，编制政府采购预算明细7项，采购金额来源为</w:t>
      </w:r>
      <w:r>
        <w:rPr>
          <w:rFonts w:hint="eastAsia" w:eastAsia="仿宋_GB2312"/>
          <w:color w:val="000000" w:themeColor="text1"/>
          <w:sz w:val="32"/>
          <w:szCs w:val="32"/>
          <w14:textFill>
            <w14:solidFill>
              <w14:schemeClr w14:val="tx1"/>
            </w14:solidFill>
          </w14:textFill>
        </w:rPr>
        <w:t>一般公共预算财政拨款</w:t>
      </w:r>
      <w:r>
        <w:rPr>
          <w:rFonts w:hint="eastAsia" w:ascii="仿宋_GB2312" w:eastAsia="仿宋_GB2312"/>
          <w:color w:val="000000" w:themeColor="text1"/>
          <w:sz w:val="32"/>
          <w:szCs w:val="32"/>
          <w14:textFill>
            <w14:solidFill>
              <w14:schemeClr w14:val="tx1"/>
            </w14:solidFill>
          </w14:textFill>
        </w:rPr>
        <w:t>。</w:t>
      </w:r>
    </w:p>
    <w:p>
      <w:pPr>
        <w:pBdr>
          <w:bottom w:val="single" w:color="FFFFFF" w:sz="4" w:space="30"/>
        </w:pBdr>
        <w:snapToGrid w:val="0"/>
        <w:spacing w:line="600" w:lineRule="exact"/>
        <w:rPr>
          <w:rFonts w:eastAsia="黑体" w:cs="黑体"/>
          <w:sz w:val="32"/>
          <w:szCs w:val="36"/>
        </w:rPr>
      </w:pPr>
      <w:r>
        <w:rPr>
          <w:rFonts w:hint="eastAsia" w:eastAsia="黑体" w:cs="黑体"/>
          <w:sz w:val="32"/>
          <w:szCs w:val="36"/>
        </w:rPr>
        <w:t xml:space="preserve">    十三、国有资产占用情况说明</w:t>
      </w:r>
    </w:p>
    <w:p>
      <w:pPr>
        <w:pBdr>
          <w:bottom w:val="single" w:color="FFFFFF" w:sz="4" w:space="30"/>
        </w:pBdr>
        <w:snapToGrid w:val="0"/>
        <w:spacing w:line="600" w:lineRule="exact"/>
        <w:ind w:firstLine="640" w:firstLineChars="200"/>
        <w:rPr>
          <w:rFonts w:eastAsia="仿宋_GB2312"/>
          <w:sz w:val="32"/>
          <w:szCs w:val="32"/>
        </w:rPr>
      </w:pPr>
      <w:r>
        <w:rPr>
          <w:rFonts w:eastAsia="仿宋_GB2312"/>
          <w:sz w:val="32"/>
          <w:szCs w:val="32"/>
        </w:rPr>
        <w:t>本单位共有车辆</w:t>
      </w:r>
      <w:r>
        <w:rPr>
          <w:rFonts w:eastAsia="仿宋_GB2312"/>
          <w:sz w:val="32"/>
          <w:szCs w:val="32"/>
          <w:u w:val="single"/>
        </w:rPr>
        <w:t>1</w:t>
      </w:r>
      <w:r>
        <w:rPr>
          <w:rFonts w:eastAsia="仿宋_GB2312"/>
          <w:sz w:val="32"/>
          <w:szCs w:val="32"/>
        </w:rPr>
        <w:t>辆，其中，一般公务用车</w:t>
      </w:r>
      <w:r>
        <w:rPr>
          <w:rFonts w:eastAsia="仿宋_GB2312"/>
          <w:sz w:val="32"/>
          <w:szCs w:val="32"/>
          <w:u w:val="single"/>
        </w:rPr>
        <w:t>1</w:t>
      </w:r>
      <w:r>
        <w:rPr>
          <w:rFonts w:eastAsia="仿宋_GB2312"/>
          <w:sz w:val="32"/>
          <w:szCs w:val="32"/>
        </w:rPr>
        <w:t>辆、执法执勤用车</w:t>
      </w:r>
      <w:r>
        <w:rPr>
          <w:rFonts w:eastAsia="仿宋_GB2312"/>
          <w:sz w:val="32"/>
          <w:szCs w:val="32"/>
          <w:u w:val="single"/>
        </w:rPr>
        <w:t>0</w:t>
      </w:r>
      <w:r>
        <w:rPr>
          <w:rFonts w:eastAsia="仿宋_GB2312"/>
          <w:sz w:val="32"/>
          <w:szCs w:val="32"/>
        </w:rPr>
        <w:t>辆、特种专业技术用车</w:t>
      </w:r>
      <w:r>
        <w:rPr>
          <w:rFonts w:eastAsia="仿宋_GB2312"/>
          <w:sz w:val="32"/>
          <w:szCs w:val="32"/>
          <w:u w:val="single"/>
        </w:rPr>
        <w:t>0</w:t>
      </w:r>
      <w:r>
        <w:rPr>
          <w:rFonts w:eastAsia="仿宋_GB2312"/>
          <w:sz w:val="32"/>
          <w:szCs w:val="32"/>
        </w:rPr>
        <w:t>辆、业务用车</w:t>
      </w:r>
      <w:r>
        <w:rPr>
          <w:rFonts w:eastAsia="仿宋_GB2312"/>
          <w:sz w:val="32"/>
          <w:szCs w:val="32"/>
          <w:u w:val="single"/>
        </w:rPr>
        <w:t>0</w:t>
      </w:r>
      <w:r>
        <w:rPr>
          <w:rFonts w:eastAsia="仿宋_GB2312"/>
          <w:sz w:val="32"/>
          <w:szCs w:val="32"/>
        </w:rPr>
        <w:t>辆、其他用车</w:t>
      </w:r>
      <w:r>
        <w:rPr>
          <w:rFonts w:eastAsia="仿宋_GB2312"/>
          <w:sz w:val="32"/>
          <w:szCs w:val="32"/>
          <w:u w:val="single"/>
        </w:rPr>
        <w:t>0</w:t>
      </w:r>
      <w:r>
        <w:rPr>
          <w:rFonts w:eastAsia="仿宋_GB2312"/>
          <w:sz w:val="32"/>
          <w:szCs w:val="32"/>
        </w:rPr>
        <w:t>辆等。单价50万元（含）以上的通用设备</w:t>
      </w:r>
      <w:r>
        <w:rPr>
          <w:rFonts w:eastAsia="仿宋_GB2312"/>
          <w:sz w:val="32"/>
          <w:szCs w:val="32"/>
          <w:u w:val="single"/>
        </w:rPr>
        <w:t>0</w:t>
      </w:r>
      <w:r>
        <w:rPr>
          <w:rFonts w:eastAsia="仿宋_GB2312"/>
          <w:sz w:val="32"/>
          <w:szCs w:val="32"/>
        </w:rPr>
        <w:t>台（套），单价100万元（含）以上的专用设备</w:t>
      </w:r>
      <w:r>
        <w:rPr>
          <w:rFonts w:eastAsia="仿宋_GB2312"/>
          <w:sz w:val="32"/>
          <w:szCs w:val="32"/>
          <w:u w:val="single"/>
        </w:rPr>
        <w:t>0</w:t>
      </w:r>
      <w:r>
        <w:rPr>
          <w:rFonts w:eastAsia="仿宋_GB2312"/>
          <w:sz w:val="32"/>
          <w:szCs w:val="32"/>
        </w:rPr>
        <w:t>台（套）。</w:t>
      </w:r>
    </w:p>
    <w:p>
      <w:pPr>
        <w:pBdr>
          <w:bottom w:val="single" w:color="FFFFFF" w:sz="4" w:space="30"/>
        </w:pBdr>
        <w:snapToGrid w:val="0"/>
        <w:spacing w:line="600" w:lineRule="exact"/>
        <w:rPr>
          <w:rFonts w:eastAsia="仿宋_GB2312" w:cstheme="minorBidi"/>
          <w:sz w:val="32"/>
          <w:szCs w:val="32"/>
        </w:rPr>
      </w:pPr>
      <w:r>
        <w:rPr>
          <w:rFonts w:hint="eastAsia" w:eastAsia="黑体" w:cs="黑体"/>
          <w:sz w:val="32"/>
          <w:szCs w:val="36"/>
        </w:rPr>
        <w:t xml:space="preserve">    十四、项目绩效目标情况说明</w:t>
      </w:r>
      <w:r>
        <w:rPr>
          <w:rFonts w:hint="eastAsia" w:eastAsia="黑体" w:cs="黑体"/>
          <w:b/>
          <w:bCs/>
          <w:sz w:val="32"/>
          <w:szCs w:val="36"/>
        </w:rPr>
        <w:t xml:space="preserve"> </w:t>
      </w:r>
    </w:p>
    <w:p>
      <w:pPr>
        <w:pBdr>
          <w:bottom w:val="single" w:color="FFFFFF" w:sz="4" w:space="30"/>
        </w:pBdr>
        <w:snapToGrid w:val="0"/>
        <w:spacing w:line="600" w:lineRule="exact"/>
        <w:rPr>
          <w:rFonts w:ascii="方正小标宋简体" w:hAnsi="方正小标宋简体" w:eastAsia="方正小标宋简体" w:cs="方正小标宋简体"/>
          <w:sz w:val="36"/>
          <w:szCs w:val="36"/>
        </w:rPr>
      </w:pPr>
      <w:r>
        <w:rPr>
          <w:rFonts w:hint="eastAsia" w:eastAsia="黑体" w:cs="黑体"/>
          <w:b/>
          <w:bCs/>
          <w:sz w:val="32"/>
          <w:szCs w:val="36"/>
        </w:rPr>
        <w:t xml:space="preserve">    </w:t>
      </w:r>
      <w:r>
        <w:rPr>
          <w:rFonts w:eastAsia="仿宋_GB2312" w:cstheme="minorBidi"/>
          <w:sz w:val="32"/>
          <w:szCs w:val="32"/>
        </w:rPr>
        <w:t>2026</w:t>
      </w:r>
      <w:r>
        <w:rPr>
          <w:rFonts w:hint="eastAsia" w:eastAsia="仿宋_GB2312" w:cstheme="minorBidi"/>
          <w:sz w:val="32"/>
          <w:szCs w:val="32"/>
        </w:rPr>
        <w:t>年，填报绩效目标的预算项目</w:t>
      </w:r>
      <w:r>
        <w:rPr>
          <w:rFonts w:eastAsia="仿宋_GB2312" w:cstheme="minorBidi"/>
          <w:sz w:val="32"/>
          <w:szCs w:val="32"/>
          <w:u w:val="single"/>
        </w:rPr>
        <w:t>7</w:t>
      </w:r>
      <w:r>
        <w:rPr>
          <w:rFonts w:hint="eastAsia" w:eastAsia="仿宋_GB2312" w:cstheme="minorBidi"/>
          <w:sz w:val="32"/>
          <w:szCs w:val="32"/>
        </w:rPr>
        <w:t>个，公开绩效目标</w:t>
      </w:r>
      <w:r>
        <w:rPr>
          <w:rFonts w:eastAsia="仿宋_GB2312" w:cstheme="minorBidi"/>
          <w:sz w:val="32"/>
          <w:szCs w:val="32"/>
          <w:u w:val="single"/>
        </w:rPr>
        <w:t>7</w:t>
      </w:r>
      <w:r>
        <w:rPr>
          <w:rFonts w:hint="eastAsia" w:eastAsia="仿宋_GB2312" w:cstheme="minorBidi"/>
          <w:sz w:val="32"/>
          <w:szCs w:val="32"/>
        </w:rPr>
        <w:t>个，公开项目占全部预算项目的100 %。公开填报绩效目标的项目预算</w:t>
      </w:r>
      <w:r>
        <w:rPr>
          <w:rFonts w:eastAsia="仿宋_GB2312" w:cstheme="minorBidi"/>
          <w:sz w:val="32"/>
          <w:szCs w:val="32"/>
          <w:u w:val="single"/>
        </w:rPr>
        <w:t>269.73</w:t>
      </w:r>
      <w:r>
        <w:rPr>
          <w:rFonts w:hint="eastAsia" w:eastAsia="仿宋_GB2312" w:cstheme="minorBidi"/>
          <w:sz w:val="32"/>
          <w:szCs w:val="32"/>
        </w:rPr>
        <w:t>万元，占全部项目预算的100%。</w:t>
      </w:r>
    </w:p>
    <w:p>
      <w:pPr>
        <w:pStyle w:val="7"/>
        <w:tabs>
          <w:tab w:val="left" w:pos="4392"/>
        </w:tabs>
        <w:spacing w:before="0" w:after="0" w:line="600" w:lineRule="exact"/>
        <w:ind w:firstLine="720" w:firstLineChars="200"/>
        <w:jc w:val="center"/>
        <w:rPr>
          <w:rFonts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第三部分   名词解释</w:t>
      </w:r>
    </w:p>
    <w:p>
      <w:pPr>
        <w:rPr>
          <w:sz w:val="36"/>
          <w:szCs w:val="36"/>
        </w:rPr>
      </w:pPr>
    </w:p>
    <w:p>
      <w:pPr>
        <w:spacing w:line="600" w:lineRule="exact"/>
        <w:ind w:firstLine="643" w:firstLineChars="200"/>
        <w:rPr>
          <w:rFonts w:eastAsia="仿宋_GB2312" w:cstheme="minorBidi"/>
          <w:sz w:val="32"/>
          <w:szCs w:val="32"/>
        </w:rPr>
      </w:pPr>
      <w:r>
        <w:rPr>
          <w:rFonts w:hint="eastAsia" w:eastAsia="仿宋_GB2312" w:cstheme="minorBidi"/>
          <w:b/>
          <w:bCs/>
          <w:sz w:val="32"/>
          <w:szCs w:val="32"/>
        </w:rPr>
        <w:t>一、财政拨款：</w:t>
      </w:r>
      <w:r>
        <w:rPr>
          <w:rFonts w:hint="eastAsia" w:eastAsia="仿宋_GB2312" w:cstheme="minorBidi"/>
          <w:sz w:val="32"/>
          <w:szCs w:val="32"/>
        </w:rPr>
        <w:t>部门/单位从同级财政部门取得的各类财政拨款，包括一般公共预算拨款、政府性基金预算拨款、国有资本经营预算拨款。</w:t>
      </w:r>
    </w:p>
    <w:p>
      <w:pPr>
        <w:spacing w:line="600" w:lineRule="exact"/>
        <w:ind w:firstLine="643" w:firstLineChars="200"/>
      </w:pPr>
      <w:r>
        <w:rPr>
          <w:rFonts w:hint="eastAsia" w:eastAsia="仿宋_GB2312" w:cstheme="minorBidi"/>
          <w:b/>
          <w:bCs/>
          <w:sz w:val="32"/>
          <w:szCs w:val="32"/>
        </w:rPr>
        <w:t>二、一般公共预算拨款收入：</w:t>
      </w:r>
      <w:r>
        <w:rPr>
          <w:rFonts w:hint="eastAsia" w:ascii="仿宋" w:hAnsi="仿宋" w:eastAsia="仿宋" w:cs="仿宋"/>
          <w:bCs/>
          <w:sz w:val="30"/>
          <w:szCs w:val="30"/>
        </w:rPr>
        <w:t>指市级财政当年拨付的资金。</w:t>
      </w:r>
    </w:p>
    <w:p>
      <w:pPr>
        <w:spacing w:line="600" w:lineRule="exact"/>
        <w:ind w:firstLine="643" w:firstLineChars="200"/>
        <w:rPr>
          <w:rFonts w:eastAsia="仿宋_GB2312" w:cstheme="minorBidi"/>
          <w:sz w:val="32"/>
          <w:szCs w:val="32"/>
        </w:rPr>
      </w:pPr>
      <w:r>
        <w:rPr>
          <w:rFonts w:hint="eastAsia" w:eastAsia="仿宋_GB2312" w:cstheme="minorBidi"/>
          <w:b/>
          <w:bCs/>
          <w:sz w:val="32"/>
          <w:szCs w:val="32"/>
        </w:rPr>
        <w:t>三、财政专户管理资金：</w:t>
      </w:r>
      <w:r>
        <w:rPr>
          <w:rFonts w:hint="eastAsia" w:eastAsia="仿宋_GB2312" w:cstheme="minorBidi"/>
          <w:sz w:val="32"/>
          <w:szCs w:val="32"/>
        </w:rPr>
        <w:t>缴入财政专户、实行专项管理的高中以上学费、住宿费、高校委托培养费、函大、电大、夜大及短训班培训费等教育收费。</w:t>
      </w:r>
    </w:p>
    <w:p>
      <w:pPr>
        <w:spacing w:line="600" w:lineRule="exact"/>
        <w:ind w:firstLine="643" w:firstLineChars="200"/>
        <w:rPr>
          <w:rFonts w:eastAsia="仿宋_GB2312" w:cstheme="minorBidi"/>
          <w:sz w:val="32"/>
          <w:szCs w:val="32"/>
        </w:rPr>
      </w:pPr>
      <w:r>
        <w:rPr>
          <w:rFonts w:hint="eastAsia" w:eastAsia="仿宋_GB2312" w:cstheme="minorBidi"/>
          <w:b/>
          <w:bCs/>
          <w:sz w:val="32"/>
          <w:szCs w:val="32"/>
        </w:rPr>
        <w:t>四、单位资金：</w:t>
      </w:r>
      <w:r>
        <w:rPr>
          <w:rFonts w:hint="eastAsia" w:eastAsia="仿宋_GB2312" w:cstheme="minorBidi"/>
          <w:sz w:val="32"/>
          <w:szCs w:val="32"/>
        </w:rPr>
        <w:t>除财政拨款收入和财政专户管理资金以外的收入，包括事业收入（不含教育收费）、上级补助收入、附属单位上缴收入、事业单位经营收入及其他收入（包含债务收入、投资收益等）。</w:t>
      </w:r>
    </w:p>
    <w:p>
      <w:pPr>
        <w:spacing w:line="600" w:lineRule="exact"/>
        <w:ind w:firstLine="643" w:firstLineChars="200"/>
        <w:rPr>
          <w:rFonts w:eastAsia="仿宋_GB2312" w:cstheme="minorBidi"/>
          <w:sz w:val="32"/>
          <w:szCs w:val="32"/>
        </w:rPr>
      </w:pPr>
      <w:r>
        <w:rPr>
          <w:rFonts w:hint="eastAsia" w:eastAsia="仿宋_GB2312" w:cstheme="minorBidi"/>
          <w:b/>
          <w:bCs/>
          <w:sz w:val="32"/>
          <w:szCs w:val="32"/>
        </w:rPr>
        <w:t>五、基本支出：</w:t>
      </w:r>
      <w:r>
        <w:rPr>
          <w:rFonts w:hint="eastAsia" w:eastAsia="仿宋_GB2312" w:cstheme="minorBidi"/>
          <w:sz w:val="32"/>
          <w:szCs w:val="32"/>
        </w:rPr>
        <w:t>指为保障机构正常运转、完成工作任务而发生的人员支出和公用支出。</w:t>
      </w:r>
    </w:p>
    <w:p>
      <w:pPr>
        <w:spacing w:line="600" w:lineRule="exact"/>
        <w:ind w:firstLine="643" w:firstLineChars="200"/>
        <w:rPr>
          <w:rFonts w:eastAsia="仿宋_GB2312" w:cstheme="minorBidi"/>
          <w:sz w:val="32"/>
          <w:szCs w:val="32"/>
        </w:rPr>
      </w:pPr>
      <w:r>
        <w:rPr>
          <w:rFonts w:hint="eastAsia" w:eastAsia="仿宋_GB2312" w:cstheme="minorBidi"/>
          <w:b/>
          <w:bCs/>
          <w:sz w:val="32"/>
          <w:szCs w:val="32"/>
        </w:rPr>
        <w:t>六、项目支出：</w:t>
      </w:r>
      <w:r>
        <w:rPr>
          <w:rFonts w:hint="eastAsia" w:eastAsia="仿宋_GB2312" w:cstheme="minorBidi"/>
          <w:sz w:val="32"/>
          <w:szCs w:val="32"/>
        </w:rPr>
        <w:t>指在基本支出之外为完成特定工作任务和事业发展目标所发生的支出。</w:t>
      </w:r>
    </w:p>
    <w:p>
      <w:pPr>
        <w:spacing w:line="600" w:lineRule="exact"/>
        <w:ind w:firstLine="643" w:firstLineChars="200"/>
        <w:rPr>
          <w:rFonts w:eastAsia="仿宋_GB2312" w:cstheme="minorBidi"/>
          <w:sz w:val="32"/>
          <w:szCs w:val="32"/>
        </w:rPr>
      </w:pPr>
      <w:r>
        <w:rPr>
          <w:rFonts w:hint="eastAsia" w:eastAsia="仿宋_GB2312" w:cstheme="minorBidi"/>
          <w:b/>
          <w:bCs/>
          <w:sz w:val="32"/>
          <w:szCs w:val="32"/>
        </w:rPr>
        <w:t>七、对个人和家庭的补助：</w:t>
      </w:r>
      <w:r>
        <w:rPr>
          <w:rFonts w:hint="eastAsia" w:eastAsia="仿宋_GB2312" w:cstheme="minorBidi"/>
          <w:sz w:val="32"/>
          <w:szCs w:val="32"/>
        </w:rPr>
        <w:t>是指政府用于对个人和家庭的补助支出。</w:t>
      </w:r>
    </w:p>
    <w:p>
      <w:pPr>
        <w:spacing w:line="600" w:lineRule="exact"/>
        <w:ind w:firstLine="643" w:firstLineChars="200"/>
        <w:rPr>
          <w:rFonts w:eastAsia="仿宋_GB2312" w:cstheme="minorBidi"/>
          <w:sz w:val="32"/>
          <w:szCs w:val="32"/>
        </w:rPr>
      </w:pPr>
      <w:r>
        <w:rPr>
          <w:rFonts w:hint="eastAsia" w:eastAsia="仿宋_GB2312" w:cstheme="minorBidi"/>
          <w:b/>
          <w:bCs/>
          <w:sz w:val="32"/>
          <w:szCs w:val="32"/>
        </w:rPr>
        <w:t>八、“三公”经费：</w:t>
      </w:r>
      <w:r>
        <w:rPr>
          <w:rFonts w:hint="eastAsia" w:eastAsia="仿宋_GB2312" w:cstheme="minorBidi"/>
          <w:sz w:val="32"/>
          <w:szCs w:val="32"/>
        </w:rPr>
        <w:t>指部门/单位用一般公共预算财政拨款安排的因公出国（境）费、公务用车购置及运行维护费和公务接待费。其中，因公出国（境）费反映部门/单位公务出国（境）的住宿费、旅费、伙食补助费、杂费、培训费等支出；公务用车购置及运行维护费反映部门/单位公务用车购置费、燃料费、维修费、过路过桥费、保险费、安全奖励费用等支出；公务接待费反映部门/单位按规定开支的各类公务接待（含外宾接待）支出。</w:t>
      </w:r>
    </w:p>
    <w:p>
      <w:pPr>
        <w:spacing w:line="600" w:lineRule="exact"/>
        <w:ind w:firstLine="643" w:firstLineChars="200"/>
        <w:rPr>
          <w:rFonts w:eastAsia="仿宋_GB2312" w:cstheme="minorBidi"/>
          <w:sz w:val="32"/>
          <w:szCs w:val="32"/>
        </w:rPr>
      </w:pPr>
      <w:r>
        <w:rPr>
          <w:rFonts w:hint="eastAsia" w:eastAsia="仿宋_GB2312" w:cstheme="minorBidi"/>
          <w:b/>
          <w:bCs/>
          <w:sz w:val="32"/>
          <w:szCs w:val="32"/>
        </w:rPr>
        <w:t>九、机关运行经费：</w:t>
      </w:r>
      <w:r>
        <w:rPr>
          <w:rFonts w:hint="eastAsia" w:eastAsia="仿宋_GB2312" w:cstheme="minorBidi"/>
          <w:sz w:val="32"/>
          <w:szCs w:val="32"/>
        </w:rPr>
        <w:t>指部门/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spacing w:line="600" w:lineRule="exact"/>
        <w:rPr>
          <w:rFonts w:ascii="方正小标宋简体" w:hAnsi="方正小标宋简体" w:eastAsia="方正小标宋简体" w:cs="方正小标宋简体"/>
          <w:sz w:val="36"/>
          <w:szCs w:val="36"/>
        </w:rPr>
      </w:pPr>
    </w:p>
    <w:p>
      <w:pPr>
        <w:spacing w:line="60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第四部分</w:t>
      </w:r>
      <w:r>
        <w:rPr>
          <w:rFonts w:hint="eastAsia" w:ascii="仿宋" w:hAnsi="仿宋" w:eastAsia="仿宋" w:cs="仿宋"/>
          <w:sz w:val="36"/>
          <w:szCs w:val="36"/>
        </w:rPr>
        <w:t xml:space="preserve"> </w:t>
      </w:r>
      <w:r>
        <w:rPr>
          <w:rFonts w:hint="eastAsia" w:ascii="方正小标宋简体" w:hAnsi="方正小标宋简体" w:eastAsia="方正小标宋简体" w:cs="方正小标宋简体"/>
          <w:sz w:val="36"/>
          <w:szCs w:val="36"/>
        </w:rPr>
        <w:t>预算公开联系方式及信息反馈渠道</w:t>
      </w:r>
    </w:p>
    <w:p>
      <w:pPr>
        <w:snapToGrid w:val="0"/>
        <w:spacing w:line="600" w:lineRule="exact"/>
        <w:rPr>
          <w:rFonts w:ascii="方正小标宋简体" w:hAnsi="方正小标宋简体" w:eastAsia="方正小标宋简体" w:cs="方正小标宋简体"/>
          <w:sz w:val="36"/>
          <w:szCs w:val="36"/>
        </w:rPr>
      </w:pPr>
    </w:p>
    <w:p>
      <w:pPr>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本单位预算公开信息反馈和联系方式：</w:t>
      </w:r>
    </w:p>
    <w:p>
      <w:pPr>
        <w:snapToGrid w:val="0"/>
        <w:spacing w:line="600" w:lineRule="exact"/>
        <w:ind w:firstLine="640" w:firstLineChars="200"/>
        <w:rPr>
          <w:rFonts w:ascii="仿宋_GB2312" w:hAnsi="仿宋_GB2312" w:eastAsia="仿宋_GB2312" w:cs="仿宋_GB2312"/>
          <w:sz w:val="32"/>
          <w:szCs w:val="32"/>
        </w:rPr>
        <w:sectPr>
          <w:pgSz w:w="11910" w:h="16840"/>
          <w:pgMar w:top="1580" w:right="1020" w:bottom="280" w:left="1240" w:header="720" w:footer="720" w:gutter="0"/>
          <w:pgNumType w:fmt="numberInDash"/>
          <w:cols w:space="720" w:num="1"/>
        </w:sectPr>
      </w:pPr>
      <w:r>
        <w:rPr>
          <w:rFonts w:hint="eastAsia" w:ascii="仿宋_GB2312" w:hAnsi="仿宋_GB2312" w:eastAsia="仿宋_GB2312" w:cs="仿宋_GB2312"/>
          <w:sz w:val="32"/>
          <w:szCs w:val="32"/>
        </w:rPr>
        <w:t>联系人：高云骥         联系电话：0479-8210909</w:t>
      </w:r>
    </w:p>
    <w:p>
      <w:pPr>
        <w:pStyle w:val="7"/>
        <w:tabs>
          <w:tab w:val="left" w:pos="4392"/>
        </w:tabs>
        <w:spacing w:before="0" w:after="0" w:line="600" w:lineRule="exact"/>
        <w:jc w:val="center"/>
        <w:rPr>
          <w:rFonts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第五部分  2026年度锡林郭勒盟统计局单位预算表</w:t>
      </w:r>
    </w:p>
    <w:p>
      <w:pPr>
        <w:pStyle w:val="2"/>
        <w:ind w:left="630" w:leftChars="300" w:firstLine="0"/>
        <w:rPr>
          <w:rStyle w:val="42"/>
          <w:rFonts w:hint="default"/>
        </w:rPr>
      </w:pPr>
      <w:r>
        <w:rPr>
          <w:rStyle w:val="42"/>
        </w:rPr>
        <w:t>一、 收支总表</w:t>
      </w:r>
      <w:r>
        <w:rPr>
          <w:rFonts w:ascii="黑体" w:hAnsi="黑体" w:eastAsia="黑体"/>
          <w:color w:val="000000"/>
          <w:sz w:val="32"/>
          <w:szCs w:val="32"/>
        </w:rPr>
        <w:br w:type="textWrapping"/>
      </w:r>
      <w:r>
        <w:rPr>
          <w:rStyle w:val="42"/>
        </w:rPr>
        <w:t>二、 收入总表</w:t>
      </w:r>
      <w:r>
        <w:rPr>
          <w:rFonts w:ascii="黑体" w:hAnsi="黑体" w:eastAsia="黑体"/>
          <w:color w:val="000000"/>
          <w:sz w:val="32"/>
          <w:szCs w:val="32"/>
        </w:rPr>
        <w:br w:type="textWrapping"/>
      </w:r>
      <w:r>
        <w:rPr>
          <w:rStyle w:val="42"/>
        </w:rPr>
        <w:t>三、 支出总表</w:t>
      </w:r>
      <w:r>
        <w:rPr>
          <w:rFonts w:ascii="黑体" w:hAnsi="黑体" w:eastAsia="黑体"/>
          <w:color w:val="000000"/>
          <w:sz w:val="32"/>
          <w:szCs w:val="32"/>
        </w:rPr>
        <w:br w:type="textWrapping"/>
      </w:r>
      <w:r>
        <w:rPr>
          <w:rStyle w:val="42"/>
        </w:rPr>
        <w:t>四、 财政拨款收支总表</w:t>
      </w:r>
      <w:r>
        <w:rPr>
          <w:rFonts w:ascii="黑体" w:hAnsi="黑体" w:eastAsia="黑体"/>
          <w:color w:val="000000"/>
          <w:sz w:val="32"/>
          <w:szCs w:val="32"/>
        </w:rPr>
        <w:br w:type="textWrapping"/>
      </w:r>
      <w:r>
        <w:rPr>
          <w:rStyle w:val="42"/>
        </w:rPr>
        <w:t>五、 一般公共预算支出表</w:t>
      </w:r>
      <w:r>
        <w:rPr>
          <w:rFonts w:ascii="黑体" w:hAnsi="黑体" w:eastAsia="黑体"/>
          <w:color w:val="000000"/>
          <w:sz w:val="32"/>
          <w:szCs w:val="32"/>
        </w:rPr>
        <w:br w:type="textWrapping"/>
      </w:r>
      <w:r>
        <w:rPr>
          <w:rStyle w:val="42"/>
        </w:rPr>
        <w:t>六、 一般公共预算基本支出表</w:t>
      </w:r>
      <w:r>
        <w:rPr>
          <w:rFonts w:ascii="黑体" w:hAnsi="黑体" w:eastAsia="黑体"/>
          <w:color w:val="000000"/>
          <w:sz w:val="32"/>
          <w:szCs w:val="32"/>
        </w:rPr>
        <w:br w:type="textWrapping"/>
      </w:r>
      <w:r>
        <w:rPr>
          <w:rStyle w:val="42"/>
        </w:rPr>
        <w:t>七、 一般公共预算“三公” 经费支出表</w:t>
      </w:r>
      <w:r>
        <w:rPr>
          <w:rFonts w:ascii="黑体" w:hAnsi="黑体" w:eastAsia="黑体"/>
          <w:color w:val="000000"/>
          <w:sz w:val="32"/>
          <w:szCs w:val="32"/>
        </w:rPr>
        <w:br w:type="textWrapping"/>
      </w:r>
      <w:r>
        <w:rPr>
          <w:rStyle w:val="42"/>
        </w:rPr>
        <w:t>八、 政府性基金预算支出表</w:t>
      </w:r>
      <w:r>
        <w:rPr>
          <w:rFonts w:ascii="黑体" w:hAnsi="黑体" w:eastAsia="黑体"/>
          <w:color w:val="000000"/>
          <w:sz w:val="32"/>
          <w:szCs w:val="32"/>
        </w:rPr>
        <w:br w:type="textWrapping"/>
      </w:r>
      <w:r>
        <w:rPr>
          <w:rStyle w:val="42"/>
        </w:rPr>
        <w:t>九、 国有资本经营预算支出表</w:t>
      </w:r>
      <w:r>
        <w:rPr>
          <w:rFonts w:ascii="黑体" w:hAnsi="黑体" w:eastAsia="黑体"/>
          <w:color w:val="000000"/>
          <w:sz w:val="32"/>
          <w:szCs w:val="32"/>
        </w:rPr>
        <w:br w:type="textWrapping"/>
      </w:r>
      <w:r>
        <w:rPr>
          <w:rStyle w:val="42"/>
        </w:rPr>
        <w:t>十、 部门项目支出</w:t>
      </w:r>
      <w:r>
        <w:rPr>
          <w:rFonts w:ascii="黑体" w:hAnsi="黑体" w:eastAsia="黑体"/>
          <w:color w:val="000000"/>
          <w:sz w:val="32"/>
          <w:szCs w:val="32"/>
        </w:rPr>
        <w:br w:type="textWrapping"/>
      </w:r>
      <w:r>
        <w:rPr>
          <w:rStyle w:val="42"/>
        </w:rPr>
        <w:t>十一、 项目绩效目标表</w:t>
      </w:r>
      <w:r>
        <w:rPr>
          <w:rFonts w:ascii="黑体" w:hAnsi="黑体" w:eastAsia="黑体"/>
          <w:color w:val="000000"/>
          <w:sz w:val="32"/>
          <w:szCs w:val="32"/>
        </w:rPr>
        <w:br w:type="textWrapping"/>
      </w:r>
      <w:r>
        <w:rPr>
          <w:rStyle w:val="42"/>
        </w:rPr>
        <w:t>十二、 政府采购预算表</w:t>
      </w:r>
    </w:p>
    <w:p>
      <w:pPr>
        <w:pStyle w:val="2"/>
        <w:ind w:left="0" w:leftChars="0" w:firstLine="0"/>
        <w:rPr>
          <w:rStyle w:val="42"/>
          <w:rFonts w:hint="default"/>
        </w:rPr>
      </w:pPr>
    </w:p>
    <w:p>
      <w:pPr>
        <w:pStyle w:val="2"/>
        <w:ind w:left="1120" w:leftChars="0" w:hanging="1120" w:hangingChars="350"/>
        <w:rPr>
          <w:rFonts w:ascii="仿宋_GB2312" w:hAnsi="仿宋" w:eastAsia="仿宋_GB2312"/>
          <w:color w:val="000000"/>
          <w:kern w:val="2"/>
          <w:sz w:val="32"/>
          <w:szCs w:val="32"/>
        </w:rPr>
      </w:pPr>
      <w:r>
        <w:rPr>
          <w:rFonts w:ascii="仿宋_GB2312" w:eastAsia="仿宋_GB2312" w:cs="宋体"/>
          <w:color w:val="000000"/>
          <w:kern w:val="2"/>
          <w:sz w:val="32"/>
          <w:szCs w:val="32"/>
        </w:rPr>
        <w:t>备注：</w:t>
      </w:r>
      <w:r>
        <w:rPr>
          <w:rFonts w:ascii="仿宋_GB2312" w:hAnsi="仿宋" w:eastAsia="仿宋_GB2312"/>
          <w:color w:val="000000"/>
          <w:kern w:val="2"/>
          <w:sz w:val="32"/>
          <w:szCs w:val="32"/>
        </w:rPr>
        <w:t>1.</w:t>
      </w:r>
      <w:r>
        <w:rPr>
          <w:rFonts w:ascii="仿宋_GB2312" w:eastAsia="仿宋_GB2312" w:cs="宋体"/>
          <w:color w:val="000000"/>
          <w:kern w:val="2"/>
          <w:sz w:val="32"/>
          <w:szCs w:val="32"/>
        </w:rPr>
        <w:t>预算公开表见附件。</w:t>
      </w:r>
    </w:p>
    <w:p>
      <w:pPr>
        <w:pStyle w:val="2"/>
        <w:spacing w:after="0"/>
        <w:ind w:left="0" w:leftChars="0" w:firstLine="960" w:firstLineChars="300"/>
        <w:rPr>
          <w:rFonts w:hint="default" w:ascii="仿宋_GB2312" w:eastAsia="仿宋_GB2312"/>
        </w:rPr>
      </w:pPr>
      <w:r>
        <w:rPr>
          <w:rFonts w:ascii="仿宋_GB2312" w:hAnsi="仿宋" w:eastAsia="仿宋_GB2312"/>
          <w:color w:val="000000"/>
          <w:kern w:val="2"/>
          <w:sz w:val="32"/>
          <w:szCs w:val="32"/>
        </w:rPr>
        <w:t>2.</w:t>
      </w:r>
      <w:r>
        <w:rPr>
          <w:rFonts w:ascii="仿宋_GB2312" w:eastAsia="仿宋_GB2312" w:cs="宋体"/>
          <w:color w:val="000000"/>
          <w:kern w:val="2"/>
          <w:sz w:val="32"/>
          <w:szCs w:val="32"/>
        </w:rPr>
        <w:t>由于公开报表中数据进行了四舍五入，</w:t>
      </w:r>
      <w:r>
        <w:rPr>
          <w:rFonts w:ascii="仿宋_GB2312" w:hAnsi="仿宋" w:eastAsia="仿宋_GB2312"/>
          <w:color w:val="000000"/>
          <w:kern w:val="2"/>
          <w:sz w:val="32"/>
          <w:szCs w:val="32"/>
        </w:rPr>
        <w:t xml:space="preserve"> </w:t>
      </w:r>
      <w:r>
        <w:rPr>
          <w:rFonts w:ascii="仿宋_GB2312" w:eastAsia="仿宋_GB2312" w:cs="宋体"/>
          <w:color w:val="000000"/>
          <w:kern w:val="2"/>
          <w:sz w:val="32"/>
          <w:szCs w:val="32"/>
        </w:rPr>
        <w:t>会出现合计数与各分项数之和存在差异情况，以上情况是数据四舍五入产生的。</w:t>
      </w:r>
    </w:p>
    <w:p>
      <w:pPr>
        <w:rPr>
          <w:rFonts w:eastAsiaTheme="minorEastAsia"/>
        </w:rPr>
      </w:pPr>
    </w:p>
    <w:p>
      <w:pPr>
        <w:spacing w:line="600" w:lineRule="exact"/>
        <w:rPr>
          <w:rFonts w:eastAsia="仿宋_GB2312" w:cstheme="minorBidi"/>
          <w:sz w:val="30"/>
          <w:szCs w:val="30"/>
        </w:rPr>
      </w:pPr>
    </w:p>
    <w:sectPr>
      <w:pgSz w:w="11910" w:h="16840"/>
      <w:pgMar w:top="1580" w:right="1080" w:bottom="280" w:left="1080" w:header="720" w:footer="720" w:gutter="0"/>
      <w:pgNumType w:fmt="numberInDash"/>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CD31AD7-3E23-496D-B202-AA500EF388B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embedRegular r:id="rId2" w:fontKey="{5716CCF3-C227-4A82-8D2A-89D44289D5DE}"/>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Arial">
    <w:panose1 w:val="020B0604020202020204"/>
    <w:charset w:val="00"/>
    <w:family w:val="swiss"/>
    <w:pitch w:val="default"/>
    <w:sig w:usb0="E0002AFF" w:usb1="C0007843" w:usb2="00000009" w:usb3="00000000" w:csb0="400001FF" w:csb1="FFFF0000"/>
    <w:embedRegular r:id="rId3" w:fontKey="{36C19744-7F9A-4E8D-9F96-71EF878446F7}"/>
  </w:font>
  <w:font w:name="等线 Light">
    <w:altName w:val="Arial Unicode MS"/>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embedRegular r:id="rId4" w:fontKey="{F14DBFD4-270C-4C01-9C8A-917EAB268228}"/>
  </w:font>
  <w:font w:name="等线">
    <w:altName w:val="Arial Unicode MS"/>
    <w:panose1 w:val="00000000000000000000"/>
    <w:charset w:val="86"/>
    <w:family w:val="auto"/>
    <w:pitch w:val="default"/>
    <w:sig w:usb0="00000000" w:usb1="00000000" w:usb2="00000016" w:usb3="00000000" w:csb0="0004000F" w:csb1="00000000"/>
  </w:font>
  <w:font w:name="Helvetica">
    <w:altName w:val="Arial"/>
    <w:panose1 w:val="020B0604020202020204"/>
    <w:charset w:val="00"/>
    <w:family w:val="swiss"/>
    <w:pitch w:val="default"/>
    <w:sig w:usb0="00000000" w:usb1="00000000" w:usb2="00000000" w:usb3="00000000" w:csb0="00000001" w:csb1="00000000"/>
  </w:font>
  <w:font w:name="Courier">
    <w:altName w:val="Courier New"/>
    <w:panose1 w:val="02070409020205020404"/>
    <w:charset w:val="00"/>
    <w:family w:val="modern"/>
    <w:pitch w:val="default"/>
    <w:sig w:usb0="00000000" w:usb1="00000000" w:usb2="00000000" w:usb3="00000000" w:csb0="00000001" w:csb1="00000000"/>
  </w:font>
  <w:font w:name="Tms Rmn">
    <w:altName w:val="Segoe Print"/>
    <w:panose1 w:val="02020603040505020304"/>
    <w:charset w:val="00"/>
    <w:family w:val="roman"/>
    <w:pitch w:val="default"/>
    <w:sig w:usb0="00000000" w:usb1="00000000" w:usb2="00000000" w:usb3="00000000" w:csb0="00000001" w:csb1="00000000"/>
  </w:font>
  <w:font w:name="Helv">
    <w:altName w:val="Segoe Print"/>
    <w:panose1 w:val="020B0604020202030204"/>
    <w:charset w:val="00"/>
    <w:family w:val="swiss"/>
    <w:pitch w:val="default"/>
    <w:sig w:usb0="00000000" w:usb1="00000000" w:usb2="00000000" w:usb3="00000000" w:csb0="00000001" w:csb1="00000000"/>
  </w:font>
  <w:font w:name="New York">
    <w:altName w:val="Times New Roman"/>
    <w:panose1 w:val="02040503060506020304"/>
    <w:charset w:val="00"/>
    <w:family w:val="roman"/>
    <w:pitch w:val="default"/>
    <w:sig w:usb0="00000000" w:usb1="00000000" w:usb2="00000000" w:usb3="00000000" w:csb0="00000001" w:csb1="00000000"/>
  </w:font>
  <w:font w:name="Arial Unicode MS">
    <w:panose1 w:val="020B0604020202020204"/>
    <w:charset w:val="86"/>
    <w:family w:val="swiss"/>
    <w:pitch w:val="default"/>
    <w:sig w:usb0="FFFFFFFF" w:usb1="E9FFFFFF" w:usb2="0000003F" w:usb3="00000000" w:csb0="603F01FF" w:csb1="FFFF0000"/>
  </w:font>
  <w:font w:name="方正小标宋简体">
    <w:panose1 w:val="02010601030101010101"/>
    <w:charset w:val="86"/>
    <w:family w:val="auto"/>
    <w:pitch w:val="default"/>
    <w:sig w:usb0="00000001" w:usb1="080E0000" w:usb2="00000000" w:usb3="00000000" w:csb0="00040000" w:csb1="00000000"/>
    <w:embedRegular r:id="rId5" w:fontKey="{E7233FBC-9193-4E7F-B605-9EE18ADDA869}"/>
  </w:font>
  <w:font w:name="仿宋">
    <w:panose1 w:val="02010609060101010101"/>
    <w:charset w:val="86"/>
    <w:family w:val="modern"/>
    <w:pitch w:val="default"/>
    <w:sig w:usb0="800002BF" w:usb1="38CF7CFA" w:usb2="00000016" w:usb3="00000000" w:csb0="00040001" w:csb1="00000000"/>
    <w:embedRegular r:id="rId6" w:fontKey="{29C1C23A-7061-4511-8482-C5C6D220853E}"/>
  </w:font>
  <w:font w:name="方正楷体简体">
    <w:panose1 w:val="02010601030101010101"/>
    <w:charset w:val="86"/>
    <w:family w:val="auto"/>
    <w:pitch w:val="default"/>
    <w:sig w:usb0="00000001" w:usb1="080E0000" w:usb2="00000000" w:usb3="00000000" w:csb0="00040000" w:csb1="00000000"/>
    <w:embedRegular r:id="rId7" w:fontKey="{9119632E-02E3-4818-B574-813D5D31720F}"/>
  </w:font>
  <w:font w:name="楷体">
    <w:panose1 w:val="02010609060101010101"/>
    <w:charset w:val="86"/>
    <w:family w:val="modern"/>
    <w:pitch w:val="default"/>
    <w:sig w:usb0="800002BF" w:usb1="38CF7CFA" w:usb2="00000016" w:usb3="00000000" w:csb0="00040001" w:csb1="00000000"/>
    <w:embedRegular r:id="rId8" w:fontKey="{A5A09B55-D0E8-48C9-AA2D-269068303716}"/>
  </w:font>
  <w:font w:name="微软雅黑">
    <w:panose1 w:val="020B0503020204020204"/>
    <w:charset w:val="86"/>
    <w:family w:val="swiss"/>
    <w:pitch w:val="default"/>
    <w:sig w:usb0="80000287" w:usb1="280F3C52" w:usb2="00000016" w:usb3="00000000" w:csb0="0004001F" w:csb1="00000000"/>
    <w:embedRegular r:id="rId9" w:fontKey="{9330A21E-8579-4DD3-B0BC-377CBB12024F}"/>
  </w:font>
  <w:font w:name="___WRD_EMBED_SUB_40">
    <w:altName w:val="宋体"/>
    <w:panose1 w:val="02010609030101010101"/>
    <w:charset w:val="86"/>
    <w:family w:val="decorative"/>
    <w:pitch w:val="default"/>
    <w:sig w:usb0="00000000" w:usb1="00000000" w:usb2="00000000" w:usb3="00000000" w:csb0="00000000" w:csb1="00000000"/>
    <w:embedRegular r:id="rId10" w:fontKey="{F63F9454-9211-4421-BA41-BC6F3C3543EA}"/>
  </w:font>
  <w:font w:name="Segoe UI">
    <w:panose1 w:val="020B0502040204020203"/>
    <w:charset w:val="00"/>
    <w:family w:val="swiss"/>
    <w:pitch w:val="default"/>
    <w:sig w:usb0="E10022FF" w:usb1="C000E47F" w:usb2="00000029" w:usb3="00000000" w:csb0="200001DF" w:csb1="20000000"/>
    <w:embedRegular r:id="rId11" w:fontKey="{5FA70F19-1C72-491A-A5FD-1F19622BBF8F}"/>
  </w:font>
  <w:font w:name="等线">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96" name="文本框 19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AR4uoRAgAACwQAAA4AAABkcnMvZTJvRG9jLnhtbK1TzY7TMBC+I/EO&#10;lu80aRFVqZquyq6KkCp2pYI4u47TRPKfbLdJeQB4A05cuO9z9Tn47DRdBJwQF2cyM/5m5pvPi5tO&#10;SXIUzjdGF3Q8yikRmpuy0fuCfvywfjGjxAemSyaNFgU9CU9vls+fLVo7FxNTG1kKRwCi/by1Ba1D&#10;sPMs87wWivmRsUIjWBmnWMCv22elYy3QlcwmeT7NWuNK6wwX3sN71wfpMuFXleDhvqq8CEQWFL2F&#10;dLp07uKZLRdsvnfM1g2/tMH+oQvFGo2iV6g7Fhg5uOYPKNVwZ7ypwogblZmqarhIM2Cacf7bNNua&#10;WZFmATneXmny/w+Wvz8+ONKU2N3rKSWaKSzp/O3r+fvj+ccXEp2gqLV+jsytRW7o3pgO6YPfwxkn&#10;7yqn4hczEcRB9ulKsOgC4fHSbDKb5QhxxIYf4GdP163z4a0wikSjoA4bTMSy48aHPnVIidW0WTdS&#10;pi1KTdqCTl++ytOFawTgUqNGHKJvNlqh23WXyXamPGEwZ3p1eMvXDYpvmA8PzEEOaBgSD/c4KmlQ&#10;xFwsSmrjPv/NH/OxJUQpaSGvgmronxL5TmN7UYmD4QZjNxj6oG4N9DrG07E8mbjgghzMyhn1Cbpf&#10;xRoIMc1RqaBhMG9DL3G8Gy5Wq5QEvVkWNnpreYSO5Hm7OgQQmHiNpPRMXLiC4tJmLq8jSvrX/5T1&#10;9IaXP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zSVju0AAAAAUBAAAPAAAAAAAAAAEAIAAAACIA&#10;AABkcnMvZG93bnJldi54bWxQSwECFAAUAAAACACHTuJA4BHi6hECAAALBAAADgAAAAAAAAABACAA&#10;AAAfAQAAZHJzL2Uyb0RvYy54bWxQSwUGAAAAAAYABgBZAQAAogU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- 1 -</w:t>
                    </w:r>
                    <w:r>
                      <w:fldChar w:fldCharType="end"/>
                    </w:r>
                  </w:p>
                </w:txbxContent>
              </v:textbox>
            </v:shape>
          </w:pict>
        </mc:Fallback>
      </mc:AlternateContent>
    </w:r>
  </w:p>
  <w:p>
    <w:pPr>
      <w:pStyle w:val="1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0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65B7C3"/>
    <w:multiLevelType w:val="singleLevel"/>
    <w:tmpl w:val="3265B7C3"/>
    <w:lvl w:ilvl="0" w:tentative="0">
      <w:start w:val="1"/>
      <w:numFmt w:val="chineseCounting"/>
      <w:suff w:val="nothing"/>
      <w:lvlText w:val="%1、"/>
      <w:lvlJc w:val="left"/>
      <w:rPr>
        <w:rFonts w:hint="eastAsia"/>
      </w:rPr>
    </w:lvl>
  </w:abstractNum>
  <w:abstractNum w:abstractNumId="1">
    <w:nsid w:val="4EC74364"/>
    <w:multiLevelType w:val="singleLevel"/>
    <w:tmpl w:val="4EC74364"/>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oNotDisplayPageBoundaries w:val="1"/>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MyOTA5YzIxNDIxNWFhMmQ5ZDViM2ZkNjAxNzE0M2UifQ=="/>
  </w:docVars>
  <w:rsids>
    <w:rsidRoot w:val="00172A27"/>
    <w:rsid w:val="000007DD"/>
    <w:rsid w:val="00000CBF"/>
    <w:rsid w:val="000034CD"/>
    <w:rsid w:val="00003B87"/>
    <w:rsid w:val="00007783"/>
    <w:rsid w:val="000106AF"/>
    <w:rsid w:val="00010F09"/>
    <w:rsid w:val="00010F57"/>
    <w:rsid w:val="00014729"/>
    <w:rsid w:val="000168E2"/>
    <w:rsid w:val="00016E30"/>
    <w:rsid w:val="0001778D"/>
    <w:rsid w:val="000209B3"/>
    <w:rsid w:val="00023930"/>
    <w:rsid w:val="0002537D"/>
    <w:rsid w:val="000267C9"/>
    <w:rsid w:val="000316D6"/>
    <w:rsid w:val="00032B8F"/>
    <w:rsid w:val="00034C3D"/>
    <w:rsid w:val="00035935"/>
    <w:rsid w:val="00035BD9"/>
    <w:rsid w:val="00037650"/>
    <w:rsid w:val="00037C0C"/>
    <w:rsid w:val="000408B3"/>
    <w:rsid w:val="000409C6"/>
    <w:rsid w:val="00040A7B"/>
    <w:rsid w:val="00043548"/>
    <w:rsid w:val="0004437D"/>
    <w:rsid w:val="00044D5A"/>
    <w:rsid w:val="00045056"/>
    <w:rsid w:val="000517C8"/>
    <w:rsid w:val="00052722"/>
    <w:rsid w:val="00052AB3"/>
    <w:rsid w:val="000530B5"/>
    <w:rsid w:val="000547DF"/>
    <w:rsid w:val="0005634A"/>
    <w:rsid w:val="00056E21"/>
    <w:rsid w:val="00062BF7"/>
    <w:rsid w:val="00063642"/>
    <w:rsid w:val="00065474"/>
    <w:rsid w:val="00071596"/>
    <w:rsid w:val="00073EED"/>
    <w:rsid w:val="00076443"/>
    <w:rsid w:val="00080B1C"/>
    <w:rsid w:val="00082025"/>
    <w:rsid w:val="000843F5"/>
    <w:rsid w:val="00084B87"/>
    <w:rsid w:val="00084C61"/>
    <w:rsid w:val="00084EE5"/>
    <w:rsid w:val="00085C93"/>
    <w:rsid w:val="00087A5E"/>
    <w:rsid w:val="00090945"/>
    <w:rsid w:val="00094212"/>
    <w:rsid w:val="00094289"/>
    <w:rsid w:val="00094579"/>
    <w:rsid w:val="0009486F"/>
    <w:rsid w:val="00097AD5"/>
    <w:rsid w:val="00097E70"/>
    <w:rsid w:val="000A067C"/>
    <w:rsid w:val="000A3463"/>
    <w:rsid w:val="000A3CBA"/>
    <w:rsid w:val="000B179A"/>
    <w:rsid w:val="000B19DD"/>
    <w:rsid w:val="000B271C"/>
    <w:rsid w:val="000B3090"/>
    <w:rsid w:val="000B395D"/>
    <w:rsid w:val="000B3BF9"/>
    <w:rsid w:val="000B4C87"/>
    <w:rsid w:val="000B5E2F"/>
    <w:rsid w:val="000B75C9"/>
    <w:rsid w:val="000C2547"/>
    <w:rsid w:val="000C2657"/>
    <w:rsid w:val="000C3B4A"/>
    <w:rsid w:val="000C7570"/>
    <w:rsid w:val="000D0C0C"/>
    <w:rsid w:val="000D1A18"/>
    <w:rsid w:val="000D4710"/>
    <w:rsid w:val="000D7779"/>
    <w:rsid w:val="000E093A"/>
    <w:rsid w:val="000E597B"/>
    <w:rsid w:val="000E63BF"/>
    <w:rsid w:val="000F045E"/>
    <w:rsid w:val="000F0BD4"/>
    <w:rsid w:val="000F344F"/>
    <w:rsid w:val="000F6C2D"/>
    <w:rsid w:val="000F7468"/>
    <w:rsid w:val="000F746A"/>
    <w:rsid w:val="00102140"/>
    <w:rsid w:val="00106E16"/>
    <w:rsid w:val="001114EC"/>
    <w:rsid w:val="00112A96"/>
    <w:rsid w:val="001133DF"/>
    <w:rsid w:val="00114F9E"/>
    <w:rsid w:val="001151B8"/>
    <w:rsid w:val="00122854"/>
    <w:rsid w:val="00122B22"/>
    <w:rsid w:val="00123EEA"/>
    <w:rsid w:val="00126508"/>
    <w:rsid w:val="001329DF"/>
    <w:rsid w:val="001342A7"/>
    <w:rsid w:val="001357A3"/>
    <w:rsid w:val="00142E3E"/>
    <w:rsid w:val="001432CD"/>
    <w:rsid w:val="0014381D"/>
    <w:rsid w:val="00144266"/>
    <w:rsid w:val="0014464F"/>
    <w:rsid w:val="00145CC8"/>
    <w:rsid w:val="00152205"/>
    <w:rsid w:val="00153AFD"/>
    <w:rsid w:val="00155332"/>
    <w:rsid w:val="00155E13"/>
    <w:rsid w:val="00157214"/>
    <w:rsid w:val="001602D6"/>
    <w:rsid w:val="00163244"/>
    <w:rsid w:val="00163F67"/>
    <w:rsid w:val="00172A27"/>
    <w:rsid w:val="001735FD"/>
    <w:rsid w:val="001738CA"/>
    <w:rsid w:val="00175368"/>
    <w:rsid w:val="001802D6"/>
    <w:rsid w:val="00191536"/>
    <w:rsid w:val="00193879"/>
    <w:rsid w:val="001940E1"/>
    <w:rsid w:val="00196BA0"/>
    <w:rsid w:val="0019719A"/>
    <w:rsid w:val="001A02B5"/>
    <w:rsid w:val="001A1BDF"/>
    <w:rsid w:val="001A2F89"/>
    <w:rsid w:val="001A3158"/>
    <w:rsid w:val="001A3CE2"/>
    <w:rsid w:val="001A5241"/>
    <w:rsid w:val="001B012D"/>
    <w:rsid w:val="001B0DDF"/>
    <w:rsid w:val="001B1449"/>
    <w:rsid w:val="001B3621"/>
    <w:rsid w:val="001B4457"/>
    <w:rsid w:val="001B5368"/>
    <w:rsid w:val="001B5EC9"/>
    <w:rsid w:val="001B7FCD"/>
    <w:rsid w:val="001C0CDF"/>
    <w:rsid w:val="001C0D83"/>
    <w:rsid w:val="001C4010"/>
    <w:rsid w:val="001C6BF1"/>
    <w:rsid w:val="001D3C7E"/>
    <w:rsid w:val="001D6D0B"/>
    <w:rsid w:val="001D7958"/>
    <w:rsid w:val="001E0433"/>
    <w:rsid w:val="001E0815"/>
    <w:rsid w:val="001E3429"/>
    <w:rsid w:val="001E68D8"/>
    <w:rsid w:val="001E76DB"/>
    <w:rsid w:val="001F4C1E"/>
    <w:rsid w:val="001F6B7A"/>
    <w:rsid w:val="00200204"/>
    <w:rsid w:val="002015D3"/>
    <w:rsid w:val="002039F1"/>
    <w:rsid w:val="002044DF"/>
    <w:rsid w:val="002049F7"/>
    <w:rsid w:val="0021312E"/>
    <w:rsid w:val="0021383F"/>
    <w:rsid w:val="00213D8F"/>
    <w:rsid w:val="00214BEE"/>
    <w:rsid w:val="0021585B"/>
    <w:rsid w:val="0021600A"/>
    <w:rsid w:val="0021726C"/>
    <w:rsid w:val="00217770"/>
    <w:rsid w:val="00220C2A"/>
    <w:rsid w:val="00221D21"/>
    <w:rsid w:val="00221E65"/>
    <w:rsid w:val="002240B1"/>
    <w:rsid w:val="0022415F"/>
    <w:rsid w:val="00224835"/>
    <w:rsid w:val="00224F3D"/>
    <w:rsid w:val="00225C23"/>
    <w:rsid w:val="00233D9B"/>
    <w:rsid w:val="00234166"/>
    <w:rsid w:val="0023455D"/>
    <w:rsid w:val="00236FA6"/>
    <w:rsid w:val="00240094"/>
    <w:rsid w:val="00241B6B"/>
    <w:rsid w:val="002431E6"/>
    <w:rsid w:val="0024416D"/>
    <w:rsid w:val="00244B90"/>
    <w:rsid w:val="00245FFD"/>
    <w:rsid w:val="0024754C"/>
    <w:rsid w:val="0025052F"/>
    <w:rsid w:val="0025133B"/>
    <w:rsid w:val="002519F2"/>
    <w:rsid w:val="00251E52"/>
    <w:rsid w:val="00252024"/>
    <w:rsid w:val="00252295"/>
    <w:rsid w:val="00252B65"/>
    <w:rsid w:val="002604EC"/>
    <w:rsid w:val="0026390E"/>
    <w:rsid w:val="00266811"/>
    <w:rsid w:val="00266E55"/>
    <w:rsid w:val="002670EA"/>
    <w:rsid w:val="00270D49"/>
    <w:rsid w:val="00271116"/>
    <w:rsid w:val="002742F8"/>
    <w:rsid w:val="002748BD"/>
    <w:rsid w:val="00274A4D"/>
    <w:rsid w:val="00274E33"/>
    <w:rsid w:val="0028335B"/>
    <w:rsid w:val="00286355"/>
    <w:rsid w:val="00286B1A"/>
    <w:rsid w:val="00287D92"/>
    <w:rsid w:val="00290958"/>
    <w:rsid w:val="00291FC4"/>
    <w:rsid w:val="002926AE"/>
    <w:rsid w:val="00293A42"/>
    <w:rsid w:val="00293F3B"/>
    <w:rsid w:val="00294D1F"/>
    <w:rsid w:val="002A1A3B"/>
    <w:rsid w:val="002A25F0"/>
    <w:rsid w:val="002A38DC"/>
    <w:rsid w:val="002A3F94"/>
    <w:rsid w:val="002A4CC2"/>
    <w:rsid w:val="002B0E96"/>
    <w:rsid w:val="002B21CC"/>
    <w:rsid w:val="002B3658"/>
    <w:rsid w:val="002B37C5"/>
    <w:rsid w:val="002B7E88"/>
    <w:rsid w:val="002C2ACC"/>
    <w:rsid w:val="002D028A"/>
    <w:rsid w:val="002D1C9A"/>
    <w:rsid w:val="002D24BE"/>
    <w:rsid w:val="002D2D64"/>
    <w:rsid w:val="002D3180"/>
    <w:rsid w:val="002D4EA7"/>
    <w:rsid w:val="002D6124"/>
    <w:rsid w:val="002D6167"/>
    <w:rsid w:val="002D70B8"/>
    <w:rsid w:val="002D7791"/>
    <w:rsid w:val="002D7AEB"/>
    <w:rsid w:val="002D7FE5"/>
    <w:rsid w:val="002E0377"/>
    <w:rsid w:val="002F0AEA"/>
    <w:rsid w:val="002F0CEB"/>
    <w:rsid w:val="002F1022"/>
    <w:rsid w:val="002F2712"/>
    <w:rsid w:val="002F73C2"/>
    <w:rsid w:val="002F7854"/>
    <w:rsid w:val="002F7AA1"/>
    <w:rsid w:val="0030209D"/>
    <w:rsid w:val="00304A27"/>
    <w:rsid w:val="0030703E"/>
    <w:rsid w:val="00307477"/>
    <w:rsid w:val="003115CC"/>
    <w:rsid w:val="00313750"/>
    <w:rsid w:val="00316EA0"/>
    <w:rsid w:val="00321A3C"/>
    <w:rsid w:val="0033160F"/>
    <w:rsid w:val="00331DB0"/>
    <w:rsid w:val="003337F4"/>
    <w:rsid w:val="00334CE7"/>
    <w:rsid w:val="00335EEB"/>
    <w:rsid w:val="00337D32"/>
    <w:rsid w:val="003406D1"/>
    <w:rsid w:val="00340B77"/>
    <w:rsid w:val="00345481"/>
    <w:rsid w:val="0034673B"/>
    <w:rsid w:val="00347D16"/>
    <w:rsid w:val="00351751"/>
    <w:rsid w:val="00351CBC"/>
    <w:rsid w:val="00352172"/>
    <w:rsid w:val="00355342"/>
    <w:rsid w:val="00355D30"/>
    <w:rsid w:val="00356692"/>
    <w:rsid w:val="00356F2E"/>
    <w:rsid w:val="003575C9"/>
    <w:rsid w:val="0036025D"/>
    <w:rsid w:val="00361339"/>
    <w:rsid w:val="003617B4"/>
    <w:rsid w:val="003631E0"/>
    <w:rsid w:val="003641E1"/>
    <w:rsid w:val="003655C7"/>
    <w:rsid w:val="003666F6"/>
    <w:rsid w:val="00367F5C"/>
    <w:rsid w:val="00367FEB"/>
    <w:rsid w:val="003708FA"/>
    <w:rsid w:val="00370C21"/>
    <w:rsid w:val="0037119D"/>
    <w:rsid w:val="00371460"/>
    <w:rsid w:val="00371E38"/>
    <w:rsid w:val="00374AD8"/>
    <w:rsid w:val="00374C99"/>
    <w:rsid w:val="00374EC2"/>
    <w:rsid w:val="00375717"/>
    <w:rsid w:val="003778FC"/>
    <w:rsid w:val="00377F83"/>
    <w:rsid w:val="00385C9F"/>
    <w:rsid w:val="00385D9C"/>
    <w:rsid w:val="00386A78"/>
    <w:rsid w:val="00387B4F"/>
    <w:rsid w:val="00387FDC"/>
    <w:rsid w:val="003900E4"/>
    <w:rsid w:val="003908AD"/>
    <w:rsid w:val="003944BB"/>
    <w:rsid w:val="003945B5"/>
    <w:rsid w:val="00394D62"/>
    <w:rsid w:val="00395D0B"/>
    <w:rsid w:val="00397362"/>
    <w:rsid w:val="003A003A"/>
    <w:rsid w:val="003A1185"/>
    <w:rsid w:val="003A3E3C"/>
    <w:rsid w:val="003A4972"/>
    <w:rsid w:val="003B4A14"/>
    <w:rsid w:val="003B5570"/>
    <w:rsid w:val="003C31AB"/>
    <w:rsid w:val="003C35CD"/>
    <w:rsid w:val="003C43EA"/>
    <w:rsid w:val="003C4F65"/>
    <w:rsid w:val="003C53D2"/>
    <w:rsid w:val="003C7866"/>
    <w:rsid w:val="003D0971"/>
    <w:rsid w:val="003D3C90"/>
    <w:rsid w:val="003D5CBF"/>
    <w:rsid w:val="003E02C3"/>
    <w:rsid w:val="003E18C9"/>
    <w:rsid w:val="003F567D"/>
    <w:rsid w:val="003F7782"/>
    <w:rsid w:val="00400588"/>
    <w:rsid w:val="00405752"/>
    <w:rsid w:val="00406AC9"/>
    <w:rsid w:val="0041073B"/>
    <w:rsid w:val="0041167C"/>
    <w:rsid w:val="004138A8"/>
    <w:rsid w:val="0041426C"/>
    <w:rsid w:val="00416FDF"/>
    <w:rsid w:val="00417B37"/>
    <w:rsid w:val="00420242"/>
    <w:rsid w:val="0042054B"/>
    <w:rsid w:val="00420D95"/>
    <w:rsid w:val="004253B8"/>
    <w:rsid w:val="00425ED7"/>
    <w:rsid w:val="00426740"/>
    <w:rsid w:val="00427C2F"/>
    <w:rsid w:val="0043128C"/>
    <w:rsid w:val="00434D44"/>
    <w:rsid w:val="0044228B"/>
    <w:rsid w:val="00442688"/>
    <w:rsid w:val="00442AED"/>
    <w:rsid w:val="00442D5D"/>
    <w:rsid w:val="00444B82"/>
    <w:rsid w:val="004459F0"/>
    <w:rsid w:val="00454633"/>
    <w:rsid w:val="00454737"/>
    <w:rsid w:val="00455BF8"/>
    <w:rsid w:val="00456DB3"/>
    <w:rsid w:val="00456EAD"/>
    <w:rsid w:val="004577EA"/>
    <w:rsid w:val="004604FE"/>
    <w:rsid w:val="004611A8"/>
    <w:rsid w:val="00461737"/>
    <w:rsid w:val="00467117"/>
    <w:rsid w:val="00467D70"/>
    <w:rsid w:val="00467DC5"/>
    <w:rsid w:val="004702DB"/>
    <w:rsid w:val="00473D33"/>
    <w:rsid w:val="004769DB"/>
    <w:rsid w:val="00481EB5"/>
    <w:rsid w:val="00482B89"/>
    <w:rsid w:val="004833E7"/>
    <w:rsid w:val="00483401"/>
    <w:rsid w:val="0048751F"/>
    <w:rsid w:val="00491B17"/>
    <w:rsid w:val="004931F8"/>
    <w:rsid w:val="00494023"/>
    <w:rsid w:val="004967F7"/>
    <w:rsid w:val="00497241"/>
    <w:rsid w:val="004A1F81"/>
    <w:rsid w:val="004A20B6"/>
    <w:rsid w:val="004A2789"/>
    <w:rsid w:val="004A2DF3"/>
    <w:rsid w:val="004A2FCA"/>
    <w:rsid w:val="004A3875"/>
    <w:rsid w:val="004A7AF4"/>
    <w:rsid w:val="004B048E"/>
    <w:rsid w:val="004B143B"/>
    <w:rsid w:val="004B174D"/>
    <w:rsid w:val="004B5933"/>
    <w:rsid w:val="004C500C"/>
    <w:rsid w:val="004C5FFC"/>
    <w:rsid w:val="004C74F7"/>
    <w:rsid w:val="004D1253"/>
    <w:rsid w:val="004D158E"/>
    <w:rsid w:val="004D281F"/>
    <w:rsid w:val="004D2861"/>
    <w:rsid w:val="004D5666"/>
    <w:rsid w:val="004D6BB1"/>
    <w:rsid w:val="004D7A03"/>
    <w:rsid w:val="004D7DBF"/>
    <w:rsid w:val="004E0454"/>
    <w:rsid w:val="004E06ED"/>
    <w:rsid w:val="004E1457"/>
    <w:rsid w:val="004E4A43"/>
    <w:rsid w:val="004E4BBF"/>
    <w:rsid w:val="004F2CDD"/>
    <w:rsid w:val="004F4D87"/>
    <w:rsid w:val="004F55CD"/>
    <w:rsid w:val="004F58A0"/>
    <w:rsid w:val="004F5F12"/>
    <w:rsid w:val="004F6692"/>
    <w:rsid w:val="004F77B0"/>
    <w:rsid w:val="00501EEF"/>
    <w:rsid w:val="00502A31"/>
    <w:rsid w:val="00505021"/>
    <w:rsid w:val="00506790"/>
    <w:rsid w:val="00510EFF"/>
    <w:rsid w:val="00511B53"/>
    <w:rsid w:val="00511DFF"/>
    <w:rsid w:val="005146EE"/>
    <w:rsid w:val="005160E3"/>
    <w:rsid w:val="005161E3"/>
    <w:rsid w:val="00516B40"/>
    <w:rsid w:val="005203F0"/>
    <w:rsid w:val="00521E09"/>
    <w:rsid w:val="00525EB0"/>
    <w:rsid w:val="00535551"/>
    <w:rsid w:val="0053664B"/>
    <w:rsid w:val="00540718"/>
    <w:rsid w:val="00540B71"/>
    <w:rsid w:val="00540D4D"/>
    <w:rsid w:val="00541F46"/>
    <w:rsid w:val="0054292B"/>
    <w:rsid w:val="005440BF"/>
    <w:rsid w:val="0054661A"/>
    <w:rsid w:val="00552194"/>
    <w:rsid w:val="00552574"/>
    <w:rsid w:val="00554DCA"/>
    <w:rsid w:val="00555B27"/>
    <w:rsid w:val="00556C59"/>
    <w:rsid w:val="00557E0E"/>
    <w:rsid w:val="005604D0"/>
    <w:rsid w:val="005614CC"/>
    <w:rsid w:val="005615F3"/>
    <w:rsid w:val="0056225D"/>
    <w:rsid w:val="00562E92"/>
    <w:rsid w:val="00563222"/>
    <w:rsid w:val="005639FA"/>
    <w:rsid w:val="0056420B"/>
    <w:rsid w:val="00564ABA"/>
    <w:rsid w:val="005653F5"/>
    <w:rsid w:val="00571BB6"/>
    <w:rsid w:val="00572A14"/>
    <w:rsid w:val="0057572A"/>
    <w:rsid w:val="00576A02"/>
    <w:rsid w:val="0058236D"/>
    <w:rsid w:val="00582BA2"/>
    <w:rsid w:val="00583D19"/>
    <w:rsid w:val="0058789A"/>
    <w:rsid w:val="00593F60"/>
    <w:rsid w:val="00594E72"/>
    <w:rsid w:val="00594E89"/>
    <w:rsid w:val="00595732"/>
    <w:rsid w:val="005957A8"/>
    <w:rsid w:val="005A0020"/>
    <w:rsid w:val="005A0592"/>
    <w:rsid w:val="005A09E0"/>
    <w:rsid w:val="005A1BC7"/>
    <w:rsid w:val="005A7383"/>
    <w:rsid w:val="005B155E"/>
    <w:rsid w:val="005B1651"/>
    <w:rsid w:val="005B1D05"/>
    <w:rsid w:val="005B544A"/>
    <w:rsid w:val="005B570B"/>
    <w:rsid w:val="005B5ECD"/>
    <w:rsid w:val="005C5D3B"/>
    <w:rsid w:val="005C773C"/>
    <w:rsid w:val="005D2118"/>
    <w:rsid w:val="005D476C"/>
    <w:rsid w:val="005D5AEF"/>
    <w:rsid w:val="005E031D"/>
    <w:rsid w:val="005E2226"/>
    <w:rsid w:val="005F007E"/>
    <w:rsid w:val="005F054E"/>
    <w:rsid w:val="005F22D5"/>
    <w:rsid w:val="005F2659"/>
    <w:rsid w:val="005F3198"/>
    <w:rsid w:val="005F5238"/>
    <w:rsid w:val="005F5B86"/>
    <w:rsid w:val="00603A8C"/>
    <w:rsid w:val="006068CC"/>
    <w:rsid w:val="00607135"/>
    <w:rsid w:val="00610D76"/>
    <w:rsid w:val="0061425B"/>
    <w:rsid w:val="00615CCA"/>
    <w:rsid w:val="00616504"/>
    <w:rsid w:val="00616551"/>
    <w:rsid w:val="00617C3C"/>
    <w:rsid w:val="00623384"/>
    <w:rsid w:val="006236AD"/>
    <w:rsid w:val="0063195F"/>
    <w:rsid w:val="00632944"/>
    <w:rsid w:val="006355A9"/>
    <w:rsid w:val="00637A4F"/>
    <w:rsid w:val="00641CD5"/>
    <w:rsid w:val="00642BB6"/>
    <w:rsid w:val="00644031"/>
    <w:rsid w:val="00644FBC"/>
    <w:rsid w:val="00647134"/>
    <w:rsid w:val="00652DB9"/>
    <w:rsid w:val="0065703E"/>
    <w:rsid w:val="006575E7"/>
    <w:rsid w:val="00657673"/>
    <w:rsid w:val="00661E32"/>
    <w:rsid w:val="00662CCA"/>
    <w:rsid w:val="00662EC6"/>
    <w:rsid w:val="00662F26"/>
    <w:rsid w:val="00665B56"/>
    <w:rsid w:val="006720DF"/>
    <w:rsid w:val="00672743"/>
    <w:rsid w:val="00677FA5"/>
    <w:rsid w:val="00681E9C"/>
    <w:rsid w:val="00682B2E"/>
    <w:rsid w:val="00683341"/>
    <w:rsid w:val="006853C1"/>
    <w:rsid w:val="0068695A"/>
    <w:rsid w:val="00686C54"/>
    <w:rsid w:val="00687D34"/>
    <w:rsid w:val="00691B56"/>
    <w:rsid w:val="00691CC7"/>
    <w:rsid w:val="00691D88"/>
    <w:rsid w:val="00693C36"/>
    <w:rsid w:val="0069508B"/>
    <w:rsid w:val="00695904"/>
    <w:rsid w:val="006966EC"/>
    <w:rsid w:val="0069730F"/>
    <w:rsid w:val="00697930"/>
    <w:rsid w:val="006A0A1B"/>
    <w:rsid w:val="006A1B40"/>
    <w:rsid w:val="006A29F4"/>
    <w:rsid w:val="006A33FD"/>
    <w:rsid w:val="006A4D49"/>
    <w:rsid w:val="006A5098"/>
    <w:rsid w:val="006A623D"/>
    <w:rsid w:val="006B1149"/>
    <w:rsid w:val="006B1F4E"/>
    <w:rsid w:val="006B25F8"/>
    <w:rsid w:val="006B35D8"/>
    <w:rsid w:val="006B5EC7"/>
    <w:rsid w:val="006B6C41"/>
    <w:rsid w:val="006C0F17"/>
    <w:rsid w:val="006C3341"/>
    <w:rsid w:val="006C3359"/>
    <w:rsid w:val="006C4A23"/>
    <w:rsid w:val="006C5697"/>
    <w:rsid w:val="006C6FF2"/>
    <w:rsid w:val="006C79FA"/>
    <w:rsid w:val="006C7ECE"/>
    <w:rsid w:val="006D10E1"/>
    <w:rsid w:val="006D3BB4"/>
    <w:rsid w:val="006D4EAB"/>
    <w:rsid w:val="006F04BC"/>
    <w:rsid w:val="006F520F"/>
    <w:rsid w:val="00700A16"/>
    <w:rsid w:val="00701E0C"/>
    <w:rsid w:val="0070236E"/>
    <w:rsid w:val="00702E1F"/>
    <w:rsid w:val="00705D96"/>
    <w:rsid w:val="00706BD6"/>
    <w:rsid w:val="00710B15"/>
    <w:rsid w:val="00710DBC"/>
    <w:rsid w:val="00710F2F"/>
    <w:rsid w:val="00711981"/>
    <w:rsid w:val="00712513"/>
    <w:rsid w:val="00714FCB"/>
    <w:rsid w:val="00716714"/>
    <w:rsid w:val="00717855"/>
    <w:rsid w:val="007208BC"/>
    <w:rsid w:val="007223AD"/>
    <w:rsid w:val="0072313B"/>
    <w:rsid w:val="0073016A"/>
    <w:rsid w:val="007319CE"/>
    <w:rsid w:val="0073502E"/>
    <w:rsid w:val="00735453"/>
    <w:rsid w:val="0074153A"/>
    <w:rsid w:val="00741A58"/>
    <w:rsid w:val="007438FA"/>
    <w:rsid w:val="007444F9"/>
    <w:rsid w:val="00744B99"/>
    <w:rsid w:val="00745662"/>
    <w:rsid w:val="00746BB0"/>
    <w:rsid w:val="007500F5"/>
    <w:rsid w:val="007503B4"/>
    <w:rsid w:val="00751B12"/>
    <w:rsid w:val="007525B4"/>
    <w:rsid w:val="0075361E"/>
    <w:rsid w:val="00755B39"/>
    <w:rsid w:val="00756505"/>
    <w:rsid w:val="007602DD"/>
    <w:rsid w:val="00760CD7"/>
    <w:rsid w:val="0076474B"/>
    <w:rsid w:val="0076688E"/>
    <w:rsid w:val="007720CC"/>
    <w:rsid w:val="0077226B"/>
    <w:rsid w:val="00773DB6"/>
    <w:rsid w:val="0077514A"/>
    <w:rsid w:val="00781279"/>
    <w:rsid w:val="00783AFE"/>
    <w:rsid w:val="007904FF"/>
    <w:rsid w:val="007925EB"/>
    <w:rsid w:val="00796798"/>
    <w:rsid w:val="00796E15"/>
    <w:rsid w:val="00797B28"/>
    <w:rsid w:val="007A038A"/>
    <w:rsid w:val="007A0727"/>
    <w:rsid w:val="007A1E1B"/>
    <w:rsid w:val="007A23C5"/>
    <w:rsid w:val="007A341A"/>
    <w:rsid w:val="007A3D48"/>
    <w:rsid w:val="007A5961"/>
    <w:rsid w:val="007A62AF"/>
    <w:rsid w:val="007A6303"/>
    <w:rsid w:val="007A73B9"/>
    <w:rsid w:val="007B0811"/>
    <w:rsid w:val="007B12CC"/>
    <w:rsid w:val="007B31EB"/>
    <w:rsid w:val="007B425E"/>
    <w:rsid w:val="007B62E1"/>
    <w:rsid w:val="007C1D53"/>
    <w:rsid w:val="007C22F2"/>
    <w:rsid w:val="007C3D31"/>
    <w:rsid w:val="007C4FA1"/>
    <w:rsid w:val="007D2F2B"/>
    <w:rsid w:val="007D372D"/>
    <w:rsid w:val="007D48A4"/>
    <w:rsid w:val="007D719A"/>
    <w:rsid w:val="007E11AF"/>
    <w:rsid w:val="007E1A50"/>
    <w:rsid w:val="007E36AC"/>
    <w:rsid w:val="007E4B97"/>
    <w:rsid w:val="007E5353"/>
    <w:rsid w:val="007E55B7"/>
    <w:rsid w:val="007E6392"/>
    <w:rsid w:val="007F42D9"/>
    <w:rsid w:val="007F5799"/>
    <w:rsid w:val="007F5BF8"/>
    <w:rsid w:val="007F7B66"/>
    <w:rsid w:val="00801DE2"/>
    <w:rsid w:val="00802AAD"/>
    <w:rsid w:val="008038C9"/>
    <w:rsid w:val="0080646E"/>
    <w:rsid w:val="00806C2A"/>
    <w:rsid w:val="008077DA"/>
    <w:rsid w:val="008141B6"/>
    <w:rsid w:val="008153A1"/>
    <w:rsid w:val="00825BFE"/>
    <w:rsid w:val="00825C8F"/>
    <w:rsid w:val="00826B5E"/>
    <w:rsid w:val="00831380"/>
    <w:rsid w:val="00831843"/>
    <w:rsid w:val="00832D6F"/>
    <w:rsid w:val="008330BB"/>
    <w:rsid w:val="00833CAD"/>
    <w:rsid w:val="008406FC"/>
    <w:rsid w:val="00840AA3"/>
    <w:rsid w:val="008410E6"/>
    <w:rsid w:val="00841318"/>
    <w:rsid w:val="00841E77"/>
    <w:rsid w:val="008421E5"/>
    <w:rsid w:val="00845E45"/>
    <w:rsid w:val="008512E3"/>
    <w:rsid w:val="00851C1E"/>
    <w:rsid w:val="00853166"/>
    <w:rsid w:val="008545A3"/>
    <w:rsid w:val="00856CD9"/>
    <w:rsid w:val="00862F0E"/>
    <w:rsid w:val="00863E6B"/>
    <w:rsid w:val="008655F8"/>
    <w:rsid w:val="00867DAD"/>
    <w:rsid w:val="00867EAE"/>
    <w:rsid w:val="0087098D"/>
    <w:rsid w:val="00870A99"/>
    <w:rsid w:val="00871458"/>
    <w:rsid w:val="00872AC3"/>
    <w:rsid w:val="00872CB6"/>
    <w:rsid w:val="00874F21"/>
    <w:rsid w:val="00882D02"/>
    <w:rsid w:val="00883213"/>
    <w:rsid w:val="0088340D"/>
    <w:rsid w:val="00884A1B"/>
    <w:rsid w:val="0088609C"/>
    <w:rsid w:val="008869F6"/>
    <w:rsid w:val="008923A4"/>
    <w:rsid w:val="008927E0"/>
    <w:rsid w:val="00893556"/>
    <w:rsid w:val="00893B88"/>
    <w:rsid w:val="008953C4"/>
    <w:rsid w:val="008A02F3"/>
    <w:rsid w:val="008A4193"/>
    <w:rsid w:val="008A4440"/>
    <w:rsid w:val="008A58B3"/>
    <w:rsid w:val="008B024E"/>
    <w:rsid w:val="008B14E4"/>
    <w:rsid w:val="008B1A9B"/>
    <w:rsid w:val="008B2C45"/>
    <w:rsid w:val="008B4190"/>
    <w:rsid w:val="008C0361"/>
    <w:rsid w:val="008C2670"/>
    <w:rsid w:val="008C6831"/>
    <w:rsid w:val="008C736D"/>
    <w:rsid w:val="008D30DD"/>
    <w:rsid w:val="008D35B6"/>
    <w:rsid w:val="008D5D5A"/>
    <w:rsid w:val="008D63C9"/>
    <w:rsid w:val="008D77B0"/>
    <w:rsid w:val="008E06A1"/>
    <w:rsid w:val="008E1673"/>
    <w:rsid w:val="008E6D68"/>
    <w:rsid w:val="008F4555"/>
    <w:rsid w:val="008F6C62"/>
    <w:rsid w:val="00900431"/>
    <w:rsid w:val="00902193"/>
    <w:rsid w:val="0090328C"/>
    <w:rsid w:val="00910123"/>
    <w:rsid w:val="00912961"/>
    <w:rsid w:val="00913386"/>
    <w:rsid w:val="00913F71"/>
    <w:rsid w:val="00914563"/>
    <w:rsid w:val="00916D35"/>
    <w:rsid w:val="00921822"/>
    <w:rsid w:val="00921960"/>
    <w:rsid w:val="0092196F"/>
    <w:rsid w:val="00923F6C"/>
    <w:rsid w:val="00925D28"/>
    <w:rsid w:val="00927B48"/>
    <w:rsid w:val="00931166"/>
    <w:rsid w:val="0093340A"/>
    <w:rsid w:val="00933955"/>
    <w:rsid w:val="00935A11"/>
    <w:rsid w:val="00936518"/>
    <w:rsid w:val="00937032"/>
    <w:rsid w:val="00937C98"/>
    <w:rsid w:val="0094258F"/>
    <w:rsid w:val="0094661D"/>
    <w:rsid w:val="009469B5"/>
    <w:rsid w:val="0095122D"/>
    <w:rsid w:val="00952194"/>
    <w:rsid w:val="00955087"/>
    <w:rsid w:val="0095730F"/>
    <w:rsid w:val="0096060D"/>
    <w:rsid w:val="00961C95"/>
    <w:rsid w:val="00962A5F"/>
    <w:rsid w:val="00963B0B"/>
    <w:rsid w:val="0096467C"/>
    <w:rsid w:val="00965969"/>
    <w:rsid w:val="00965DB7"/>
    <w:rsid w:val="009667C2"/>
    <w:rsid w:val="00967F39"/>
    <w:rsid w:val="00970038"/>
    <w:rsid w:val="00971D84"/>
    <w:rsid w:val="0097237D"/>
    <w:rsid w:val="009740A2"/>
    <w:rsid w:val="00976F17"/>
    <w:rsid w:val="00981972"/>
    <w:rsid w:val="0098245F"/>
    <w:rsid w:val="009855CA"/>
    <w:rsid w:val="00990F07"/>
    <w:rsid w:val="009932D0"/>
    <w:rsid w:val="00996DA3"/>
    <w:rsid w:val="009A0FBD"/>
    <w:rsid w:val="009A5F8F"/>
    <w:rsid w:val="009B0A61"/>
    <w:rsid w:val="009B109A"/>
    <w:rsid w:val="009B4531"/>
    <w:rsid w:val="009B5F75"/>
    <w:rsid w:val="009B6519"/>
    <w:rsid w:val="009B6C65"/>
    <w:rsid w:val="009B7836"/>
    <w:rsid w:val="009C164A"/>
    <w:rsid w:val="009C2491"/>
    <w:rsid w:val="009D0A18"/>
    <w:rsid w:val="009D17E4"/>
    <w:rsid w:val="009D5A93"/>
    <w:rsid w:val="009D5BA5"/>
    <w:rsid w:val="009D64E2"/>
    <w:rsid w:val="009D6BF5"/>
    <w:rsid w:val="009E0276"/>
    <w:rsid w:val="009E25B6"/>
    <w:rsid w:val="009E2A29"/>
    <w:rsid w:val="009E5F33"/>
    <w:rsid w:val="009E6791"/>
    <w:rsid w:val="009E7510"/>
    <w:rsid w:val="009F02C1"/>
    <w:rsid w:val="009F0BD2"/>
    <w:rsid w:val="009F1452"/>
    <w:rsid w:val="009F1BF8"/>
    <w:rsid w:val="009F1C9C"/>
    <w:rsid w:val="009F250C"/>
    <w:rsid w:val="009F275E"/>
    <w:rsid w:val="009F434C"/>
    <w:rsid w:val="009F7D34"/>
    <w:rsid w:val="00A00E7B"/>
    <w:rsid w:val="00A02520"/>
    <w:rsid w:val="00A02BAA"/>
    <w:rsid w:val="00A107BD"/>
    <w:rsid w:val="00A10D56"/>
    <w:rsid w:val="00A11441"/>
    <w:rsid w:val="00A1218E"/>
    <w:rsid w:val="00A12C39"/>
    <w:rsid w:val="00A13A13"/>
    <w:rsid w:val="00A15326"/>
    <w:rsid w:val="00A16CEC"/>
    <w:rsid w:val="00A21D62"/>
    <w:rsid w:val="00A26C91"/>
    <w:rsid w:val="00A26E9C"/>
    <w:rsid w:val="00A318E2"/>
    <w:rsid w:val="00A33F58"/>
    <w:rsid w:val="00A36055"/>
    <w:rsid w:val="00A37D49"/>
    <w:rsid w:val="00A40BC8"/>
    <w:rsid w:val="00A4369D"/>
    <w:rsid w:val="00A43B19"/>
    <w:rsid w:val="00A4472E"/>
    <w:rsid w:val="00A46D31"/>
    <w:rsid w:val="00A47EA4"/>
    <w:rsid w:val="00A5036F"/>
    <w:rsid w:val="00A503E5"/>
    <w:rsid w:val="00A509FD"/>
    <w:rsid w:val="00A5264C"/>
    <w:rsid w:val="00A53FF0"/>
    <w:rsid w:val="00A54456"/>
    <w:rsid w:val="00A5471E"/>
    <w:rsid w:val="00A551D7"/>
    <w:rsid w:val="00A55B27"/>
    <w:rsid w:val="00A55BDA"/>
    <w:rsid w:val="00A60C43"/>
    <w:rsid w:val="00A64596"/>
    <w:rsid w:val="00A67BE2"/>
    <w:rsid w:val="00A74820"/>
    <w:rsid w:val="00A76E41"/>
    <w:rsid w:val="00A776BC"/>
    <w:rsid w:val="00A8105F"/>
    <w:rsid w:val="00A81465"/>
    <w:rsid w:val="00A833A7"/>
    <w:rsid w:val="00A86AB0"/>
    <w:rsid w:val="00A87262"/>
    <w:rsid w:val="00A90F79"/>
    <w:rsid w:val="00A9323F"/>
    <w:rsid w:val="00A93929"/>
    <w:rsid w:val="00A9509B"/>
    <w:rsid w:val="00A963E4"/>
    <w:rsid w:val="00A97C90"/>
    <w:rsid w:val="00AA15A6"/>
    <w:rsid w:val="00AA182F"/>
    <w:rsid w:val="00AA3F58"/>
    <w:rsid w:val="00AA4870"/>
    <w:rsid w:val="00AA6B5D"/>
    <w:rsid w:val="00AB1D83"/>
    <w:rsid w:val="00AB5668"/>
    <w:rsid w:val="00AB587E"/>
    <w:rsid w:val="00AB6697"/>
    <w:rsid w:val="00AC0CA3"/>
    <w:rsid w:val="00AC24D8"/>
    <w:rsid w:val="00AC2F0E"/>
    <w:rsid w:val="00AC6329"/>
    <w:rsid w:val="00AC6B22"/>
    <w:rsid w:val="00AD13AD"/>
    <w:rsid w:val="00AE08D3"/>
    <w:rsid w:val="00AE225B"/>
    <w:rsid w:val="00AE46A4"/>
    <w:rsid w:val="00AE535D"/>
    <w:rsid w:val="00AE69CE"/>
    <w:rsid w:val="00AF08E9"/>
    <w:rsid w:val="00AF0B26"/>
    <w:rsid w:val="00AF0EBF"/>
    <w:rsid w:val="00AF2165"/>
    <w:rsid w:val="00AF6826"/>
    <w:rsid w:val="00B00877"/>
    <w:rsid w:val="00B02697"/>
    <w:rsid w:val="00B0719C"/>
    <w:rsid w:val="00B14CC8"/>
    <w:rsid w:val="00B17240"/>
    <w:rsid w:val="00B2115F"/>
    <w:rsid w:val="00B234C1"/>
    <w:rsid w:val="00B248CE"/>
    <w:rsid w:val="00B24E37"/>
    <w:rsid w:val="00B25020"/>
    <w:rsid w:val="00B256C8"/>
    <w:rsid w:val="00B256F6"/>
    <w:rsid w:val="00B272EE"/>
    <w:rsid w:val="00B302A1"/>
    <w:rsid w:val="00B304FC"/>
    <w:rsid w:val="00B31FCC"/>
    <w:rsid w:val="00B343CA"/>
    <w:rsid w:val="00B3557A"/>
    <w:rsid w:val="00B36DF0"/>
    <w:rsid w:val="00B3740D"/>
    <w:rsid w:val="00B3776F"/>
    <w:rsid w:val="00B418AB"/>
    <w:rsid w:val="00B41ACE"/>
    <w:rsid w:val="00B4291F"/>
    <w:rsid w:val="00B42B7C"/>
    <w:rsid w:val="00B42F55"/>
    <w:rsid w:val="00B46CA3"/>
    <w:rsid w:val="00B5591E"/>
    <w:rsid w:val="00B565C7"/>
    <w:rsid w:val="00B56F47"/>
    <w:rsid w:val="00B608C5"/>
    <w:rsid w:val="00B61CEF"/>
    <w:rsid w:val="00B657D7"/>
    <w:rsid w:val="00B659E9"/>
    <w:rsid w:val="00B677D1"/>
    <w:rsid w:val="00B7130A"/>
    <w:rsid w:val="00B71CA8"/>
    <w:rsid w:val="00B753C1"/>
    <w:rsid w:val="00B8159A"/>
    <w:rsid w:val="00B82CCF"/>
    <w:rsid w:val="00B83052"/>
    <w:rsid w:val="00B8677C"/>
    <w:rsid w:val="00B90FC3"/>
    <w:rsid w:val="00B92387"/>
    <w:rsid w:val="00B9395A"/>
    <w:rsid w:val="00B93A38"/>
    <w:rsid w:val="00B95280"/>
    <w:rsid w:val="00B9638C"/>
    <w:rsid w:val="00BA5133"/>
    <w:rsid w:val="00BA5885"/>
    <w:rsid w:val="00BA59F6"/>
    <w:rsid w:val="00BA6774"/>
    <w:rsid w:val="00BB0763"/>
    <w:rsid w:val="00BB0E01"/>
    <w:rsid w:val="00BB1CB2"/>
    <w:rsid w:val="00BB21F1"/>
    <w:rsid w:val="00BB4264"/>
    <w:rsid w:val="00BB4B2D"/>
    <w:rsid w:val="00BB6099"/>
    <w:rsid w:val="00BB6BDE"/>
    <w:rsid w:val="00BB702A"/>
    <w:rsid w:val="00BC0FBE"/>
    <w:rsid w:val="00BC1D98"/>
    <w:rsid w:val="00BC3F50"/>
    <w:rsid w:val="00BD324F"/>
    <w:rsid w:val="00BD3603"/>
    <w:rsid w:val="00BD702A"/>
    <w:rsid w:val="00BE0161"/>
    <w:rsid w:val="00BE1766"/>
    <w:rsid w:val="00BE3275"/>
    <w:rsid w:val="00BE36C6"/>
    <w:rsid w:val="00BE5F84"/>
    <w:rsid w:val="00BF0DFB"/>
    <w:rsid w:val="00BF14CF"/>
    <w:rsid w:val="00BF48F2"/>
    <w:rsid w:val="00BF648F"/>
    <w:rsid w:val="00C00A12"/>
    <w:rsid w:val="00C01354"/>
    <w:rsid w:val="00C02E08"/>
    <w:rsid w:val="00C04FEC"/>
    <w:rsid w:val="00C05052"/>
    <w:rsid w:val="00C0544C"/>
    <w:rsid w:val="00C064AA"/>
    <w:rsid w:val="00C10643"/>
    <w:rsid w:val="00C15609"/>
    <w:rsid w:val="00C16EAB"/>
    <w:rsid w:val="00C23757"/>
    <w:rsid w:val="00C2432E"/>
    <w:rsid w:val="00C25332"/>
    <w:rsid w:val="00C25933"/>
    <w:rsid w:val="00C27C2B"/>
    <w:rsid w:val="00C3318C"/>
    <w:rsid w:val="00C34F6D"/>
    <w:rsid w:val="00C3720A"/>
    <w:rsid w:val="00C41DCA"/>
    <w:rsid w:val="00C45720"/>
    <w:rsid w:val="00C51934"/>
    <w:rsid w:val="00C549B2"/>
    <w:rsid w:val="00C55715"/>
    <w:rsid w:val="00C56FA8"/>
    <w:rsid w:val="00C61C00"/>
    <w:rsid w:val="00C62802"/>
    <w:rsid w:val="00C6346F"/>
    <w:rsid w:val="00C679E4"/>
    <w:rsid w:val="00C73DB2"/>
    <w:rsid w:val="00C75067"/>
    <w:rsid w:val="00C802CF"/>
    <w:rsid w:val="00C830BD"/>
    <w:rsid w:val="00C84E19"/>
    <w:rsid w:val="00C85194"/>
    <w:rsid w:val="00C95F53"/>
    <w:rsid w:val="00C97F3E"/>
    <w:rsid w:val="00CA00FB"/>
    <w:rsid w:val="00CA0715"/>
    <w:rsid w:val="00CA11BC"/>
    <w:rsid w:val="00CA1CD2"/>
    <w:rsid w:val="00CA39D0"/>
    <w:rsid w:val="00CA48E6"/>
    <w:rsid w:val="00CA4E7E"/>
    <w:rsid w:val="00CA67C6"/>
    <w:rsid w:val="00CB08D2"/>
    <w:rsid w:val="00CB14B8"/>
    <w:rsid w:val="00CB262F"/>
    <w:rsid w:val="00CB39DC"/>
    <w:rsid w:val="00CB4939"/>
    <w:rsid w:val="00CB5977"/>
    <w:rsid w:val="00CB5E07"/>
    <w:rsid w:val="00CB5FDB"/>
    <w:rsid w:val="00CC36CA"/>
    <w:rsid w:val="00CC6EF3"/>
    <w:rsid w:val="00CC7A2E"/>
    <w:rsid w:val="00CC7AEB"/>
    <w:rsid w:val="00CD27CB"/>
    <w:rsid w:val="00CD4533"/>
    <w:rsid w:val="00CD478B"/>
    <w:rsid w:val="00CD59F5"/>
    <w:rsid w:val="00CD6BE5"/>
    <w:rsid w:val="00CD77F5"/>
    <w:rsid w:val="00CD7CD7"/>
    <w:rsid w:val="00CD7DD7"/>
    <w:rsid w:val="00CE0245"/>
    <w:rsid w:val="00CE47BF"/>
    <w:rsid w:val="00CE76D0"/>
    <w:rsid w:val="00CF43D3"/>
    <w:rsid w:val="00CF4997"/>
    <w:rsid w:val="00CF7256"/>
    <w:rsid w:val="00CF75BB"/>
    <w:rsid w:val="00D03579"/>
    <w:rsid w:val="00D04FCE"/>
    <w:rsid w:val="00D11D9E"/>
    <w:rsid w:val="00D13247"/>
    <w:rsid w:val="00D1341B"/>
    <w:rsid w:val="00D13E31"/>
    <w:rsid w:val="00D16614"/>
    <w:rsid w:val="00D2127E"/>
    <w:rsid w:val="00D2209A"/>
    <w:rsid w:val="00D228D1"/>
    <w:rsid w:val="00D22DFA"/>
    <w:rsid w:val="00D24B8C"/>
    <w:rsid w:val="00D26AA8"/>
    <w:rsid w:val="00D27019"/>
    <w:rsid w:val="00D315DA"/>
    <w:rsid w:val="00D3317F"/>
    <w:rsid w:val="00D360BE"/>
    <w:rsid w:val="00D40BC5"/>
    <w:rsid w:val="00D40F06"/>
    <w:rsid w:val="00D44057"/>
    <w:rsid w:val="00D44B67"/>
    <w:rsid w:val="00D44E81"/>
    <w:rsid w:val="00D4599E"/>
    <w:rsid w:val="00D47576"/>
    <w:rsid w:val="00D479E8"/>
    <w:rsid w:val="00D542F2"/>
    <w:rsid w:val="00D5493C"/>
    <w:rsid w:val="00D56F9B"/>
    <w:rsid w:val="00D61162"/>
    <w:rsid w:val="00D61BD1"/>
    <w:rsid w:val="00D63177"/>
    <w:rsid w:val="00D631BE"/>
    <w:rsid w:val="00D635C4"/>
    <w:rsid w:val="00D65D0C"/>
    <w:rsid w:val="00D66AE2"/>
    <w:rsid w:val="00D66B0F"/>
    <w:rsid w:val="00D671EA"/>
    <w:rsid w:val="00D72C3B"/>
    <w:rsid w:val="00D74180"/>
    <w:rsid w:val="00D744B4"/>
    <w:rsid w:val="00D7549F"/>
    <w:rsid w:val="00D77416"/>
    <w:rsid w:val="00D774D4"/>
    <w:rsid w:val="00D7757D"/>
    <w:rsid w:val="00D8023F"/>
    <w:rsid w:val="00D80950"/>
    <w:rsid w:val="00D8348B"/>
    <w:rsid w:val="00D868F2"/>
    <w:rsid w:val="00D86FDE"/>
    <w:rsid w:val="00D8757C"/>
    <w:rsid w:val="00D908D3"/>
    <w:rsid w:val="00D90C19"/>
    <w:rsid w:val="00D91C36"/>
    <w:rsid w:val="00D930CF"/>
    <w:rsid w:val="00D94AE6"/>
    <w:rsid w:val="00D94BB9"/>
    <w:rsid w:val="00D95048"/>
    <w:rsid w:val="00DA1AE4"/>
    <w:rsid w:val="00DA283C"/>
    <w:rsid w:val="00DA437B"/>
    <w:rsid w:val="00DA78D7"/>
    <w:rsid w:val="00DB0831"/>
    <w:rsid w:val="00DB1859"/>
    <w:rsid w:val="00DB1D37"/>
    <w:rsid w:val="00DB3A56"/>
    <w:rsid w:val="00DB6884"/>
    <w:rsid w:val="00DB6FE7"/>
    <w:rsid w:val="00DC1D00"/>
    <w:rsid w:val="00DC2A9F"/>
    <w:rsid w:val="00DC552D"/>
    <w:rsid w:val="00DC7B47"/>
    <w:rsid w:val="00DD1A5C"/>
    <w:rsid w:val="00DD1F41"/>
    <w:rsid w:val="00DD34E5"/>
    <w:rsid w:val="00DD3639"/>
    <w:rsid w:val="00DD4360"/>
    <w:rsid w:val="00DD482C"/>
    <w:rsid w:val="00DD6DD7"/>
    <w:rsid w:val="00DD6FD2"/>
    <w:rsid w:val="00DE1373"/>
    <w:rsid w:val="00DE1B6C"/>
    <w:rsid w:val="00DE21B5"/>
    <w:rsid w:val="00DE2EF0"/>
    <w:rsid w:val="00DE5A74"/>
    <w:rsid w:val="00DE6B6B"/>
    <w:rsid w:val="00DF0EBB"/>
    <w:rsid w:val="00DF22C3"/>
    <w:rsid w:val="00DF298C"/>
    <w:rsid w:val="00DF40A0"/>
    <w:rsid w:val="00DF4135"/>
    <w:rsid w:val="00DF5A45"/>
    <w:rsid w:val="00DF6369"/>
    <w:rsid w:val="00DF693A"/>
    <w:rsid w:val="00E0259E"/>
    <w:rsid w:val="00E0287C"/>
    <w:rsid w:val="00E0318A"/>
    <w:rsid w:val="00E04CC3"/>
    <w:rsid w:val="00E1000C"/>
    <w:rsid w:val="00E10BFF"/>
    <w:rsid w:val="00E1186D"/>
    <w:rsid w:val="00E1484A"/>
    <w:rsid w:val="00E152C9"/>
    <w:rsid w:val="00E2020D"/>
    <w:rsid w:val="00E21A06"/>
    <w:rsid w:val="00E2576F"/>
    <w:rsid w:val="00E30197"/>
    <w:rsid w:val="00E30704"/>
    <w:rsid w:val="00E30B21"/>
    <w:rsid w:val="00E344E1"/>
    <w:rsid w:val="00E34784"/>
    <w:rsid w:val="00E42B97"/>
    <w:rsid w:val="00E46AF8"/>
    <w:rsid w:val="00E47761"/>
    <w:rsid w:val="00E5409A"/>
    <w:rsid w:val="00E5458F"/>
    <w:rsid w:val="00E61333"/>
    <w:rsid w:val="00E6159D"/>
    <w:rsid w:val="00E62805"/>
    <w:rsid w:val="00E6668A"/>
    <w:rsid w:val="00E67AB7"/>
    <w:rsid w:val="00E743FC"/>
    <w:rsid w:val="00E760DC"/>
    <w:rsid w:val="00E772BA"/>
    <w:rsid w:val="00E80BCE"/>
    <w:rsid w:val="00E80EFF"/>
    <w:rsid w:val="00E81CF1"/>
    <w:rsid w:val="00E82532"/>
    <w:rsid w:val="00E855FA"/>
    <w:rsid w:val="00E85BD7"/>
    <w:rsid w:val="00E85F4F"/>
    <w:rsid w:val="00E87612"/>
    <w:rsid w:val="00E8779C"/>
    <w:rsid w:val="00E905AE"/>
    <w:rsid w:val="00E92ACD"/>
    <w:rsid w:val="00E974A2"/>
    <w:rsid w:val="00EA0415"/>
    <w:rsid w:val="00EA5AB5"/>
    <w:rsid w:val="00EA5D6A"/>
    <w:rsid w:val="00EA6950"/>
    <w:rsid w:val="00EB57E9"/>
    <w:rsid w:val="00EC05E9"/>
    <w:rsid w:val="00EC2A61"/>
    <w:rsid w:val="00EC2D7F"/>
    <w:rsid w:val="00EC614F"/>
    <w:rsid w:val="00EC6556"/>
    <w:rsid w:val="00ED1FD7"/>
    <w:rsid w:val="00ED2EDC"/>
    <w:rsid w:val="00ED3275"/>
    <w:rsid w:val="00ED3A25"/>
    <w:rsid w:val="00ED5234"/>
    <w:rsid w:val="00ED5C41"/>
    <w:rsid w:val="00EE1152"/>
    <w:rsid w:val="00EE2474"/>
    <w:rsid w:val="00EF28C5"/>
    <w:rsid w:val="00EF324E"/>
    <w:rsid w:val="00EF349C"/>
    <w:rsid w:val="00EF39B2"/>
    <w:rsid w:val="00EF39ED"/>
    <w:rsid w:val="00EF4F92"/>
    <w:rsid w:val="00EF7E81"/>
    <w:rsid w:val="00F021CF"/>
    <w:rsid w:val="00F05B0F"/>
    <w:rsid w:val="00F1047D"/>
    <w:rsid w:val="00F12BB0"/>
    <w:rsid w:val="00F13DE3"/>
    <w:rsid w:val="00F13E79"/>
    <w:rsid w:val="00F16AF2"/>
    <w:rsid w:val="00F17BAE"/>
    <w:rsid w:val="00F2001D"/>
    <w:rsid w:val="00F20029"/>
    <w:rsid w:val="00F21F35"/>
    <w:rsid w:val="00F21F3D"/>
    <w:rsid w:val="00F2201F"/>
    <w:rsid w:val="00F23852"/>
    <w:rsid w:val="00F24D86"/>
    <w:rsid w:val="00F318B8"/>
    <w:rsid w:val="00F323B7"/>
    <w:rsid w:val="00F33B15"/>
    <w:rsid w:val="00F341B8"/>
    <w:rsid w:val="00F417A3"/>
    <w:rsid w:val="00F42B7E"/>
    <w:rsid w:val="00F42EDB"/>
    <w:rsid w:val="00F44275"/>
    <w:rsid w:val="00F46C0C"/>
    <w:rsid w:val="00F5064E"/>
    <w:rsid w:val="00F51C3A"/>
    <w:rsid w:val="00F53551"/>
    <w:rsid w:val="00F55B72"/>
    <w:rsid w:val="00F57597"/>
    <w:rsid w:val="00F6056C"/>
    <w:rsid w:val="00F60CB5"/>
    <w:rsid w:val="00F61581"/>
    <w:rsid w:val="00F62E7F"/>
    <w:rsid w:val="00F63BB9"/>
    <w:rsid w:val="00F658B9"/>
    <w:rsid w:val="00F66D7C"/>
    <w:rsid w:val="00F67DBB"/>
    <w:rsid w:val="00F700AA"/>
    <w:rsid w:val="00F718B0"/>
    <w:rsid w:val="00F73A71"/>
    <w:rsid w:val="00F77D48"/>
    <w:rsid w:val="00F8293E"/>
    <w:rsid w:val="00F82BD4"/>
    <w:rsid w:val="00F84C94"/>
    <w:rsid w:val="00F90BB6"/>
    <w:rsid w:val="00F915D1"/>
    <w:rsid w:val="00F91939"/>
    <w:rsid w:val="00F9318C"/>
    <w:rsid w:val="00F93E86"/>
    <w:rsid w:val="00F9576D"/>
    <w:rsid w:val="00F95F0C"/>
    <w:rsid w:val="00F9732F"/>
    <w:rsid w:val="00FA0E7F"/>
    <w:rsid w:val="00FA3548"/>
    <w:rsid w:val="00FA4B38"/>
    <w:rsid w:val="00FA50EB"/>
    <w:rsid w:val="00FA6DC0"/>
    <w:rsid w:val="00FA7EB1"/>
    <w:rsid w:val="00FB1CEC"/>
    <w:rsid w:val="00FB419B"/>
    <w:rsid w:val="00FB46DC"/>
    <w:rsid w:val="00FB6F9F"/>
    <w:rsid w:val="00FB7A48"/>
    <w:rsid w:val="00FC12FE"/>
    <w:rsid w:val="00FC1489"/>
    <w:rsid w:val="00FC3441"/>
    <w:rsid w:val="00FC7394"/>
    <w:rsid w:val="00FD1EA6"/>
    <w:rsid w:val="00FD1ED3"/>
    <w:rsid w:val="00FD6C28"/>
    <w:rsid w:val="00FE1287"/>
    <w:rsid w:val="00FE310B"/>
    <w:rsid w:val="00FE39B9"/>
    <w:rsid w:val="00FE6AD7"/>
    <w:rsid w:val="00FF1BA9"/>
    <w:rsid w:val="00FF5290"/>
    <w:rsid w:val="00FF60DC"/>
    <w:rsid w:val="03C84930"/>
    <w:rsid w:val="03DF7E09"/>
    <w:rsid w:val="048320BB"/>
    <w:rsid w:val="04B563C2"/>
    <w:rsid w:val="05531A54"/>
    <w:rsid w:val="05F92C68"/>
    <w:rsid w:val="06571B7A"/>
    <w:rsid w:val="077111CE"/>
    <w:rsid w:val="0772575A"/>
    <w:rsid w:val="07DA3A8F"/>
    <w:rsid w:val="089D7C92"/>
    <w:rsid w:val="09C92DD3"/>
    <w:rsid w:val="09CF6E4B"/>
    <w:rsid w:val="0B6B045B"/>
    <w:rsid w:val="0BD554C2"/>
    <w:rsid w:val="0E7B4525"/>
    <w:rsid w:val="10767327"/>
    <w:rsid w:val="11304CEB"/>
    <w:rsid w:val="11AF4DCB"/>
    <w:rsid w:val="12955111"/>
    <w:rsid w:val="12CC6E6D"/>
    <w:rsid w:val="13806E42"/>
    <w:rsid w:val="13A607E7"/>
    <w:rsid w:val="140E7482"/>
    <w:rsid w:val="1440520B"/>
    <w:rsid w:val="14737EE6"/>
    <w:rsid w:val="17BC5001"/>
    <w:rsid w:val="183A0A1F"/>
    <w:rsid w:val="198C1D89"/>
    <w:rsid w:val="1B74013C"/>
    <w:rsid w:val="1CFA34AD"/>
    <w:rsid w:val="1E0D2BED"/>
    <w:rsid w:val="1E591AD6"/>
    <w:rsid w:val="1F14499E"/>
    <w:rsid w:val="1F5B26C7"/>
    <w:rsid w:val="203A4DF7"/>
    <w:rsid w:val="224109E7"/>
    <w:rsid w:val="22A144DF"/>
    <w:rsid w:val="22EB689E"/>
    <w:rsid w:val="2472310C"/>
    <w:rsid w:val="249C2E00"/>
    <w:rsid w:val="26CE5027"/>
    <w:rsid w:val="27F62AEE"/>
    <w:rsid w:val="2866365B"/>
    <w:rsid w:val="2B9D683D"/>
    <w:rsid w:val="2BDD6474"/>
    <w:rsid w:val="2CF23FA9"/>
    <w:rsid w:val="2DDE2C59"/>
    <w:rsid w:val="2E50057C"/>
    <w:rsid w:val="2F204A26"/>
    <w:rsid w:val="2F3045A4"/>
    <w:rsid w:val="2F567AA0"/>
    <w:rsid w:val="30043F67"/>
    <w:rsid w:val="309F5392"/>
    <w:rsid w:val="3161171F"/>
    <w:rsid w:val="319A28B2"/>
    <w:rsid w:val="3276083D"/>
    <w:rsid w:val="33905BDA"/>
    <w:rsid w:val="339B19D0"/>
    <w:rsid w:val="3508551A"/>
    <w:rsid w:val="359C0F7A"/>
    <w:rsid w:val="37776170"/>
    <w:rsid w:val="378B37C3"/>
    <w:rsid w:val="37BE57F0"/>
    <w:rsid w:val="383B0BDA"/>
    <w:rsid w:val="38F2725A"/>
    <w:rsid w:val="3941563D"/>
    <w:rsid w:val="39C037CE"/>
    <w:rsid w:val="3A86167D"/>
    <w:rsid w:val="3AE332B3"/>
    <w:rsid w:val="3C8C247C"/>
    <w:rsid w:val="3D65545B"/>
    <w:rsid w:val="3E7C6D69"/>
    <w:rsid w:val="3FA119B7"/>
    <w:rsid w:val="40177DE3"/>
    <w:rsid w:val="40976810"/>
    <w:rsid w:val="417A1877"/>
    <w:rsid w:val="422711D3"/>
    <w:rsid w:val="432253DD"/>
    <w:rsid w:val="43501007"/>
    <w:rsid w:val="43863DDA"/>
    <w:rsid w:val="444939F2"/>
    <w:rsid w:val="45551365"/>
    <w:rsid w:val="476F66C2"/>
    <w:rsid w:val="482809DA"/>
    <w:rsid w:val="4A0B7731"/>
    <w:rsid w:val="4A3A7537"/>
    <w:rsid w:val="4A9A751F"/>
    <w:rsid w:val="4AB8212E"/>
    <w:rsid w:val="4AE10089"/>
    <w:rsid w:val="4B177614"/>
    <w:rsid w:val="4B3A3DE4"/>
    <w:rsid w:val="4B77032C"/>
    <w:rsid w:val="4B852596"/>
    <w:rsid w:val="4BCA4DC2"/>
    <w:rsid w:val="4CC43F74"/>
    <w:rsid w:val="4D3806BD"/>
    <w:rsid w:val="4FA56487"/>
    <w:rsid w:val="4FC44EDC"/>
    <w:rsid w:val="50997532"/>
    <w:rsid w:val="51296E07"/>
    <w:rsid w:val="52C12FB4"/>
    <w:rsid w:val="53097B05"/>
    <w:rsid w:val="535B5D4C"/>
    <w:rsid w:val="53866EE0"/>
    <w:rsid w:val="538F587F"/>
    <w:rsid w:val="544E2FF3"/>
    <w:rsid w:val="551E7F0E"/>
    <w:rsid w:val="55B95F2B"/>
    <w:rsid w:val="55D63612"/>
    <w:rsid w:val="55D9538F"/>
    <w:rsid w:val="56B137E7"/>
    <w:rsid w:val="57CA68AA"/>
    <w:rsid w:val="59654F1B"/>
    <w:rsid w:val="5A650D5A"/>
    <w:rsid w:val="5A8E6B50"/>
    <w:rsid w:val="5B526E3B"/>
    <w:rsid w:val="5D176670"/>
    <w:rsid w:val="5EFB5FCF"/>
    <w:rsid w:val="60976762"/>
    <w:rsid w:val="615674ED"/>
    <w:rsid w:val="61744EA1"/>
    <w:rsid w:val="637048DB"/>
    <w:rsid w:val="64AA146F"/>
    <w:rsid w:val="65335497"/>
    <w:rsid w:val="65D76172"/>
    <w:rsid w:val="66C77325"/>
    <w:rsid w:val="6721189D"/>
    <w:rsid w:val="68931D4F"/>
    <w:rsid w:val="68C6406F"/>
    <w:rsid w:val="6A1638AD"/>
    <w:rsid w:val="6B4551DF"/>
    <w:rsid w:val="6B9E2823"/>
    <w:rsid w:val="6C7B77BD"/>
    <w:rsid w:val="6C992C34"/>
    <w:rsid w:val="6CA95923"/>
    <w:rsid w:val="6D756958"/>
    <w:rsid w:val="718B3849"/>
    <w:rsid w:val="73656E86"/>
    <w:rsid w:val="7377015A"/>
    <w:rsid w:val="739D2BFF"/>
    <w:rsid w:val="75A01A91"/>
    <w:rsid w:val="75A62E64"/>
    <w:rsid w:val="75BB53FD"/>
    <w:rsid w:val="75E96582"/>
    <w:rsid w:val="761146D7"/>
    <w:rsid w:val="76470CAA"/>
    <w:rsid w:val="764D1082"/>
    <w:rsid w:val="766F2799"/>
    <w:rsid w:val="773B6256"/>
    <w:rsid w:val="77CF1A71"/>
    <w:rsid w:val="7BF3685D"/>
    <w:rsid w:val="7D07233B"/>
    <w:rsid w:val="7D40391F"/>
    <w:rsid w:val="7DF96BCA"/>
    <w:rsid w:val="7E1251F4"/>
    <w:rsid w:val="7E6416AA"/>
    <w:rsid w:val="7EE66F59"/>
    <w:rsid w:val="7F1A6E76"/>
    <w:rsid w:val="7F1F783D"/>
    <w:rsid w:val="7FAF396D"/>
    <w:rsid w:val="E46DF715"/>
    <w:rsid w:val="EBBBE663"/>
    <w:rsid w:val="F5D501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nhideWhenUsed="0" w:uiPriority="1" w:semiHidden="0" w:name="heading 2"/>
    <w:lsdException w:qFormat="1" w:uiPriority="1" w:semiHidden="0" w:name="heading 3"/>
    <w:lsdException w:qFormat="1" w:uiPriority="1" w:semiHidden="0" w:name="heading 4"/>
    <w:lsdException w:qFormat="1" w:uiPriority="1"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Courier New" w:cs="Times New Roman"/>
      <w:kern w:val="2"/>
      <w:sz w:val="21"/>
      <w:szCs w:val="21"/>
      <w:lang w:val="en-US" w:eastAsia="zh-CN" w:bidi="ar-SA"/>
    </w:rPr>
  </w:style>
  <w:style w:type="paragraph" w:styleId="4">
    <w:name w:val="heading 1"/>
    <w:basedOn w:val="1"/>
    <w:next w:val="1"/>
    <w:qFormat/>
    <w:uiPriority w:val="1"/>
    <w:pPr>
      <w:keepNext/>
      <w:keepLines/>
      <w:spacing w:before="340" w:after="330" w:line="576" w:lineRule="auto"/>
      <w:outlineLvl w:val="0"/>
    </w:pPr>
    <w:rPr>
      <w:b/>
      <w:kern w:val="44"/>
      <w:sz w:val="44"/>
    </w:rPr>
  </w:style>
  <w:style w:type="paragraph" w:styleId="5">
    <w:name w:val="heading 2"/>
    <w:basedOn w:val="1"/>
    <w:next w:val="1"/>
    <w:link w:val="30"/>
    <w:qFormat/>
    <w:uiPriority w:val="1"/>
    <w:pPr>
      <w:keepNext/>
      <w:keepLines/>
      <w:adjustRightInd w:val="0"/>
      <w:snapToGrid w:val="0"/>
      <w:spacing w:before="260" w:after="260" w:line="416" w:lineRule="auto"/>
      <w:ind w:firstLine="600" w:firstLineChars="200"/>
      <w:outlineLvl w:val="1"/>
    </w:pPr>
    <w:rPr>
      <w:rFonts w:ascii="Arial" w:hAnsi="Arial" w:eastAsia="Symbol"/>
      <w:b/>
      <w:bCs/>
      <w:sz w:val="32"/>
      <w:szCs w:val="32"/>
    </w:rPr>
  </w:style>
  <w:style w:type="paragraph" w:styleId="6">
    <w:name w:val="heading 3"/>
    <w:basedOn w:val="1"/>
    <w:next w:val="1"/>
    <w:unhideWhenUsed/>
    <w:qFormat/>
    <w:uiPriority w:val="1"/>
    <w:pPr>
      <w:keepNext/>
      <w:keepLines/>
      <w:spacing w:before="260" w:after="260" w:line="413" w:lineRule="auto"/>
      <w:outlineLvl w:val="2"/>
    </w:pPr>
    <w:rPr>
      <w:b/>
      <w:sz w:val="32"/>
    </w:rPr>
  </w:style>
  <w:style w:type="paragraph" w:styleId="7">
    <w:name w:val="heading 4"/>
    <w:basedOn w:val="1"/>
    <w:next w:val="1"/>
    <w:link w:val="35"/>
    <w:unhideWhenUsed/>
    <w:qFormat/>
    <w:uiPriority w:val="1"/>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8">
    <w:name w:val="heading 5"/>
    <w:basedOn w:val="1"/>
    <w:next w:val="1"/>
    <w:link w:val="33"/>
    <w:unhideWhenUsed/>
    <w:qFormat/>
    <w:uiPriority w:val="1"/>
    <w:pPr>
      <w:keepNext/>
      <w:keepLines/>
      <w:spacing w:before="280" w:after="290" w:line="376" w:lineRule="auto"/>
      <w:outlineLvl w:val="4"/>
    </w:pPr>
    <w:rPr>
      <w:b/>
      <w:bCs/>
      <w:sz w:val="28"/>
      <w:szCs w:val="28"/>
    </w:rPr>
  </w:style>
  <w:style w:type="character" w:default="1" w:styleId="19">
    <w:name w:val="Default Paragraph Font"/>
    <w:semiHidden/>
    <w:unhideWhenUsed/>
    <w:uiPriority w:val="1"/>
  </w:style>
  <w:style w:type="table" w:default="1" w:styleId="22">
    <w:name w:val="Normal Table"/>
    <w:semiHidden/>
    <w:unhideWhenUsed/>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after="120"/>
      <w:ind w:left="420" w:leftChars="200"/>
      <w:jc w:val="left"/>
    </w:pPr>
    <w:rPr>
      <w:rFonts w:hint="eastAsia" w:ascii="宋体" w:hAnsi="宋体" w:eastAsia="宋体"/>
      <w:kern w:val="0"/>
      <w:sz w:val="24"/>
      <w:szCs w:val="24"/>
    </w:rPr>
  </w:style>
  <w:style w:type="paragraph" w:styleId="9">
    <w:name w:val="annotation subject"/>
    <w:basedOn w:val="10"/>
    <w:next w:val="10"/>
    <w:link w:val="27"/>
    <w:unhideWhenUsed/>
    <w:qFormat/>
    <w:uiPriority w:val="99"/>
    <w:rPr>
      <w:b/>
      <w:bCs/>
    </w:rPr>
  </w:style>
  <w:style w:type="paragraph" w:styleId="10">
    <w:name w:val="annotation text"/>
    <w:basedOn w:val="1"/>
    <w:link w:val="26"/>
    <w:unhideWhenUsed/>
    <w:qFormat/>
    <w:uiPriority w:val="99"/>
    <w:pPr>
      <w:jc w:val="left"/>
    </w:pPr>
  </w:style>
  <w:style w:type="paragraph" w:styleId="11">
    <w:name w:val="Normal Indent"/>
    <w:basedOn w:val="1"/>
    <w:next w:val="12"/>
    <w:qFormat/>
    <w:uiPriority w:val="0"/>
    <w:pPr>
      <w:spacing w:line="360" w:lineRule="auto"/>
      <w:ind w:firstLine="420" w:firstLineChars="200"/>
      <w:jc w:val="left"/>
    </w:pPr>
    <w:rPr>
      <w:rFonts w:ascii="仿宋_GB2312" w:hAnsi="Arial" w:eastAsia="仿宋_GB2312"/>
      <w:kern w:val="0"/>
      <w:sz w:val="30"/>
      <w:szCs w:val="30"/>
    </w:rPr>
  </w:style>
  <w:style w:type="paragraph" w:styleId="12">
    <w:name w:val="Body Text"/>
    <w:basedOn w:val="1"/>
    <w:link w:val="34"/>
    <w:unhideWhenUsed/>
    <w:qFormat/>
    <w:uiPriority w:val="1"/>
    <w:pPr>
      <w:spacing w:after="120"/>
    </w:pPr>
  </w:style>
  <w:style w:type="paragraph" w:styleId="13">
    <w:name w:val="Balloon Text"/>
    <w:basedOn w:val="1"/>
    <w:link w:val="36"/>
    <w:unhideWhenUsed/>
    <w:qFormat/>
    <w:uiPriority w:val="99"/>
    <w:rPr>
      <w:sz w:val="18"/>
      <w:szCs w:val="18"/>
    </w:rPr>
  </w:style>
  <w:style w:type="paragraph" w:styleId="14">
    <w:name w:val="footer"/>
    <w:basedOn w:val="1"/>
    <w:link w:val="25"/>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5">
    <w:name w:val="header"/>
    <w:basedOn w:val="1"/>
    <w:link w:val="2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6">
    <w:name w:val="toc 1"/>
    <w:basedOn w:val="1"/>
    <w:next w:val="1"/>
    <w:unhideWhenUsed/>
    <w:qFormat/>
    <w:uiPriority w:val="39"/>
    <w:pPr>
      <w:tabs>
        <w:tab w:val="right" w:leader="dot" w:pos="8714"/>
      </w:tabs>
      <w:spacing w:before="60" w:line="360" w:lineRule="auto"/>
      <w:ind w:left="200" w:leftChars="200"/>
      <w:jc w:val="left"/>
    </w:pPr>
    <w:rPr>
      <w:rFonts w:eastAsia="Helvetica" w:cs="Courier"/>
      <w:bCs/>
      <w:caps/>
      <w:sz w:val="30"/>
      <w:szCs w:val="20"/>
    </w:rPr>
  </w:style>
  <w:style w:type="paragraph" w:styleId="17">
    <w:name w:val="Subtitle"/>
    <w:basedOn w:val="1"/>
    <w:next w:val="1"/>
    <w:link w:val="29"/>
    <w:qFormat/>
    <w:uiPriority w:val="11"/>
    <w:pPr>
      <w:spacing w:before="240" w:after="60" w:line="312" w:lineRule="auto"/>
      <w:jc w:val="center"/>
      <w:outlineLvl w:val="1"/>
    </w:pPr>
    <w:rPr>
      <w:rFonts w:asciiTheme="minorHAnsi" w:hAnsiTheme="minorHAnsi" w:eastAsiaTheme="minorEastAsia" w:cstheme="minorBidi"/>
      <w:b/>
      <w:bCs/>
      <w:kern w:val="28"/>
      <w:sz w:val="32"/>
      <w:szCs w:val="32"/>
    </w:rPr>
  </w:style>
  <w:style w:type="paragraph" w:styleId="18">
    <w:name w:val="toc 2"/>
    <w:basedOn w:val="1"/>
    <w:next w:val="1"/>
    <w:unhideWhenUsed/>
    <w:qFormat/>
    <w:uiPriority w:val="39"/>
    <w:pPr>
      <w:tabs>
        <w:tab w:val="right" w:leader="dot" w:pos="8714"/>
      </w:tabs>
      <w:spacing w:line="360" w:lineRule="auto"/>
      <w:ind w:left="350" w:leftChars="350"/>
      <w:jc w:val="left"/>
    </w:pPr>
    <w:rPr>
      <w:rFonts w:eastAsia="Tms Rmn" w:cs="Courier"/>
      <w:smallCaps/>
      <w:sz w:val="30"/>
      <w:szCs w:val="20"/>
    </w:rPr>
  </w:style>
  <w:style w:type="character" w:styleId="20">
    <w:name w:val="Hyperlink"/>
    <w:basedOn w:val="19"/>
    <w:unhideWhenUsed/>
    <w:qFormat/>
    <w:uiPriority w:val="99"/>
    <w:rPr>
      <w:color w:val="0563C1" w:themeColor="hyperlink"/>
      <w:u w:val="single"/>
      <w14:textFill>
        <w14:solidFill>
          <w14:schemeClr w14:val="hlink"/>
        </w14:solidFill>
      </w14:textFill>
    </w:rPr>
  </w:style>
  <w:style w:type="character" w:styleId="21">
    <w:name w:val="annotation reference"/>
    <w:basedOn w:val="19"/>
    <w:unhideWhenUsed/>
    <w:qFormat/>
    <w:uiPriority w:val="99"/>
    <w:rPr>
      <w:sz w:val="21"/>
      <w:szCs w:val="21"/>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4">
    <w:name w:val="页眉 Char"/>
    <w:basedOn w:val="19"/>
    <w:link w:val="15"/>
    <w:qFormat/>
    <w:uiPriority w:val="99"/>
    <w:rPr>
      <w:sz w:val="18"/>
      <w:szCs w:val="18"/>
    </w:rPr>
  </w:style>
  <w:style w:type="character" w:customStyle="1" w:styleId="25">
    <w:name w:val="页脚 Char"/>
    <w:basedOn w:val="19"/>
    <w:link w:val="14"/>
    <w:qFormat/>
    <w:uiPriority w:val="99"/>
    <w:rPr>
      <w:sz w:val="18"/>
      <w:szCs w:val="18"/>
    </w:rPr>
  </w:style>
  <w:style w:type="character" w:customStyle="1" w:styleId="26">
    <w:name w:val="批注文字 Char"/>
    <w:basedOn w:val="19"/>
    <w:link w:val="10"/>
    <w:qFormat/>
    <w:uiPriority w:val="99"/>
    <w:rPr>
      <w:rFonts w:ascii="Times New Roman" w:hAnsi="Times New Roman" w:eastAsia="Courier New" w:cs="Times New Roman"/>
      <w:szCs w:val="21"/>
    </w:rPr>
  </w:style>
  <w:style w:type="character" w:customStyle="1" w:styleId="27">
    <w:name w:val="批注主题 Char"/>
    <w:basedOn w:val="26"/>
    <w:link w:val="9"/>
    <w:semiHidden/>
    <w:qFormat/>
    <w:uiPriority w:val="99"/>
    <w:rPr>
      <w:rFonts w:ascii="Times New Roman" w:hAnsi="Times New Roman" w:eastAsia="Courier New" w:cs="Times New Roman"/>
      <w:b/>
      <w:bCs/>
      <w:szCs w:val="21"/>
    </w:rPr>
  </w:style>
  <w:style w:type="paragraph" w:customStyle="1" w:styleId="28">
    <w:name w:val="独立格式"/>
    <w:basedOn w:val="17"/>
    <w:qFormat/>
    <w:uiPriority w:val="1"/>
    <w:pPr>
      <w:spacing w:before="0" w:after="0" w:line="360" w:lineRule="auto"/>
      <w:outlineLvl w:val="9"/>
    </w:pPr>
    <w:rPr>
      <w:rFonts w:ascii="Times New Roman" w:hAnsi="Times New Roman" w:eastAsia="Tms Rmn" w:cs="Times New Roman"/>
      <w:b w:val="0"/>
      <w:bCs w:val="0"/>
      <w:kern w:val="2"/>
      <w:szCs w:val="52"/>
    </w:rPr>
  </w:style>
  <w:style w:type="character" w:customStyle="1" w:styleId="29">
    <w:name w:val="副标题 Char"/>
    <w:basedOn w:val="19"/>
    <w:link w:val="17"/>
    <w:qFormat/>
    <w:uiPriority w:val="11"/>
    <w:rPr>
      <w:b/>
      <w:bCs/>
      <w:kern w:val="28"/>
      <w:sz w:val="32"/>
      <w:szCs w:val="32"/>
    </w:rPr>
  </w:style>
  <w:style w:type="character" w:customStyle="1" w:styleId="30">
    <w:name w:val="标题 2 Char"/>
    <w:basedOn w:val="19"/>
    <w:link w:val="5"/>
    <w:qFormat/>
    <w:uiPriority w:val="9"/>
    <w:rPr>
      <w:rFonts w:ascii="Arial" w:hAnsi="Arial" w:eastAsia="Symbol" w:cs="Times New Roman"/>
      <w:b/>
      <w:bCs/>
      <w:sz w:val="32"/>
      <w:szCs w:val="32"/>
    </w:rPr>
  </w:style>
  <w:style w:type="paragraph" w:customStyle="1" w:styleId="31">
    <w:name w:val="表格名称"/>
    <w:basedOn w:val="1"/>
    <w:qFormat/>
    <w:uiPriority w:val="0"/>
    <w:pPr>
      <w:spacing w:line="360" w:lineRule="auto"/>
      <w:jc w:val="center"/>
    </w:pPr>
    <w:rPr>
      <w:rFonts w:eastAsia="Helv" w:cs="New York"/>
      <w:b/>
      <w:sz w:val="24"/>
      <w:szCs w:val="24"/>
    </w:rPr>
  </w:style>
  <w:style w:type="paragraph" w:customStyle="1" w:styleId="32">
    <w:name w:val="表格文字"/>
    <w:basedOn w:val="28"/>
    <w:next w:val="1"/>
    <w:qFormat/>
    <w:uiPriority w:val="0"/>
    <w:pPr>
      <w:spacing w:line="360" w:lineRule="exact"/>
    </w:pPr>
    <w:rPr>
      <w:rFonts w:eastAsia="Helv" w:cs="New York"/>
      <w:sz w:val="24"/>
    </w:rPr>
  </w:style>
  <w:style w:type="character" w:customStyle="1" w:styleId="33">
    <w:name w:val="标题 5 Char"/>
    <w:basedOn w:val="19"/>
    <w:link w:val="8"/>
    <w:semiHidden/>
    <w:qFormat/>
    <w:uiPriority w:val="9"/>
    <w:rPr>
      <w:rFonts w:ascii="Times New Roman" w:hAnsi="Times New Roman" w:eastAsia="Courier New" w:cs="Times New Roman"/>
      <w:b/>
      <w:bCs/>
      <w:sz w:val="28"/>
      <w:szCs w:val="28"/>
    </w:rPr>
  </w:style>
  <w:style w:type="character" w:customStyle="1" w:styleId="34">
    <w:name w:val="正文文本 Char"/>
    <w:basedOn w:val="19"/>
    <w:link w:val="12"/>
    <w:semiHidden/>
    <w:qFormat/>
    <w:uiPriority w:val="99"/>
    <w:rPr>
      <w:rFonts w:ascii="Times New Roman" w:hAnsi="Times New Roman" w:eastAsia="Courier New" w:cs="Times New Roman"/>
      <w:szCs w:val="21"/>
    </w:rPr>
  </w:style>
  <w:style w:type="character" w:customStyle="1" w:styleId="35">
    <w:name w:val="标题 4 Char"/>
    <w:basedOn w:val="19"/>
    <w:link w:val="7"/>
    <w:semiHidden/>
    <w:qFormat/>
    <w:uiPriority w:val="9"/>
    <w:rPr>
      <w:rFonts w:asciiTheme="majorHAnsi" w:hAnsiTheme="majorHAnsi" w:eastAsiaTheme="majorEastAsia" w:cstheme="majorBidi"/>
      <w:b/>
      <w:bCs/>
      <w:sz w:val="28"/>
      <w:szCs w:val="28"/>
    </w:rPr>
  </w:style>
  <w:style w:type="character" w:customStyle="1" w:styleId="36">
    <w:name w:val="批注框文本 Char"/>
    <w:basedOn w:val="19"/>
    <w:link w:val="13"/>
    <w:semiHidden/>
    <w:qFormat/>
    <w:uiPriority w:val="99"/>
    <w:rPr>
      <w:rFonts w:ascii="Times New Roman" w:hAnsi="Times New Roman" w:eastAsia="Courier New" w:cs="Times New Roman"/>
      <w:kern w:val="2"/>
      <w:sz w:val="18"/>
      <w:szCs w:val="18"/>
    </w:rPr>
  </w:style>
  <w:style w:type="table" w:customStyle="1" w:styleId="37">
    <w:name w:val="Table Normal"/>
    <w:unhideWhenUsed/>
    <w:qFormat/>
    <w:uiPriority w:val="2"/>
    <w:tblPr>
      <w:tblLayout w:type="fixed"/>
      <w:tblCellMar>
        <w:top w:w="0" w:type="dxa"/>
        <w:left w:w="0" w:type="dxa"/>
        <w:bottom w:w="0" w:type="dxa"/>
        <w:right w:w="0" w:type="dxa"/>
      </w:tblCellMar>
    </w:tblPr>
  </w:style>
  <w:style w:type="paragraph" w:customStyle="1" w:styleId="38">
    <w:name w:val="列出段落1"/>
    <w:basedOn w:val="1"/>
    <w:qFormat/>
    <w:uiPriority w:val="1"/>
    <w:pPr>
      <w:autoSpaceDE w:val="0"/>
      <w:autoSpaceDN w:val="0"/>
      <w:ind w:left="109" w:right="99" w:firstLine="641"/>
      <w:jc w:val="left"/>
    </w:pPr>
    <w:rPr>
      <w:rFonts w:ascii="Arial Unicode MS" w:hAnsi="Arial Unicode MS" w:eastAsia="Arial Unicode MS" w:cs="Arial Unicode MS"/>
      <w:kern w:val="0"/>
      <w:sz w:val="22"/>
      <w:szCs w:val="22"/>
      <w:lang w:eastAsia="en-US"/>
    </w:rPr>
  </w:style>
  <w:style w:type="paragraph" w:customStyle="1" w:styleId="39">
    <w:name w:val="Table Paragraph"/>
    <w:basedOn w:val="1"/>
    <w:qFormat/>
    <w:uiPriority w:val="1"/>
    <w:pPr>
      <w:autoSpaceDE w:val="0"/>
      <w:autoSpaceDN w:val="0"/>
      <w:jc w:val="left"/>
    </w:pPr>
    <w:rPr>
      <w:rFonts w:ascii="宋体" w:hAnsi="宋体" w:eastAsia="宋体" w:cs="宋体"/>
      <w:kern w:val="0"/>
      <w:sz w:val="22"/>
      <w:szCs w:val="22"/>
      <w:lang w:eastAsia="en-US"/>
    </w:rPr>
  </w:style>
  <w:style w:type="paragraph" w:styleId="40">
    <w:name w:val="List Paragraph"/>
    <w:basedOn w:val="1"/>
    <w:uiPriority w:val="99"/>
    <w:pPr>
      <w:ind w:firstLine="420" w:firstLineChars="200"/>
    </w:pPr>
  </w:style>
  <w:style w:type="character" w:customStyle="1" w:styleId="41">
    <w:name w:val="bjh-p"/>
    <w:basedOn w:val="19"/>
    <w:uiPriority w:val="0"/>
  </w:style>
  <w:style w:type="character" w:customStyle="1" w:styleId="42">
    <w:name w:val="fontstyle01"/>
    <w:basedOn w:val="19"/>
    <w:uiPriority w:val="0"/>
    <w:rPr>
      <w:rFonts w:hint="eastAsia" w:ascii="黑体" w:hAnsi="黑体" w:eastAsia="黑体"/>
      <w:color w:val="000000"/>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25</Pages>
  <Words>1681</Words>
  <Characters>9583</Characters>
  <Lines>79</Lines>
  <Paragraphs>22</Paragraphs>
  <TotalTime>864</TotalTime>
  <ScaleCrop>false</ScaleCrop>
  <LinksUpToDate>false</LinksUpToDate>
  <CharactersWithSpaces>11242</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2022-09-07T01:41:00Z</dcterms:created>
  <dc:creator>Richard Meng</dc:creator>
  <cp:lastModifiedBy>HM</cp:lastModifiedBy>
  <cp:lastPrinted>2022-09-03T08:20:00Z</cp:lastPrinted>
  <dcterms:modified xsi:type="dcterms:W3CDTF">2026-03-09T02:54:10Z</dcterms:modified>
  <cp:revision>84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y fmtid="{D5CDD505-2E9C-101B-9397-08002B2CF9AE}" pid="3" name="ICV">
    <vt:lpwstr>F4D0967208394CB4AE76D901F171C719</vt:lpwstr>
  </property>
  <property fmtid="{D5CDD505-2E9C-101B-9397-08002B2CF9AE}" pid="4" name="commondata">
    <vt:lpwstr>eyJoZGlkIjoiMDUyZTZiOWNhNTRkM2JiNDQwZWRmZDZjZTIwNDhiY2IifQ==</vt:lpwstr>
  </property>
</Properties>
</file>